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78"/>
          <w:sz w:val="20"/>
          <w:szCs w:val="20"/>
        </w:rPr>
        <w:t xml:space="preserve">Mechaline Data Analytics Internship Program</w:t>
      </w:r>
    </w:p>
    <w:p>
      <w:pPr>
        <w:spacing w:after="300"/>
      </w:pPr>
      <w:r>
        <w:rPr>
          <w:color w:val="555555"/>
          <w:sz w:val="20"/>
          <w:szCs w:val="20"/>
        </w:rPr>
        <w:t xml:space="preserve">Week 1 Assignment — Day 3 Deliverable</w:t>
      </w:r>
    </w:p>
    <w:p>
      <w:pPr>
        <w:spacing w:after="100"/>
      </w:pPr>
      <w:r>
        <w:rPr>
          <w:b/>
          <w:bCs/>
          <w:color w:val="1F4E78"/>
          <w:sz w:val="40"/>
          <w:szCs w:val="40"/>
        </w:rPr>
        <w:t xml:space="preserve">Advanced Analytics Report</w:t>
      </w:r>
    </w:p>
    <w:p>
      <w:pPr>
        <w:spacing w:after="60"/>
      </w:pPr>
      <w:r>
        <w:rPr>
          <w:i/>
          <w:iCs/>
          <w:sz w:val="24"/>
          <w:szCs w:val="24"/>
        </w:rPr>
        <w:t xml:space="preserve">Pakistan Used Car Market Intelligence &amp; Advanced Data Analysis</w:t>
      </w:r>
    </w:p>
    <w:p>
      <w:pPr>
        <w:spacing w:after="20"/>
      </w:pPr>
      <w:r>
        <w:rPr>
          <w:b/>
          <w:bCs/>
          <w:sz w:val="22"/>
          <w:szCs w:val="22"/>
        </w:rPr>
        <w:t xml:space="preserve">Prepared by: </w:t>
      </w:r>
      <w:r>
        <w:rPr>
          <w:sz w:val="22"/>
          <w:szCs w:val="22"/>
        </w:rPr>
        <w:t xml:space="preserve">Muneeb</w:t>
      </w:r>
    </w:p>
    <w:p>
      <w:pPr>
        <w:spacing w:after="400"/>
      </w:pPr>
      <w:r>
        <w:rPr>
          <w:b/>
          <w:bCs/>
          <w:sz w:val="22"/>
          <w:szCs w:val="22"/>
        </w:rPr>
        <w:t xml:space="preserve">Dataset: </w:t>
      </w:r>
      <w:r>
        <w:rPr>
          <w:sz w:val="22"/>
          <w:szCs w:val="22"/>
        </w:rPr>
        <w:t xml:space="preserve">PakWheels Used Car Dataset (Cleaned)</w:t>
      </w:r>
    </w:p>
    <w:p>
      <w:pPr>
        <w:pStyle w:val="Heading1"/>
        <w:spacing w:after="150" w:before="300"/>
      </w:pPr>
      <w:r>
        <w:t xml:space="preserve">1. Introduction</w:t>
      </w:r>
    </w:p>
    <w:p>
      <w:pPr>
        <w:spacing w:after="120"/>
      </w:pPr>
      <w:r>
        <w:t xml:space="preserve">This report presents the advanced analytics conducted in Day 3 of the project, covering four areas: Correlation Analysis, Segmentation Analysis, Market Trend Analysis, and Geographic Analysis. These analyses build on the cleaned dataset and Day 2 EDA to uncover deeper relationships and diagnostic insights relevant to pricing and market behaviour.</w:t>
      </w:r>
    </w:p>
    <w:p>
      <w:pPr>
        <w:pStyle w:val="Heading1"/>
        <w:spacing w:after="150" w:before="300"/>
      </w:pPr>
      <w:r>
        <w:t xml:space="preserve">2. Correlation Analysis</w:t>
      </w:r>
    </w:p>
    <w:p>
      <w:pPr>
        <w:spacing w:after="120"/>
      </w:pPr>
      <w:r>
        <w:t xml:space="preserve">A correlation matrix was computed between Price, Mileage, Manufacturing Year, and Engine Capacity to quantify the strength and direction of their relationships.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3800"/>
      </w:tblGrid>
      <w:tr>
        <w:trPr>
          <w:tblHeader/>
        </w:trPr>
        <w:tc>
          <w:tcPr>
            <w:tcW w:type="dxa" w:w="3200"/>
            <w:shd w:fill="1F4E78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2000"/>
            <w:shd w:fill="1F4E78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Correlation (r)</w:t>
            </w:r>
          </w:p>
        </w:tc>
        <w:tc>
          <w:tcPr>
            <w:tcW w:type="dxa" w:w="3800"/>
            <w:shd w:fill="1F4E78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Price vs Mileage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-0.49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Moderate negative - higher mileage is associated with lower price</w:t>
            </w:r>
          </w:p>
        </w:tc>
      </w:tr>
      <w:tr>
        <w:tc>
          <w:tcPr>
            <w:tcW w:type="dxa" w:w="3200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Price vs Manufacturing Year</w:t>
            </w:r>
          </w:p>
        </w:tc>
        <w:tc>
          <w:tcPr>
            <w:tcW w:type="dxa" w:w="2000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+0.56</w:t>
            </w:r>
          </w:p>
        </w:tc>
        <w:tc>
          <w:tcPr>
            <w:tcW w:type="dxa" w:w="3800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Moderate-strong positive - newer vehicles command higher prices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Price vs Engine Capacity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+0.32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Weak-moderate positive - larger engines tend toward higher prices</w:t>
            </w:r>
          </w:p>
        </w:tc>
      </w:tr>
      <w:tr>
        <w:tc>
          <w:tcPr>
            <w:tcW w:type="dxa" w:w="3200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Mileage vs Manufacturing Year</w:t>
            </w:r>
          </w:p>
        </w:tc>
        <w:tc>
          <w:tcPr>
            <w:tcW w:type="dxa" w:w="2000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-0.78</w:t>
            </w:r>
          </w:p>
        </w:tc>
        <w:tc>
          <w:tcPr>
            <w:tcW w:type="dxa" w:w="3800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Strong negative - older vehicles have accumulated more mileage</w:t>
            </w:r>
          </w:p>
        </w:tc>
      </w:tr>
    </w:tbl>
    <w:p>
      <w:pPr>
        <w:spacing w:after="120"/>
      </w:pPr>
      <w:r>
        <w:rPr>
          <w:i/>
          <w:iCs/>
          <w:sz w:val="20"/>
          <w:szCs w:val="20"/>
        </w:rPr>
        <w:t xml:space="preserve">Observation: Manufacturing Year emerged as the strongest driver of price among the three factors examined, followed by Mileage (inverse relationship) and Engine Capacity. Scatter plots confirmed these patterns visually: Price vs Mileage showed a declining funnel shape, Price vs Year showed a general upward trend in the price ceiling over time, and Price vs Engine Capacity showed a more dispersed, column-like pattern reflecting discrete engine sizes.</w:t>
      </w:r>
    </w:p>
    <w:p>
      <w:pPr>
        <w:pStyle w:val="Heading1"/>
        <w:spacing w:after="150" w:before="300"/>
      </w:pPr>
      <w:r>
        <w:t xml:space="preserve">3. Segmentation Analysis</w:t>
      </w:r>
    </w:p>
    <w:p>
      <w:pPr>
        <w:spacing w:after="120"/>
      </w:pPr>
      <w:r>
        <w:t xml:space="preserve">Vehicles were segmented into four price-based categories: Budget, Mid-range, Premium, and Luxury.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1F4E78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2250"/>
            <w:shd w:fill="1F4E78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Price Range (PKR)</w:t>
            </w:r>
          </w:p>
        </w:tc>
        <w:tc>
          <w:tcPr>
            <w:tcW w:type="dxa" w:w="2250"/>
            <w:shd w:fill="1F4E78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2250"/>
            <w:shd w:fill="1F4E78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Share (%)</w:t>
            </w:r>
          </w:p>
        </w:tc>
      </w:tr>
      <w:tr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Budget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Up to 700,000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2,533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25.4%</w:t>
            </w:r>
          </w:p>
        </w:tc>
      </w:tr>
      <w:tr>
        <w:tc>
          <w:tcPr>
            <w:tcW w:type="dxa" w:w="2250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Mid-range</w:t>
            </w:r>
          </w:p>
        </w:tc>
        <w:tc>
          <w:tcPr>
            <w:tcW w:type="dxa" w:w="2250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700,001 - 1,800,000</w:t>
            </w:r>
          </w:p>
        </w:tc>
        <w:tc>
          <w:tcPr>
            <w:tcW w:type="dxa" w:w="2250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3,456</w:t>
            </w:r>
          </w:p>
        </w:tc>
        <w:tc>
          <w:tcPr>
            <w:tcW w:type="dxa" w:w="2250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34.6%</w:t>
            </w:r>
          </w:p>
        </w:tc>
      </w:tr>
      <w:tr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Premium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1,800,001 - 3,500,000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2,145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21.5%</w:t>
            </w:r>
          </w:p>
        </w:tc>
      </w:tr>
      <w:tr>
        <w:tc>
          <w:tcPr>
            <w:tcW w:type="dxa" w:w="2250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Luxury</w:t>
            </w:r>
          </w:p>
        </w:tc>
        <w:tc>
          <w:tcPr>
            <w:tcW w:type="dxa" w:w="2250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Above 3,500,000</w:t>
            </w:r>
          </w:p>
        </w:tc>
        <w:tc>
          <w:tcPr>
            <w:tcW w:type="dxa" w:w="2250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1,852</w:t>
            </w:r>
          </w:p>
        </w:tc>
        <w:tc>
          <w:tcPr>
            <w:tcW w:type="dxa" w:w="2250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18.5%</w:t>
            </w:r>
          </w:p>
        </w:tc>
      </w:tr>
    </w:tbl>
    <w:p>
      <w:pPr>
        <w:spacing w:after="120"/>
      </w:pPr>
      <w:r>
        <w:rPr>
          <w:i/>
          <w:iCs/>
          <w:sz w:val="20"/>
          <w:szCs w:val="20"/>
        </w:rPr>
        <w:t xml:space="preserve">Mid-range is the largest segment, indicating that most buyer demand concentrates around the PKR 700,000-1,800,000 price bracket.</w:t>
      </w:r>
    </w:p>
    <w:p>
      <w:pPr>
        <w:pStyle w:val="Heading2"/>
        <w:spacing w:after="120" w:before="250"/>
      </w:pPr>
      <w:r>
        <w:t xml:space="preserve">3.1 Brand Distribution within Segments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200"/>
        <w:gridCol w:w="2200"/>
      </w:tblGrid>
      <w:tr>
        <w:trPr>
          <w:tblHeader/>
        </w:trPr>
        <w:tc>
          <w:tcPr>
            <w:tcW w:type="dxa" w:w="2200"/>
            <w:shd w:fill="1F4E78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2400"/>
            <w:shd w:fill="1F4E78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 Brand</w:t>
            </w:r>
          </w:p>
        </w:tc>
        <w:tc>
          <w:tcPr>
            <w:tcW w:type="dxa" w:w="2200"/>
            <w:shd w:fill="1F4E78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2nd</w:t>
            </w:r>
          </w:p>
        </w:tc>
        <w:tc>
          <w:tcPr>
            <w:tcW w:type="dxa" w:w="2200"/>
            <w:shd w:fill="1F4E78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3rd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Budget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Suzuki (1,283)</w:t>
            </w:r>
          </w:p>
        </w:tc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Honda (340)</w:t>
            </w:r>
          </w:p>
        </w:tc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Daihatsu (298)</w:t>
            </w:r>
          </w:p>
        </w:tc>
      </w:tr>
      <w:tr>
        <w:tc>
          <w:tcPr>
            <w:tcW w:type="dxa" w:w="2200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Mid-range</w:t>
            </w:r>
          </w:p>
        </w:tc>
        <w:tc>
          <w:tcPr>
            <w:tcW w:type="dxa" w:w="2400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Suzuki (983)</w:t>
            </w:r>
          </w:p>
        </w:tc>
        <w:tc>
          <w:tcPr>
            <w:tcW w:type="dxa" w:w="2200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Honda (677)</w:t>
            </w:r>
          </w:p>
        </w:tc>
        <w:tc>
          <w:tcPr>
            <w:tcW w:type="dxa" w:w="2200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Toyota (507)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Premium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Toyota (601)</w:t>
            </w:r>
          </w:p>
        </w:tc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Honda (443)</w:t>
            </w:r>
          </w:p>
        </w:tc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Suzuki (366)</w:t>
            </w:r>
          </w:p>
        </w:tc>
      </w:tr>
      <w:tr>
        <w:tc>
          <w:tcPr>
            <w:tcW w:type="dxa" w:w="2200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Luxury</w:t>
            </w:r>
          </w:p>
        </w:tc>
        <w:tc>
          <w:tcPr>
            <w:tcW w:type="dxa" w:w="2400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Toyota (1,023)</w:t>
            </w:r>
          </w:p>
        </w:tc>
        <w:tc>
          <w:tcPr>
            <w:tcW w:type="dxa" w:w="2200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Honda (313)</w:t>
            </w:r>
          </w:p>
        </w:tc>
        <w:tc>
          <w:tcPr>
            <w:tcW w:type="dxa" w:w="2200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KIA (160)</w:t>
            </w:r>
          </w:p>
        </w:tc>
      </w:tr>
    </w:tbl>
    <w:p>
      <w:pPr>
        <w:spacing w:after="120"/>
      </w:pPr>
      <w:r>
        <w:rPr>
          <w:i/>
          <w:iCs/>
          <w:sz w:val="20"/>
          <w:szCs w:val="20"/>
        </w:rPr>
        <w:t xml:space="preserve">Observation: Suzuki's dominance is concentrated in the Budget and Mid-range segments, while Toyota takes over as the leading brand in Premium and, especially, Luxury segments (55% share of Luxury listings). This suggests Suzuki is positioned as an economy-focused brand, whereas Toyota has stronger penetration across the full price spectrum, including the high end.</w:t>
      </w:r>
    </w:p>
    <w:p>
      <w:pPr>
        <w:pStyle w:val="Heading2"/>
        <w:spacing w:after="120" w:before="250"/>
      </w:pPr>
      <w:r>
        <w:t xml:space="preserve">3.2 Popular Models within Segments</w:t>
      </w:r>
    </w:p>
    <w:p>
      <w:pPr>
        <w:spacing w:after="120"/>
      </w:pPr>
      <w:r>
        <w:t xml:space="preserve">Budget segment: dominated by economy/commercial models - Every, Mehran, Cultus, Baleno, Wagon R.</w:t>
      </w:r>
    </w:p>
    <w:p>
      <w:pPr>
        <w:spacing w:after="120"/>
      </w:pPr>
      <w:r>
        <w:t xml:space="preserve">Mid-range segment: Every, Alto VXL, Bolan, Alto VXR, Baleno.</w:t>
      </w:r>
    </w:p>
    <w:p>
      <w:pPr>
        <w:spacing w:after="120"/>
      </w:pPr>
      <w:r>
        <w:t xml:space="preserve">Premium segment: Civic, Fit, City Aspire, Grace, Camry.</w:t>
      </w:r>
    </w:p>
    <w:p>
      <w:pPr>
        <w:spacing w:after="120"/>
      </w:pPr>
      <w:r>
        <w:t xml:space="preserve">Luxury segment: Axio, Aqua, Yaris, Camry, Corolla GLi.</w:t>
      </w:r>
    </w:p>
    <w:p>
      <w:pPr>
        <w:pStyle w:val="Heading2"/>
        <w:spacing w:after="120" w:before="250"/>
      </w:pPr>
      <w:r>
        <w:t xml:space="preserve">3.3 Average Mileage and Manufacturing Year by Segment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F4E78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3000"/>
            <w:shd w:fill="1F4E78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Avg. Mileage (km)</w:t>
            </w:r>
          </w:p>
        </w:tc>
        <w:tc>
          <w:tcPr>
            <w:tcW w:type="dxa" w:w="3000"/>
            <w:shd w:fill="1F4E78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Avg. Manufacturing Year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Budget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158,949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2009.7</w:t>
            </w:r>
          </w:p>
        </w:tc>
      </w:tr>
      <w:tr>
        <w:tc>
          <w:tcPr>
            <w:tcW w:type="dxa" w:w="3000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Mid-range</w:t>
            </w:r>
          </w:p>
        </w:tc>
        <w:tc>
          <w:tcPr>
            <w:tcW w:type="dxa" w:w="3000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115,723</w:t>
            </w:r>
          </w:p>
        </w:tc>
        <w:tc>
          <w:tcPr>
            <w:tcW w:type="dxa" w:w="3000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2013.6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Premium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84,617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2016.7</w:t>
            </w:r>
          </w:p>
        </w:tc>
      </w:tr>
      <w:tr>
        <w:tc>
          <w:tcPr>
            <w:tcW w:type="dxa" w:w="3000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Luxury</w:t>
            </w:r>
          </w:p>
        </w:tc>
        <w:tc>
          <w:tcPr>
            <w:tcW w:type="dxa" w:w="3000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52,943</w:t>
            </w:r>
          </w:p>
        </w:tc>
        <w:tc>
          <w:tcPr>
            <w:tcW w:type="dxa" w:w="3000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2020.1</w:t>
            </w:r>
          </w:p>
        </w:tc>
      </w:tr>
    </w:tbl>
    <w:p>
      <w:pPr>
        <w:spacing w:after="120"/>
      </w:pPr>
      <w:r>
        <w:rPr>
          <w:i/>
          <w:iCs/>
          <w:sz w:val="20"/>
          <w:szCs w:val="20"/>
        </w:rPr>
        <w:t xml:space="preserve">Observation: There is a clear, consistent pattern - as price segment increases, average mileage decreases and average manufacturing year increases (i.e., vehicles are newer). This aligns directly with the correlation findings in Section 2, cross-validating both analyses.</w:t>
      </w:r>
    </w:p>
    <w:p>
      <w:pPr>
        <w:pStyle w:val="Heading1"/>
        <w:spacing w:after="150" w:before="300"/>
      </w:pPr>
      <w:r>
        <w:t xml:space="preserve">4. Market Trend Analysis</w:t>
      </w:r>
    </w:p>
    <w:p>
      <w:pPr>
        <w:pStyle w:val="Heading2"/>
        <w:spacing w:after="120" w:before="250"/>
      </w:pPr>
      <w:r>
        <w:t xml:space="preserve">4.1 Top 10 Brands (Overall)</w:t>
      </w:r>
    </w:p>
    <w:p>
      <w:pPr>
        <w:spacing w:after="120"/>
      </w:pPr>
      <w:r>
        <w:t xml:space="preserve">Suzuki, Toyota, Honda, KIA, Daihatsu, Hyundai, Changan, Nissan, MG, Mitsubishi - consistent with the brand distribution identified in Day 2.</w:t>
      </w:r>
    </w:p>
    <w:p>
      <w:pPr>
        <w:pStyle w:val="Heading2"/>
        <w:spacing w:after="120" w:before="250"/>
      </w:pPr>
      <w:r>
        <w:t xml:space="preserve">4.2 Top 10 Models (Overall)</w:t>
      </w:r>
    </w:p>
    <w:p>
      <w:pPr>
        <w:spacing w:after="120"/>
      </w:pPr>
      <w:r>
        <w:t xml:space="preserve">Every, Bolan, Cultus, Mehran, Alto VXR, Alto, Alto VXL, Fit, Wagon R, Baleno. Eight of the ten top models belong to Suzuki/Daihatsu, reflecting strong demand for compact, economical vehicles.</w:t>
      </w:r>
    </w:p>
    <w:p>
      <w:pPr>
        <w:pStyle w:val="Heading2"/>
        <w:spacing w:after="120" w:before="250"/>
      </w:pPr>
      <w:r>
        <w:t xml:space="preserve">4.3 Fastest-Growing Vehicle Categories</w:t>
      </w:r>
    </w:p>
    <w:p>
      <w:pPr>
        <w:spacing w:after="120"/>
      </w:pPr>
      <w:r>
        <w:t xml:space="preserve">Listings were split into two groups - Older (manufactured 2004-2014) and Recent (manufactured 2015-2025) - to compare category share over time.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000"/>
      </w:tblGrid>
      <w:tr>
        <w:trPr>
          <w:tblHeader/>
        </w:trPr>
        <w:tc>
          <w:tcPr>
            <w:tcW w:type="dxa" w:w="2200"/>
            <w:shd w:fill="1F4E78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2400"/>
            <w:shd w:fill="1F4E78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Older (2004-2014)</w:t>
            </w:r>
          </w:p>
        </w:tc>
        <w:tc>
          <w:tcPr>
            <w:tcW w:type="dxa" w:w="2400"/>
            <w:shd w:fill="1F4E78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Recent (2015-2025)</w:t>
            </w:r>
          </w:p>
        </w:tc>
        <w:tc>
          <w:tcPr>
            <w:tcW w:type="dxa" w:w="2000"/>
            <w:shd w:fill="1F4E78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Budget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42.8%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8.2%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-34.6 pts</w:t>
            </w:r>
          </w:p>
        </w:tc>
      </w:tr>
      <w:tr>
        <w:tc>
          <w:tcPr>
            <w:tcW w:type="dxa" w:w="2200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Mid-range</w:t>
            </w:r>
          </w:p>
        </w:tc>
        <w:tc>
          <w:tcPr>
            <w:tcW w:type="dxa" w:w="2400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38.6%</w:t>
            </w:r>
          </w:p>
        </w:tc>
        <w:tc>
          <w:tcPr>
            <w:tcW w:type="dxa" w:w="2400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30.7%</w:t>
            </w:r>
          </w:p>
        </w:tc>
        <w:tc>
          <w:tcPr>
            <w:tcW w:type="dxa" w:w="2000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-7.8 pts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Premium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14.3%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28.5%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+14.2 pts</w:t>
            </w:r>
          </w:p>
        </w:tc>
      </w:tr>
      <w:tr>
        <w:tc>
          <w:tcPr>
            <w:tcW w:type="dxa" w:w="2200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Luxury</w:t>
            </w:r>
          </w:p>
        </w:tc>
        <w:tc>
          <w:tcPr>
            <w:tcW w:type="dxa" w:w="2400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4.3%</w:t>
            </w:r>
          </w:p>
        </w:tc>
        <w:tc>
          <w:tcPr>
            <w:tcW w:type="dxa" w:w="2400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32.5%</w:t>
            </w:r>
          </w:p>
        </w:tc>
        <w:tc>
          <w:tcPr>
            <w:tcW w:type="dxa" w:w="2000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+28.2 pts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Key Finding: The Luxury segment is the fastest-growing category, expanding roughly 7.5x in relative share between older and recent listings, while the Budget segment has contracted sharply. Note: part of this shift is explained by the price-appreciation/depreciation relationship identified in the correlation analysis (newer vehicles are inherently priced higher), so this trend reflects both a genuine market shift and a natural price-year relationship.</w:t>
      </w:r>
    </w:p>
    <w:p>
      <w:pPr>
        <w:pStyle w:val="Heading2"/>
        <w:spacing w:after="120" w:before="250"/>
      </w:pPr>
      <w:r>
        <w:t xml:space="preserve">4.4 Fuel Type and Transmission Preferences Over Time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F4E78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Fuel Type</w:t>
            </w:r>
          </w:p>
        </w:tc>
        <w:tc>
          <w:tcPr>
            <w:tcW w:type="dxa" w:w="3000"/>
            <w:shd w:fill="1F4E78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Older (2004-2014)</w:t>
            </w:r>
          </w:p>
        </w:tc>
        <w:tc>
          <w:tcPr>
            <w:tcW w:type="dxa" w:w="3000"/>
            <w:shd w:fill="1F4E78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Recent (2015-2025)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Petrol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66.6%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67.1%</w:t>
            </w:r>
          </w:p>
        </w:tc>
      </w:tr>
      <w:tr>
        <w:tc>
          <w:tcPr>
            <w:tcW w:type="dxa" w:w="3000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Hybrid</w:t>
            </w:r>
          </w:p>
        </w:tc>
        <w:tc>
          <w:tcPr>
            <w:tcW w:type="dxa" w:w="3000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12.7%</w:t>
            </w:r>
          </w:p>
        </w:tc>
        <w:tc>
          <w:tcPr>
            <w:tcW w:type="dxa" w:w="3000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12.4%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Diesel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10.9%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10.7%</w:t>
            </w:r>
          </w:p>
        </w:tc>
      </w:tr>
      <w:tr>
        <w:tc>
          <w:tcPr>
            <w:tcW w:type="dxa" w:w="3000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CNG</w:t>
            </w:r>
          </w:p>
        </w:tc>
        <w:tc>
          <w:tcPr>
            <w:tcW w:type="dxa" w:w="3000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9.8%</w:t>
            </w:r>
          </w:p>
        </w:tc>
        <w:tc>
          <w:tcPr>
            <w:tcW w:type="dxa" w:w="3000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9.7%</w:t>
            </w:r>
          </w:p>
        </w:tc>
      </w:tr>
    </w:tbl>
    <w:p>
      <w:pPr>
        <w:spacing w:after="120"/>
      </w:pPr>
      <w:r>
        <w:rPr>
          <w:i/>
          <w:iCs/>
          <w:sz w:val="20"/>
          <w:szCs w:val="20"/>
        </w:rPr>
        <w:t xml:space="preserve">Observation: Fuel type preference has remained largely stable over time, with less than 1 percentage point of change across all categories. Overall, Petrol remains dominant (66.9%) and Automatic transmission (75.1%) is now the clear market standard over Manual (24.9%).</w:t>
      </w:r>
    </w:p>
    <w:p>
      <w:pPr>
        <w:pStyle w:val="Heading1"/>
        <w:spacing w:after="150" w:before="300"/>
      </w:pPr>
      <w:r>
        <w:t xml:space="preserve">5. Geographic Analysis</w:t>
      </w:r>
    </w:p>
    <w:p>
      <w:pPr>
        <w:pStyle w:val="Heading2"/>
        <w:spacing w:after="120" w:before="250"/>
      </w:pPr>
      <w:r>
        <w:t xml:space="preserve">5.1 Average Vehicle Price by City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4E78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City</w:t>
            </w:r>
          </w:p>
        </w:tc>
        <w:tc>
          <w:tcPr>
            <w:tcW w:type="dxa" w:w="4500"/>
            <w:shd w:fill="1F4E78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Avg. Price (PKR)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Gujranwala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2,188,614</w:t>
            </w:r>
          </w:p>
        </w:tc>
      </w:tr>
      <w:tr>
        <w:tc>
          <w:tcPr>
            <w:tcW w:type="dxa" w:w="4500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Gujrat</w:t>
            </w:r>
          </w:p>
        </w:tc>
        <w:tc>
          <w:tcPr>
            <w:tcW w:type="dxa" w:w="4500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2,123,093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Quetta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2,098,241</w:t>
            </w:r>
          </w:p>
        </w:tc>
      </w:tr>
      <w:tr>
        <w:tc>
          <w:tcPr>
            <w:tcW w:type="dxa" w:w="4500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Rawalpindi</w:t>
            </w:r>
          </w:p>
        </w:tc>
        <w:tc>
          <w:tcPr>
            <w:tcW w:type="dxa" w:w="4500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2,073,443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Multan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2,065,301</w:t>
            </w:r>
          </w:p>
        </w:tc>
      </w:tr>
      <w:tr>
        <w:tc>
          <w:tcPr>
            <w:tcW w:type="dxa" w:w="4500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Faisalabad</w:t>
            </w:r>
          </w:p>
        </w:tc>
        <w:tc>
          <w:tcPr>
            <w:tcW w:type="dxa" w:w="4500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2,061,514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Sheikhupura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2,032,554</w:t>
            </w:r>
          </w:p>
        </w:tc>
      </w:tr>
      <w:tr>
        <w:tc>
          <w:tcPr>
            <w:tcW w:type="dxa" w:w="4500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Lahore</w:t>
            </w:r>
          </w:p>
        </w:tc>
        <w:tc>
          <w:tcPr>
            <w:tcW w:type="dxa" w:w="4500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2,025,370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Karachi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2,025,367</w:t>
            </w:r>
          </w:p>
        </w:tc>
      </w:tr>
      <w:tr>
        <w:tc>
          <w:tcPr>
            <w:tcW w:type="dxa" w:w="4500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Islamabad</w:t>
            </w:r>
          </w:p>
        </w:tc>
        <w:tc>
          <w:tcPr>
            <w:tcW w:type="dxa" w:w="4500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1,980,261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Peshawar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1,976,710</w:t>
            </w:r>
          </w:p>
        </w:tc>
      </w:tr>
      <w:tr>
        <w:tc>
          <w:tcPr>
            <w:tcW w:type="dxa" w:w="4500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Sargodha</w:t>
            </w:r>
          </w:p>
        </w:tc>
        <w:tc>
          <w:tcPr>
            <w:tcW w:type="dxa" w:w="4500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1,937,069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Sialkot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1,918,502</w:t>
            </w:r>
          </w:p>
        </w:tc>
      </w:tr>
      <w:tr>
        <w:tc>
          <w:tcPr>
            <w:tcW w:type="dxa" w:w="4500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Hyderabad</w:t>
            </w:r>
          </w:p>
        </w:tc>
        <w:tc>
          <w:tcPr>
            <w:tcW w:type="dxa" w:w="4500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1,890,627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Bahawalpur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1,890,441</w:t>
            </w:r>
          </w:p>
        </w:tc>
      </w:tr>
    </w:tbl>
    <w:p>
      <w:pPr>
        <w:spacing w:after="120"/>
      </w:pPr>
      <w:r>
        <w:rPr>
          <w:i/>
          <w:iCs/>
          <w:sz w:val="20"/>
          <w:szCs w:val="20"/>
        </w:rPr>
        <w:t xml:space="preserve">Observation: Average prices across all 15 cities fall within a narrow range (PKR 1.89-2.19 million), indicating fairly uniform pricing nationwide. Price appears to be driven primarily by vehicle attributes (brand, year, mileage) rather than by listing location.</w:t>
      </w:r>
    </w:p>
    <w:p>
      <w:pPr>
        <w:pStyle w:val="Heading2"/>
        <w:spacing w:after="120" w:before="250"/>
      </w:pPr>
      <w:r>
        <w:t xml:space="preserve">5.2 Brand Popularity by City</w:t>
      </w:r>
    </w:p>
    <w:p>
      <w:pPr>
        <w:spacing w:after="120"/>
      </w:pPr>
      <w:r>
        <w:t xml:space="preserve">Suzuki is the top-selling brand in 13 of the 15 cities analyzed. Toyota leads only in Gujrat and Sheikhupura.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Business takeaway: Suzuki's market leadership is not concentrated in specific regions but is a nationwide pattern, reflecting broad affordability and reach across both major metros and smaller cities.</w:t>
      </w:r>
    </w:p>
    <w:p>
      <w:pPr>
        <w:pStyle w:val="Heading1"/>
        <w:spacing w:after="150" w:before="300"/>
      </w:pPr>
      <w:r>
        <w:t xml:space="preserve">6. Key Findings Summary</w:t>
      </w:r>
    </w:p>
    <w:p>
      <w:pPr>
        <w:spacing w:after="120"/>
      </w:pPr>
      <w:r>
        <w:t xml:space="preserve">• Manufacturing Year is the strongest correlate of price, followed by Mileage and Engine Capacity.</w:t>
      </w:r>
    </w:p>
    <w:p>
      <w:pPr>
        <w:spacing w:after="120"/>
      </w:pPr>
      <w:r>
        <w:t xml:space="preserve">• The used car market is segmented with Mid-range as the largest bracket (34.6%).</w:t>
      </w:r>
    </w:p>
    <w:p>
      <w:pPr>
        <w:spacing w:after="120"/>
      </w:pPr>
      <w:r>
        <w:t xml:space="preserve">• Suzuki dominates Budget/Mid-range segments and most cities; Toyota dominates Premium/Luxury segments.</w:t>
      </w:r>
    </w:p>
    <w:p>
      <w:pPr>
        <w:spacing w:after="120"/>
      </w:pPr>
      <w:r>
        <w:t xml:space="preserve">• The Luxury segment shows the fastest relative growth among recent listings, though this is partly attributable to the natural price-year relationship.</w:t>
      </w:r>
    </w:p>
    <w:p>
      <w:pPr>
        <w:spacing w:after="120"/>
      </w:pPr>
      <w:r>
        <w:t xml:space="preserve">• Fuel type and transmission preferences are broadly stable over time, with Automatic transmission now the clear majority choice.</w:t>
      </w:r>
    </w:p>
    <w:p>
      <w:pPr>
        <w:spacing w:after="120"/>
      </w:pPr>
      <w:r>
        <w:t xml:space="preserve">• Average price is geographically uniform, varying by less than PKR 300,000 across all 15 cities studied.</w:t>
      </w:r>
    </w:p>
    <w:p>
      <w:pPr>
        <w:pStyle w:val="Heading1"/>
        <w:spacing w:after="150" w:before="300"/>
      </w:pPr>
      <w:r>
        <w:t xml:space="preserve">7. Conclusion</w:t>
      </w:r>
    </w:p>
    <w:p>
      <w:pPr>
        <w:spacing w:after="120"/>
      </w:pPr>
      <w:r>
        <w:t xml:space="preserve">The Day 3 advanced analytics confirm that vehicle age, mileage, and brand are the dominant factors shaping price and market segmentation in Pakistan's used car market, while geography plays a comparatively minor role in pricing. These findings set the stage for the Day 4 business intelligence questions and recommendations.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2026-07-05T06:06:04.687Z</dcterms:created>
  <dcterms:modified xsi:type="dcterms:W3CDTF">2026-07-05T06:06:04.703Z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