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20"/>
          <w:szCs w:val="20"/>
        </w:rPr>
        <w:t xml:space="preserve">Mechaline Data Analytics Internship Program</w:t>
      </w:r>
    </w:p>
    <w:p>
      <w:pPr>
        <w:spacing w:after="300"/>
      </w:pPr>
      <w:r>
        <w:rPr>
          <w:color w:val="555555"/>
          <w:sz w:val="20"/>
          <w:szCs w:val="20"/>
        </w:rPr>
        <w:t xml:space="preserve">Week 1 Assignment — Day 4 Deliverable</w:t>
      </w:r>
    </w:p>
    <w:p>
      <w:pPr>
        <w:spacing w:after="100"/>
      </w:pPr>
      <w:r>
        <w:rPr>
          <w:b/>
          <w:bCs/>
          <w:color w:val="1F4E78"/>
          <w:sz w:val="36"/>
          <w:szCs w:val="36"/>
        </w:rPr>
        <w:t xml:space="preserve">Business Intelligence &amp; Recommendations Report</w:t>
      </w:r>
    </w:p>
    <w:p>
      <w:pPr>
        <w:spacing w:after="60"/>
      </w:pPr>
      <w:r>
        <w:rPr>
          <w:i/>
          <w:iCs/>
          <w:sz w:val="24"/>
          <w:szCs w:val="24"/>
        </w:rPr>
        <w:t xml:space="preserve">Pakistan Used Car Market Intelligence &amp; Advanced Data Analysis</w:t>
      </w:r>
    </w:p>
    <w:p>
      <w:pPr>
        <w:spacing w:after="20"/>
      </w:pPr>
      <w:r>
        <w:rPr>
          <w:b/>
          <w:bCs/>
          <w:sz w:val="22"/>
          <w:szCs w:val="22"/>
        </w:rPr>
        <w:t xml:space="preserve">Prepared by: </w:t>
      </w:r>
      <w:r>
        <w:rPr>
          <w:sz w:val="22"/>
          <w:szCs w:val="22"/>
        </w:rPr>
        <w:t xml:space="preserve">Muneeb</w:t>
      </w:r>
    </w:p>
    <w:p>
      <w:pPr>
        <w:spacing w:after="400"/>
      </w:pPr>
      <w:r>
        <w:rPr>
          <w:b/>
          <w:bCs/>
          <w:sz w:val="22"/>
          <w:szCs w:val="22"/>
        </w:rPr>
        <w:t xml:space="preserve">Dataset: </w:t>
      </w:r>
      <w:r>
        <w:rPr>
          <w:sz w:val="22"/>
          <w:szCs w:val="22"/>
        </w:rPr>
        <w:t xml:space="preserve">PakWheels Used Car Dataset (Cleaned)</w:t>
      </w:r>
    </w:p>
    <w:p>
      <w:pPr>
        <w:pStyle w:val="Heading1"/>
        <w:spacing w:after="150" w:before="300"/>
      </w:pPr>
      <w:r>
        <w:t xml:space="preserve">1. Introduction</w:t>
      </w:r>
    </w:p>
    <w:p>
      <w:pPr>
        <w:spacing w:after="120"/>
      </w:pPr>
      <w:r>
        <w:t xml:space="preserve">This report answers the core business questions defined for Day 4 of the project, drawing on the cleaned data, EDA (Day 2), and advanced analytics (Day 3) produced earlier. Each question is answered with supporting figures and a brief interpretation, followed by a set of data-backed business recommendations for Mechaline.</w:t>
      </w:r>
    </w:p>
    <w:p>
      <w:pPr>
        <w:pStyle w:val="Heading1"/>
        <w:spacing w:after="150" w:before="300"/>
      </w:pPr>
      <w:r>
        <w:t xml:space="preserve">2. Business Questions &amp; Findings</w:t>
      </w:r>
    </w:p>
    <w:p>
      <w:pPr>
        <w:pStyle w:val="Heading2"/>
        <w:spacing w:after="100" w:before="220"/>
      </w:pPr>
      <w:r>
        <w:t xml:space="preserve">Q1. Which brands dominate Pakistan's used car market?</w:t>
      </w:r>
    </w:p>
    <w:p>
      <w:pPr>
        <w:spacing w:after="120"/>
      </w:pPr>
      <w:r>
        <w:t xml:space="preserve">Suzuki leads with 26.6% of all listings, followed by Toyota (23.5%) and Honda (17.8%). Together, these three brands account for roughly 68% of the entire market, while the remaining eight brands (KIA, Daihatsu, Hyundai, Changan, Nissan, MG, Mitsubishi, Proton) share the rest. This concentration reflects the long-standing affordability and parts availability of Suzuki, Toyota, and Honda in Pakistan.</w:t>
      </w:r>
    </w:p>
    <w:p>
      <w:pPr>
        <w:pStyle w:val="Heading2"/>
        <w:spacing w:after="100" w:before="220"/>
      </w:pPr>
      <w:r>
        <w:t xml:space="preserve">Q2. Which brands retain higher resale value?</w:t>
      </w:r>
    </w:p>
    <w:p>
      <w:pPr>
        <w:spacing w:after="120"/>
      </w:pPr>
      <w:r>
        <w:t xml:space="preserve">Resale strength was measured using average price per year of vehicle age (Price / Age). Toyota ranks highest at PKR 526,491/year, well ahead of MG (434,214), KIA (413,552), and Hyundai (412,445). Notably, Suzuki and Daihatsu - despite being the top-selling brands by volume - rank lowest in resale value (179,196 and 159,902 respectively), indicating that high sales volume does not translate to strong value retention.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shd w:fill="1F4E78" w:color="auto" w:val="clear"/>
          </w:tcPr>
          <w:p>
            <w:r>
              <w:rPr>
                <w:b/>
                <w:bCs/>
                <w:color w:val="FFFFFF"/>
                <w:sz w:val="20"/>
                <w:szCs w:val="20"/>
              </w:rPr>
              <w:t xml:space="preserve">Rank</w:t>
            </w:r>
          </w:p>
        </w:tc>
        <w:tc>
          <w:tcPr>
            <w:tcW w:type="dxa" w:w="3500"/>
            <w:shd w:fill="1F4E78" w:color="auto" w:val="clear"/>
          </w:tcPr>
          <w:p>
            <w:r>
              <w:rPr>
                <w:b/>
                <w:bCs/>
                <w:color w:val="FFFFFF"/>
                <w:sz w:val="20"/>
                <w:szCs w:val="20"/>
              </w:rPr>
              <w:t xml:space="preserve">Brand</w:t>
            </w:r>
          </w:p>
        </w:tc>
        <w:tc>
          <w:tcPr>
            <w:tcW w:type="dxa" w:w="4000"/>
            <w:shd w:fill="1F4E78" w:color="auto" w:val="clear"/>
          </w:tcPr>
          <w:p>
            <w:r>
              <w:rPr>
                <w:b/>
                <w:bCs/>
                <w:color w:val="FFFFFF"/>
                <w:sz w:val="20"/>
                <w:szCs w:val="20"/>
              </w:rPr>
              <w:t xml:space="preserve">Value Retained/Year (PKR)</w:t>
            </w:r>
          </w:p>
        </w:tc>
      </w:tr>
      <w:tr>
        <w:tc>
          <w:tcPr>
            <w:tcW w:type="dxa" w:w="1500"/>
          </w:tcPr>
          <w:p>
            <w:r>
              <w:rPr>
                <w:sz w:val="20"/>
                <w:szCs w:val="20"/>
              </w:rPr>
              <w:t xml:space="preserve">1</w:t>
            </w:r>
          </w:p>
        </w:tc>
        <w:tc>
          <w:tcPr>
            <w:tcW w:type="dxa" w:w="3500"/>
          </w:tcPr>
          <w:p>
            <w:r>
              <w:rPr>
                <w:sz w:val="20"/>
                <w:szCs w:val="20"/>
              </w:rPr>
              <w:t xml:space="preserve">Toyota</w:t>
            </w:r>
          </w:p>
        </w:tc>
        <w:tc>
          <w:tcPr>
            <w:tcW w:type="dxa" w:w="4000"/>
          </w:tcPr>
          <w:p>
            <w:r>
              <w:rPr>
                <w:sz w:val="20"/>
                <w:szCs w:val="20"/>
              </w:rPr>
              <w:t xml:space="preserve">526,491</w:t>
            </w:r>
          </w:p>
        </w:tc>
      </w:tr>
      <w:tr>
        <w:tc>
          <w:tcPr>
            <w:tcW w:type="dxa" w:w="1500"/>
            <w:shd w:fill="F2F5FA" w:color="auto" w:val="clear"/>
          </w:tcPr>
          <w:p>
            <w:r>
              <w:rPr>
                <w:sz w:val="20"/>
                <w:szCs w:val="20"/>
              </w:rPr>
              <w:t xml:space="preserve">2</w:t>
            </w:r>
          </w:p>
        </w:tc>
        <w:tc>
          <w:tcPr>
            <w:tcW w:type="dxa" w:w="3500"/>
            <w:shd w:fill="F2F5FA" w:color="auto" w:val="clear"/>
          </w:tcPr>
          <w:p>
            <w:r>
              <w:rPr>
                <w:sz w:val="20"/>
                <w:szCs w:val="20"/>
              </w:rPr>
              <w:t xml:space="preserve">MG</w:t>
            </w:r>
          </w:p>
        </w:tc>
        <w:tc>
          <w:tcPr>
            <w:tcW w:type="dxa" w:w="4000"/>
            <w:shd w:fill="F2F5FA" w:color="auto" w:val="clear"/>
          </w:tcPr>
          <w:p>
            <w:r>
              <w:rPr>
                <w:sz w:val="20"/>
                <w:szCs w:val="20"/>
              </w:rPr>
              <w:t xml:space="preserve">434,214</w:t>
            </w:r>
          </w:p>
        </w:tc>
      </w:tr>
      <w:tr>
        <w:tc>
          <w:tcPr>
            <w:tcW w:type="dxa" w:w="1500"/>
          </w:tcPr>
          <w:p>
            <w:r>
              <w:rPr>
                <w:sz w:val="20"/>
                <w:szCs w:val="20"/>
              </w:rPr>
              <w:t xml:space="preserve">3</w:t>
            </w:r>
          </w:p>
        </w:tc>
        <w:tc>
          <w:tcPr>
            <w:tcW w:type="dxa" w:w="3500"/>
          </w:tcPr>
          <w:p>
            <w:r>
              <w:rPr>
                <w:sz w:val="20"/>
                <w:szCs w:val="20"/>
              </w:rPr>
              <w:t xml:space="preserve">KIA</w:t>
            </w:r>
          </w:p>
        </w:tc>
        <w:tc>
          <w:tcPr>
            <w:tcW w:type="dxa" w:w="4000"/>
          </w:tcPr>
          <w:p>
            <w:r>
              <w:rPr>
                <w:sz w:val="20"/>
                <w:szCs w:val="20"/>
              </w:rPr>
              <w:t xml:space="preserve">413,552</w:t>
            </w:r>
          </w:p>
        </w:tc>
      </w:tr>
      <w:tr>
        <w:tc>
          <w:tcPr>
            <w:tcW w:type="dxa" w:w="1500"/>
            <w:shd w:fill="F2F5FA" w:color="auto" w:val="clear"/>
          </w:tcPr>
          <w:p>
            <w:r>
              <w:rPr>
                <w:sz w:val="20"/>
                <w:szCs w:val="20"/>
              </w:rPr>
              <w:t xml:space="preserve">4</w:t>
            </w:r>
          </w:p>
        </w:tc>
        <w:tc>
          <w:tcPr>
            <w:tcW w:type="dxa" w:w="3500"/>
            <w:shd w:fill="F2F5FA" w:color="auto" w:val="clear"/>
          </w:tcPr>
          <w:p>
            <w:r>
              <w:rPr>
                <w:sz w:val="20"/>
                <w:szCs w:val="20"/>
              </w:rPr>
              <w:t xml:space="preserve">Hyundai</w:t>
            </w:r>
          </w:p>
        </w:tc>
        <w:tc>
          <w:tcPr>
            <w:tcW w:type="dxa" w:w="4000"/>
            <w:shd w:fill="F2F5FA" w:color="auto" w:val="clear"/>
          </w:tcPr>
          <w:p>
            <w:r>
              <w:rPr>
                <w:sz w:val="20"/>
                <w:szCs w:val="20"/>
              </w:rPr>
              <w:t xml:space="preserve">412,445</w:t>
            </w:r>
          </w:p>
        </w:tc>
      </w:tr>
      <w:tr>
        <w:tc>
          <w:tcPr>
            <w:tcW w:type="dxa" w:w="1500"/>
          </w:tcPr>
          <w:p>
            <w:r>
              <w:rPr>
                <w:sz w:val="20"/>
                <w:szCs w:val="20"/>
              </w:rPr>
              <w:t xml:space="preserve">5</w:t>
            </w:r>
          </w:p>
        </w:tc>
        <w:tc>
          <w:tcPr>
            <w:tcW w:type="dxa" w:w="3500"/>
          </w:tcPr>
          <w:p>
            <w:r>
              <w:rPr>
                <w:sz w:val="20"/>
                <w:szCs w:val="20"/>
              </w:rPr>
              <w:t xml:space="preserve">Honda</w:t>
            </w:r>
          </w:p>
        </w:tc>
        <w:tc>
          <w:tcPr>
            <w:tcW w:type="dxa" w:w="4000"/>
          </w:tcPr>
          <w:p>
            <w:r>
              <w:rPr>
                <w:sz w:val="20"/>
                <w:szCs w:val="20"/>
              </w:rPr>
              <w:t xml:space="preserve">362,376</w:t>
            </w:r>
          </w:p>
        </w:tc>
      </w:tr>
      <w:tr>
        <w:tc>
          <w:tcPr>
            <w:tcW w:type="dxa" w:w="1500"/>
            <w:shd w:fill="F2F5FA" w:color="auto" w:val="clear"/>
          </w:tcPr>
          <w:p>
            <w:r>
              <w:rPr>
                <w:sz w:val="20"/>
                <w:szCs w:val="20"/>
              </w:rPr>
              <w:t xml:space="preserve">...</w:t>
            </w:r>
          </w:p>
        </w:tc>
        <w:tc>
          <w:tcPr>
            <w:tcW w:type="dxa" w:w="3500"/>
            <w:shd w:fill="F2F5FA" w:color="auto" w:val="clear"/>
          </w:tcPr>
          <w:p>
            <w:r>
              <w:rPr>
                <w:sz w:val="20"/>
                <w:szCs w:val="20"/>
              </w:rPr>
              <w:t xml:space="preserve">...</w:t>
            </w:r>
          </w:p>
        </w:tc>
        <w:tc>
          <w:tcPr>
            <w:tcW w:type="dxa" w:w="4000"/>
            <w:shd w:fill="F2F5FA" w:color="auto" w:val="clear"/>
          </w:tcPr>
          <w:p>
            <w:r>
              <w:rPr>
                <w:sz w:val="20"/>
                <w:szCs w:val="20"/>
              </w:rPr>
              <w:t xml:space="preserve">...</w:t>
            </w:r>
          </w:p>
        </w:tc>
      </w:tr>
      <w:tr>
        <w:tc>
          <w:tcPr>
            <w:tcW w:type="dxa" w:w="1500"/>
          </w:tcPr>
          <w:p>
            <w:r>
              <w:rPr>
                <w:sz w:val="20"/>
                <w:szCs w:val="20"/>
              </w:rPr>
              <w:t xml:space="preserve">10</w:t>
            </w:r>
          </w:p>
        </w:tc>
        <w:tc>
          <w:tcPr>
            <w:tcW w:type="dxa" w:w="3500"/>
          </w:tcPr>
          <w:p>
            <w:r>
              <w:rPr>
                <w:sz w:val="20"/>
                <w:szCs w:val="20"/>
              </w:rPr>
              <w:t xml:space="preserve">Suzuki</w:t>
            </w:r>
          </w:p>
        </w:tc>
        <w:tc>
          <w:tcPr>
            <w:tcW w:type="dxa" w:w="4000"/>
          </w:tcPr>
          <w:p>
            <w:r>
              <w:rPr>
                <w:sz w:val="20"/>
                <w:szCs w:val="20"/>
              </w:rPr>
              <w:t xml:space="preserve">179,196</w:t>
            </w:r>
          </w:p>
        </w:tc>
      </w:tr>
      <w:tr>
        <w:tc>
          <w:tcPr>
            <w:tcW w:type="dxa" w:w="1500"/>
            <w:shd w:fill="F2F5FA" w:color="auto" w:val="clear"/>
          </w:tcPr>
          <w:p>
            <w:r>
              <w:rPr>
                <w:sz w:val="20"/>
                <w:szCs w:val="20"/>
              </w:rPr>
              <w:t xml:space="preserve">11</w:t>
            </w:r>
          </w:p>
        </w:tc>
        <w:tc>
          <w:tcPr>
            <w:tcW w:type="dxa" w:w="3500"/>
            <w:shd w:fill="F2F5FA" w:color="auto" w:val="clear"/>
          </w:tcPr>
          <w:p>
            <w:r>
              <w:rPr>
                <w:sz w:val="20"/>
                <w:szCs w:val="20"/>
              </w:rPr>
              <w:t xml:space="preserve">Daihatsu</w:t>
            </w:r>
          </w:p>
        </w:tc>
        <w:tc>
          <w:tcPr>
            <w:tcW w:type="dxa" w:w="4000"/>
            <w:shd w:fill="F2F5FA" w:color="auto" w:val="clear"/>
          </w:tcPr>
          <w:p>
            <w:r>
              <w:rPr>
                <w:sz w:val="20"/>
                <w:szCs w:val="20"/>
              </w:rPr>
              <w:t xml:space="preserve">159,902</w:t>
            </w:r>
          </w:p>
        </w:tc>
      </w:tr>
    </w:tbl>
    <w:p>
      <w:pPr>
        <w:pStyle w:val="Heading2"/>
        <w:spacing w:after="100" w:before="220"/>
      </w:pPr>
      <w:r>
        <w:t xml:space="preserve">Q3. Which cities have the largest used car markets?</w:t>
      </w:r>
    </w:p>
    <w:p>
      <w:pPr>
        <w:spacing w:after="120"/>
      </w:pPr>
      <w:r>
        <w:t xml:space="preserve">Karachi (2,591 listings) and Lahore (2,182 listings) are by far the largest markets, together making up approximately 46% of all listings nationwide. Faisalabad, Islamabad, and Rawalpindi form a clear second tier (roughly 700-760 listings each), while smaller cities such as Bahawalpur and Sheikhupura contribute under 200 listings each.</w:t>
      </w:r>
    </w:p>
    <w:p>
      <w:pPr>
        <w:pStyle w:val="Heading2"/>
        <w:spacing w:after="100" w:before="220"/>
      </w:pPr>
      <w:r>
        <w:t xml:space="preserve">Q4. Which vehicle features most influence selling price?</w:t>
      </w:r>
    </w:p>
    <w:p>
      <w:pPr>
        <w:spacing w:after="120"/>
      </w:pPr>
      <w:r>
        <w:t xml:space="preserve">Correlation analysis (Day 3) identified Manufacturing Year as the strongest price driver (r = +0.56), followed by Mileage (r = -0.49, inverse relationship) and Engine Capacity (r = +0.32). In short: newer, lower-mileage, larger-engine vehicles command higher prices, with vehicle age being the single most influential factor.</w:t>
      </w:r>
    </w:p>
    <w:p>
      <w:pPr>
        <w:pStyle w:val="Heading2"/>
        <w:spacing w:after="100" w:before="220"/>
      </w:pPr>
      <w:r>
        <w:t xml:space="preserve">Q5. Which fuel type is becoming more popular?</w:t>
      </w:r>
    </w:p>
    <w:p>
      <w:pPr>
        <w:spacing w:after="120"/>
      </w:pPr>
      <w:r>
        <w:t xml:space="preserve">Petrol remains dominant overall at 66.9% of listings. Comparing older (2004-2014) versus recent (2015-2025) listings shows fuel type preference has stayed largely stable, with less than a 1 percentage point shift in any category. Hybrid holds a steady ~12.5% share, suggesting gradual rather than rapid adoption.</w:t>
      </w:r>
    </w:p>
    <w:p>
      <w:pPr>
        <w:pStyle w:val="Heading2"/>
        <w:spacing w:after="100" w:before="220"/>
      </w:pPr>
      <w:r>
        <w:t xml:space="preserve">Q6. Which transmission type dominates the market?</w:t>
      </w:r>
    </w:p>
    <w:p>
      <w:pPr>
        <w:spacing w:after="120"/>
      </w:pPr>
      <w:r>
        <w:t xml:space="preserve">Automatic transmission dominates with 75.1% of listings versus 24.9% for Manual - a roughly 3-to-1 ratio, confirming a clear consumer shift toward automatic vehicles.</w:t>
      </w:r>
    </w:p>
    <w:p>
      <w:pPr>
        <w:pStyle w:val="Heading2"/>
        <w:spacing w:after="100" w:before="220"/>
      </w:pPr>
      <w:r>
        <w:t xml:space="preserve">Q7. What customer preferences can Mechaline leverage in the future?</w:t>
      </w:r>
    </w:p>
    <w:p>
      <w:pPr>
        <w:spacing w:after="120"/>
      </w:pPr>
      <w:r>
        <w:t xml:space="preserve">Combining the findings above: buyers increasingly favor automatic transmission, price is driven primarily by vehicle age and mileage rather than location, Mid-range (PKR 700K-1.8M) is the largest single buyer segment, and Luxury listings are the fastest-growing category among recent-year vehicles. Toyota's strong resale value also makes it an attractive focus for value-oriented buyers and sellers.</w:t>
      </w:r>
    </w:p>
    <w:p>
      <w:pPr>
        <w:pStyle w:val="Heading1"/>
        <w:spacing w:after="150" w:before="300"/>
      </w:pPr>
      <w:r>
        <w:t xml:space="preserve">3. Business Recommendations</w:t>
      </w:r>
    </w:p>
    <w:p>
      <w:pPr>
        <w:pStyle w:val="ListParagraph"/>
        <w:numPr>
          <w:ilvl w:val="0"/>
          <w:numId w:val="1"/>
        </w:numPr>
        <w:spacing w:after="80"/>
      </w:pPr>
      <w:r>
        <w:t xml:space="preserve">Prioritize sourcing and promoting Automatic-transmission vehicles, given their ~75% market share and continued consumer preference.</w:t>
      </w:r>
    </w:p>
    <w:p>
      <w:pPr>
        <w:pStyle w:val="ListParagraph"/>
        <w:numPr>
          <w:ilvl w:val="0"/>
          <w:numId w:val="1"/>
        </w:numPr>
        <w:spacing w:after="80"/>
      </w:pPr>
      <w:r>
        <w:t xml:space="preserve">Focus core marketplace inventory on the Mid-range segment (PKR 700,000-1,800,000), which represents the largest buyer pool (34.6% of listings).</w:t>
      </w:r>
    </w:p>
    <w:p>
      <w:pPr>
        <w:pStyle w:val="ListParagraph"/>
        <w:numPr>
          <w:ilvl w:val="0"/>
          <w:numId w:val="1"/>
        </w:numPr>
        <w:spacing w:after="80"/>
      </w:pPr>
      <w:r>
        <w:t xml:space="preserve">Position Toyota listings with a 'strong resale value' messaging angle, backed by the Price/Age retention analysis, to attract value-conscious buyers.</w:t>
      </w:r>
    </w:p>
    <w:p>
      <w:pPr>
        <w:pStyle w:val="ListParagraph"/>
        <w:numPr>
          <w:ilvl w:val="0"/>
          <w:numId w:val="1"/>
        </w:numPr>
        <w:spacing w:after="80"/>
      </w:pPr>
      <w:r>
        <w:t xml:space="preserve">Expand presence in the Luxury segment, which grew from a 4.3% to 32.5% share between older and recent vehicle listings - the fastest-growing category identified.</w:t>
      </w:r>
    </w:p>
    <w:p>
      <w:pPr>
        <w:pStyle w:val="ListParagraph"/>
        <w:numPr>
          <w:ilvl w:val="0"/>
          <w:numId w:val="1"/>
        </w:numPr>
        <w:spacing w:after="80"/>
      </w:pPr>
      <w:r>
        <w:t xml:space="preserve">Since average price is geographically uniform (within a PKR 300,000 band across all 15 cities), pricing strategy should be based on vehicle attributes (age, mileage, brand) rather than city-specific premiums.</w:t>
      </w:r>
    </w:p>
    <w:p>
      <w:pPr>
        <w:pStyle w:val="ListParagraph"/>
        <w:numPr>
          <w:ilvl w:val="0"/>
          <w:numId w:val="1"/>
        </w:numPr>
        <w:spacing w:after="80"/>
      </w:pPr>
      <w:r>
        <w:t xml:space="preserve">Monitor Hybrid fuel-type listings; while adoption is currently gradual (~12.5% share, stable over time), this segment may be worth tracking for early positioning as the trend develops.</w:t>
      </w:r>
    </w:p>
    <w:p>
      <w:pPr>
        <w:pStyle w:val="Heading1"/>
        <w:spacing w:after="150" w:before="300"/>
      </w:pPr>
      <w:r>
        <w:t xml:space="preserve">4. Conclusion</w:t>
      </w:r>
    </w:p>
    <w:p>
      <w:pPr>
        <w:spacing w:after="120"/>
      </w:pPr>
      <w:r>
        <w:t xml:space="preserve">The business intelligence analysis confirms that vehicle age and mileage are the dominant price drivers, Suzuki and Toyota anchor the market from opposite ends (volume vs. resale value), and Automatic transmission and Mid-range pricing represent the core of current buyer demand. These findings directly inform the Day 5 Power BI dashboard design and Mechaline's go-to-market priorities.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2026-07-05T06:19:22.967Z</dcterms:created>
  <dcterms:modified xsi:type="dcterms:W3CDTF">2026-07-05T06:19:22.980Z</dcterms:modified>
</cp:coreProperties>
</file>

<file path=docProps/custom.xml><?xml version="1.0" encoding="utf-8"?>
<Properties xmlns="http://schemas.openxmlformats.org/officeDocument/2006/custom-properties" xmlns:vt="http://schemas.openxmlformats.org/officeDocument/2006/docPropsVTypes"/>
</file>