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200"/>
        <w:jc w:val="center"/>
      </w:pPr>
      <w:r>
        <w:rPr>
          <w:rFonts w:ascii="Georgia" w:hAnsi="Georgia"/>
          <w:b/>
          <w:color w:val="7000FF"/>
          <w:sz w:val="64"/>
        </w:rPr>
        <w:t>NEXUS SHOPKEEPER</w:t>
      </w:r>
    </w:p>
    <w:p>
      <w:pPr>
        <w:spacing w:after="2000"/>
        <w:jc w:val="center"/>
      </w:pPr>
      <w:r>
        <w:rPr>
          <w:rFonts w:ascii="Calibri" w:hAnsi="Calibri"/>
          <w:i/>
          <w:color w:val="636985"/>
          <w:sz w:val="26"/>
        </w:rPr>
        <w:t>Milestone Phase 2: Vectorized ML K-Means Engine &amp; Credit SaaS</w:t>
        <w:br/>
        <w:t>Co-Presenter Administration technical Guide</w:t>
      </w:r>
    </w:p>
    <w:tbl>
      <w:tblPr>
        <w:tblW w:type="auto" w:w="0"/>
        <w:jc w:val="center"/>
        <w:tblLook w:firstColumn="1" w:firstRow="1" w:lastColumn="0" w:lastRow="0" w:noHBand="0" w:noVBand="1" w:val="04A0"/>
      </w:tblPr>
      <w:tblGrid>
        <w:gridCol w:w="9360"/>
      </w:tblGrid>
      <w:tr>
        <w:tc>
          <w:tcPr>
            <w:tcW w:type="dxa" w:w="9360"/>
            <w:shd w:val="clear" w:color="auto" w:fill="F3F4F6"/>
            <w:tcMar>
              <w:top w:w="160" w:type="dxa"/>
              <w:bottom w:w="160" w:type="dxa"/>
              <w:left w:w="200" w:type="dxa"/>
              <w:right w:w="200" w:type="dxa"/>
            </w:tcMar>
          </w:tcPr>
          <w:p>
            <w:pPr>
              <w:spacing w:after="0"/>
              <w:jc w:val="center"/>
            </w:pPr>
            <w:r>
              <w:rPr>
                <w:rFonts w:ascii="Calibri" w:hAnsi="Calibri"/>
                <w:b/>
                <w:color w:val="1E293B"/>
                <w:sz w:val="22"/>
              </w:rPr>
              <w:t>CLASSROOM PRESENTATION ARCHIVE</w:t>
              <w:br/>
              <w:t>Presented By: Group Member B (Co-Presenter)</w:t>
              <w:br/>
              <w:t>Role: ML Engineer &amp; Credit Desk Designer</w:t>
              <w:br/>
              <w:t>Date: June 2026</w:t>
              <w:br/>
              <w:t>Focus: NumPy Broadcasting K-Means, Underwriting Risk Limits, Simple Interest Loans</w:t>
            </w:r>
          </w:p>
        </w:tc>
      </w:tr>
    </w:tbl>
    <w:p>
      <w:r>
        <w:br w:type="page"/>
      </w:r>
    </w:p>
    <w:p>
      <w:pPr>
        <w:keepNext/>
        <w:spacing w:before="400" w:after="160"/>
      </w:pPr>
      <w:r>
        <w:rPr>
          <w:rFonts w:ascii="Georgia" w:hAnsi="Georgia"/>
          <w:b/>
          <w:color w:val="7000FF"/>
          <w:sz w:val="36"/>
        </w:rPr>
        <w:t>Presentation Slide-by-Slide Outline</w:t>
      </w:r>
    </w:p>
    <w:p>
      <w:pPr>
        <w:spacing w:after="200" w:line="276" w:lineRule="auto"/>
      </w:pPr>
      <w:r>
        <w:rPr>
          <w:rFonts w:ascii="Calibri" w:hAnsi="Calibri"/>
          <w:color w:val="334155"/>
          <w:sz w:val="23"/>
        </w:rPr>
        <w:t>Use this handy page as your speech sheet while standing in front of the class. It guides you slide-by-slide through the administration &amp; ML modules:</w:t>
      </w:r>
    </w:p>
    <w:p>
      <w:pPr>
        <w:spacing w:after="120" w:line="276" w:lineRule="auto"/>
      </w:pPr>
      <w:r>
        <w:rPr>
          <w:rFonts w:ascii="Calibri" w:hAnsi="Calibri"/>
          <w:b/>
          <w:color w:val="1E293B"/>
          <w:sz w:val="23"/>
        </w:rPr>
        <w:t xml:space="preserve">• Slide 1: Phase 2 Goals: </w:t>
      </w:r>
      <w:r>
        <w:rPr>
          <w:rFonts w:ascii="Calibri" w:hAnsi="Calibri"/>
          <w:color w:val="334155"/>
          <w:sz w:val="23"/>
        </w:rPr>
        <w:t>Introduce Phase 2: focusing on backend analytics and customer risk management. The store segments buyers to offer personalized micro-loans, dynamic interest rates, and customized credit limits.</w:t>
      </w:r>
    </w:p>
    <w:p>
      <w:pPr>
        <w:spacing w:after="120" w:line="276" w:lineRule="auto"/>
      </w:pPr>
      <w:r>
        <w:rPr>
          <w:rFonts w:ascii="Calibri" w:hAnsi="Calibri"/>
          <w:b/>
          <w:color w:val="1E293B"/>
          <w:sz w:val="23"/>
        </w:rPr>
        <w:t xml:space="preserve">• Slide 2: Vectorized K-Means Model: </w:t>
      </w:r>
      <w:r>
        <w:rPr>
          <w:rFonts w:ascii="Calibri" w:hAnsi="Calibri"/>
          <w:color w:val="334155"/>
          <w:sz w:val="23"/>
        </w:rPr>
        <w:t>Discuss the machine learning implementation. We built a vectorized K-Means clustering algorithm using pure NumPy. Explain the benefits of vectorization: distances are computed instantly using broadcasting arrays rather than nested python loops.</w:t>
      </w:r>
    </w:p>
    <w:p>
      <w:pPr>
        <w:spacing w:after="120" w:line="276" w:lineRule="auto"/>
      </w:pPr>
      <w:r>
        <w:rPr>
          <w:rFonts w:ascii="Calibri" w:hAnsi="Calibri"/>
          <w:b/>
          <w:color w:val="1E293B"/>
          <w:sz w:val="23"/>
        </w:rPr>
        <w:t xml:space="preserve">• Slide 3: Credit Line Underwriting: </w:t>
      </w:r>
      <w:r>
        <w:rPr>
          <w:rFonts w:ascii="Calibri" w:hAnsi="Calibri"/>
          <w:color w:val="334155"/>
          <w:sz w:val="23"/>
        </w:rPr>
        <w:t>Present the dynamic store credit engine policies. Explain how credit limits and loan interest rates (APR) adapt to customer risk tiers, offering higher limits to premium segments and protective rates to budget spenders.</w:t>
      </w:r>
    </w:p>
    <w:p>
      <w:pPr>
        <w:spacing w:after="120" w:line="276" w:lineRule="auto"/>
      </w:pPr>
      <w:r>
        <w:rPr>
          <w:rFonts w:ascii="Calibri" w:hAnsi="Calibri"/>
          <w:b/>
          <w:color w:val="1E293B"/>
          <w:sz w:val="23"/>
        </w:rPr>
        <w:t xml:space="preserve">• Slide 4: Management UI Controls: </w:t>
      </w:r>
      <w:r>
        <w:rPr>
          <w:rFonts w:ascii="Calibri" w:hAnsi="Calibri"/>
          <w:color w:val="334155"/>
          <w:sz w:val="23"/>
        </w:rPr>
        <w:t>Walk through the Administrative Dashboard features. Highlight the SVG segment distribution charts, the technician shift toggles, and the Manager AI assistant that pulls database records to answer business queries.</w:t>
      </w:r>
    </w:p>
    <w:p>
      <w:pPr>
        <w:spacing w:after="120" w:line="276" w:lineRule="auto"/>
      </w:pPr>
      <w:r>
        <w:rPr>
          <w:rFonts w:ascii="Calibri" w:hAnsi="Calibri"/>
          <w:b/>
          <w:color w:val="1E293B"/>
          <w:sz w:val="23"/>
        </w:rPr>
        <w:t xml:space="preserve">• Slide 5: Live ML Pipeline Convergence: </w:t>
      </w:r>
      <w:r>
        <w:rPr>
          <w:rFonts w:ascii="Calibri" w:hAnsi="Calibri"/>
          <w:color w:val="334155"/>
          <w:sz w:val="23"/>
        </w:rPr>
        <w:t>Discuss model training and accuracy evaluation metrics. The pipeline convergence checks track clustering metrics to ensure reliable segment classification.</w:t>
      </w:r>
    </w:p>
    <w:p>
      <w:r>
        <w:br w:type="page"/>
      </w:r>
    </w:p>
    <w:p>
      <w:pPr>
        <w:keepNext/>
        <w:spacing w:before="400" w:after="160"/>
      </w:pPr>
      <w:r>
        <w:rPr>
          <w:rFonts w:ascii="Georgia" w:hAnsi="Georgia"/>
          <w:b/>
          <w:color w:val="7000FF"/>
          <w:sz w:val="36"/>
        </w:rPr>
        <w:t>Vectorized ML K-Means Clustering</w:t>
      </w:r>
    </w:p>
    <w:p>
      <w:pPr>
        <w:spacing w:after="200" w:line="276" w:lineRule="auto"/>
      </w:pPr>
      <w:r>
        <w:rPr>
          <w:rFonts w:ascii="Calibri" w:hAnsi="Calibri"/>
          <w:color w:val="334155"/>
          <w:sz w:val="23"/>
        </w:rPr>
        <w:t>To automate loyalty segment discovery, we developed a dynamic K-Means clustering engine in kmeans_engine.py. Crucially, the model is implemented without scikit-learn or external ML dependencies, using only vectorized NumPy arrays:</w:t>
      </w:r>
    </w:p>
    <w:p>
      <w:pPr>
        <w:spacing w:after="160" w:line="276" w:lineRule="auto"/>
      </w:pPr>
      <w:r>
        <w:rPr>
          <w:rFonts w:ascii="Calibri" w:hAnsi="Calibri"/>
          <w:b/>
          <w:color w:val="1E293B"/>
          <w:sz w:val="23"/>
        </w:rPr>
        <w:t xml:space="preserve">K-Means++ Centroid Initialization: </w:t>
      </w:r>
      <w:r>
        <w:rPr>
          <w:rFonts w:ascii="Calibri" w:hAnsi="Calibri"/>
          <w:color w:val="334155"/>
          <w:sz w:val="23"/>
        </w:rPr>
        <w:t>Before clustering, the engine picks initial centroids using distance-weighted probabilities. This ensures fast convergence (averaging under 15 iterations) and prevents the model from settling into sub-optimal local minima.</w:t>
      </w:r>
    </w:p>
    <w:p>
      <w:pPr>
        <w:spacing w:after="160" w:line="276" w:lineRule="auto"/>
      </w:pPr>
      <w:r>
        <w:rPr>
          <w:rFonts w:ascii="Calibri" w:hAnsi="Calibri"/>
          <w:b/>
          <w:color w:val="1E293B"/>
          <w:sz w:val="23"/>
        </w:rPr>
        <w:t xml:space="preserve">NumPy Broadcasting Math: </w:t>
      </w:r>
      <w:r>
        <w:rPr>
          <w:rFonts w:ascii="Calibri" w:hAnsi="Calibri"/>
          <w:color w:val="334155"/>
          <w:sz w:val="23"/>
        </w:rPr>
        <w:t>Pairwise Euclidean distances from N customers to K centroids are calculated in parallel using broadcasting: diff = data[:, np.newaxis, :] - centroids[np.newaxis, :, :]. This replaces slow Python loops with high-performance C-compiled array calculations on the CPU.</w:t>
      </w:r>
    </w:p>
    <w:p>
      <w:pPr>
        <w:spacing w:after="160" w:line="276" w:lineRule="auto"/>
      </w:pPr>
      <w:r>
        <w:rPr>
          <w:rFonts w:ascii="Calibri" w:hAnsi="Calibri"/>
          <w:b/>
          <w:color w:val="1E293B"/>
          <w:sz w:val="23"/>
        </w:rPr>
        <w:t xml:space="preserve">Silhouette Score Verification: </w:t>
      </w:r>
      <w:r>
        <w:rPr>
          <w:rFonts w:ascii="Calibri" w:hAnsi="Calibri"/>
          <w:color w:val="334155"/>
          <w:sz w:val="23"/>
        </w:rPr>
        <w:t>To validate cluster separation, the engine calculates silhouette coefficients on test partitions, verifying convergence quality before saving centroids to customer_features.npy.</w:t>
      </w:r>
    </w:p>
    <w:p>
      <w:r>
        <w:br w:type="page"/>
      </w:r>
    </w:p>
    <w:p>
      <w:pPr>
        <w:keepNext/>
        <w:spacing w:before="400" w:after="160"/>
      </w:pPr>
      <w:r>
        <w:rPr>
          <w:rFonts w:ascii="Georgia" w:hAnsi="Georgia"/>
          <w:b/>
          <w:color w:val="7000FF"/>
          <w:sz w:val="36"/>
        </w:rPr>
        <w:t>Reactive Underwriting &amp; Store Credit Policies</w:t>
      </w:r>
    </w:p>
    <w:p>
      <w:pPr>
        <w:spacing w:after="200" w:line="276" w:lineRule="auto"/>
      </w:pPr>
      <w:r>
        <w:rPr>
          <w:rFonts w:ascii="Calibri" w:hAnsi="Calibri"/>
          <w:color w:val="334155"/>
          <w:sz w:val="23"/>
        </w:rPr>
        <w:t>The store credit engine governs dynamic accounts. Limits and interest-bearing loan eligibility adapt directly to K-Means segments, facilitating autonomous checkout operations: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7000FF"/>
            <w:tcMar>
              <w:top w:w="80" w:type="dxa"/>
              <w:bottom w:w="80" w:type="dxa"/>
              <w:left w:w="100" w:type="dxa"/>
              <w:right w:w="100" w:type="dxa"/>
            </w:tcMar>
          </w:tcPr>
          <w:p>
            <w:pPr>
              <w:jc w:val="center"/>
            </w:pPr>
            <w:r>
              <w:rPr>
                <w:rFonts w:ascii="Calibri" w:hAnsi="Calibri"/>
                <w:b/>
                <w:color w:val="FFFFFF"/>
                <w:sz w:val="21"/>
              </w:rPr>
              <w:t>Loyalty Segment</w:t>
            </w:r>
          </w:p>
        </w:tc>
        <w:tc>
          <w:tcPr>
            <w:tcW w:type="dxa" w:w="2340"/>
            <w:shd w:val="clear" w:color="auto" w:fill="7000FF"/>
            <w:tcMar>
              <w:top w:w="80" w:type="dxa"/>
              <w:bottom w:w="80" w:type="dxa"/>
              <w:left w:w="100" w:type="dxa"/>
              <w:right w:w="100" w:type="dxa"/>
            </w:tcMar>
          </w:tcPr>
          <w:p>
            <w:pPr>
              <w:jc w:val="center"/>
            </w:pPr>
            <w:r>
              <w:rPr>
                <w:rFonts w:ascii="Calibri" w:hAnsi="Calibri"/>
                <w:b/>
                <w:color w:val="FFFFFF"/>
                <w:sz w:val="21"/>
              </w:rPr>
              <w:t>Credit Limit (PKR)</w:t>
            </w:r>
          </w:p>
        </w:tc>
        <w:tc>
          <w:tcPr>
            <w:tcW w:type="dxa" w:w="2340"/>
            <w:shd w:val="clear" w:color="auto" w:fill="7000FF"/>
            <w:tcMar>
              <w:top w:w="80" w:type="dxa"/>
              <w:bottom w:w="80" w:type="dxa"/>
              <w:left w:w="100" w:type="dxa"/>
              <w:right w:w="100" w:type="dxa"/>
            </w:tcMar>
          </w:tcPr>
          <w:p>
            <w:pPr>
              <w:jc w:val="center"/>
            </w:pPr>
            <w:r>
              <w:rPr>
                <w:rFonts w:ascii="Calibri" w:hAnsi="Calibri"/>
                <w:b/>
                <w:color w:val="FFFFFF"/>
                <w:sz w:val="21"/>
              </w:rPr>
              <w:t>Interest Rate (APR)</w:t>
            </w:r>
          </w:p>
        </w:tc>
        <w:tc>
          <w:tcPr>
            <w:tcW w:type="dxa" w:w="2340"/>
            <w:shd w:val="clear" w:color="auto" w:fill="7000FF"/>
            <w:tcMar>
              <w:top w:w="80" w:type="dxa"/>
              <w:bottom w:w="80" w:type="dxa"/>
              <w:left w:w="100" w:type="dxa"/>
              <w:right w:w="100" w:type="dxa"/>
            </w:tcMar>
          </w:tcPr>
          <w:p>
            <w:pPr>
              <w:jc w:val="center"/>
            </w:pPr>
            <w:r>
              <w:rPr>
                <w:rFonts w:ascii="Calibri" w:hAnsi="Calibri"/>
                <w:b/>
                <w:color w:val="FFFFFF"/>
                <w:sz w:val="21"/>
              </w:rPr>
              <w:t>Loyalty Point Multiplier</w:t>
            </w:r>
          </w:p>
        </w:tc>
      </w:tr>
      <w:tr>
        <w:tc>
          <w:tcPr>
            <w:tcW w:type="dxa" w:w="2340"/>
            <w:shd w:val="clear" w:color="auto" w:fill="F9FAFB"/>
            <w:tcMar>
              <w:top w:w="60" w:type="dxa"/>
              <w:bottom w:w="60" w:type="dxa"/>
              <w:left w:w="100" w:type="dxa"/>
              <w:right w:w="100" w:type="dxa"/>
            </w:tcMar>
          </w:tcPr>
          <w:p>
            <w:pPr>
              <w:spacing w:after="0"/>
              <w:jc w:val="center"/>
            </w:pPr>
            <w:r>
              <w:rPr>
                <w:rFonts w:ascii="Calibri" w:hAnsi="Calibri"/>
                <w:color w:val="334155"/>
                <w:sz w:val="20"/>
              </w:rPr>
              <w:t>Ultra-Luxury Spenders</w:t>
            </w:r>
          </w:p>
        </w:tc>
        <w:tc>
          <w:tcPr>
            <w:tcW w:type="dxa" w:w="2340"/>
            <w:shd w:val="clear" w:color="auto" w:fill="F9FAFB"/>
            <w:tcMar>
              <w:top w:w="60" w:type="dxa"/>
              <w:bottom w:w="60" w:type="dxa"/>
              <w:left w:w="100" w:type="dxa"/>
              <w:right w:w="100" w:type="dxa"/>
            </w:tcMar>
          </w:tcPr>
          <w:p>
            <w:pPr>
              <w:spacing w:after="0"/>
              <w:jc w:val="center"/>
            </w:pPr>
            <w:r>
              <w:rPr>
                <w:rFonts w:ascii="Calibri" w:hAnsi="Calibri"/>
                <w:color w:val="334155"/>
                <w:sz w:val="20"/>
              </w:rPr>
              <w:t>Rs. 500,000</w:t>
            </w:r>
          </w:p>
        </w:tc>
        <w:tc>
          <w:tcPr>
            <w:tcW w:type="dxa" w:w="2340"/>
            <w:shd w:val="clear" w:color="auto" w:fill="F9FAFB"/>
            <w:tcMar>
              <w:top w:w="60" w:type="dxa"/>
              <w:bottom w:w="60" w:type="dxa"/>
              <w:left w:w="100" w:type="dxa"/>
              <w:right w:w="100" w:type="dxa"/>
            </w:tcMar>
          </w:tcPr>
          <w:p>
            <w:pPr>
              <w:spacing w:after="0"/>
              <w:jc w:val="center"/>
            </w:pPr>
            <w:r>
              <w:rPr>
                <w:rFonts w:ascii="Calibri" w:hAnsi="Calibri"/>
                <w:color w:val="334155"/>
                <w:sz w:val="20"/>
              </w:rPr>
              <w:t>0.0% (Interest-Free)</w:t>
            </w:r>
          </w:p>
        </w:tc>
        <w:tc>
          <w:tcPr>
            <w:tcW w:type="dxa" w:w="2340"/>
            <w:shd w:val="clear" w:color="auto" w:fill="F9FAFB"/>
            <w:tcMar>
              <w:top w:w="60" w:type="dxa"/>
              <w:bottom w:w="60" w:type="dxa"/>
              <w:left w:w="100" w:type="dxa"/>
              <w:right w:w="100" w:type="dxa"/>
            </w:tcMar>
          </w:tcPr>
          <w:p>
            <w:pPr>
              <w:spacing w:after="0"/>
              <w:jc w:val="center"/>
            </w:pPr>
            <w:r>
              <w:rPr>
                <w:rFonts w:ascii="Calibri" w:hAnsi="Calibri"/>
                <w:color w:val="334155"/>
                <w:sz w:val="20"/>
              </w:rPr>
              <w:t>3.0x</w:t>
            </w:r>
          </w:p>
        </w:tc>
      </w:tr>
      <w:tr>
        <w:tc>
          <w:tcPr>
            <w:tcW w:type="dxa" w:w="2340"/>
            <w:shd w:val="clear" w:color="auto" w:fill="FFFFFF"/>
            <w:tcMar>
              <w:top w:w="60" w:type="dxa"/>
              <w:bottom w:w="60" w:type="dxa"/>
              <w:left w:w="100" w:type="dxa"/>
              <w:right w:w="100" w:type="dxa"/>
            </w:tcMar>
          </w:tcPr>
          <w:p>
            <w:pPr>
              <w:spacing w:after="0"/>
              <w:jc w:val="center"/>
            </w:pPr>
            <w:r>
              <w:rPr>
                <w:rFonts w:ascii="Calibri" w:hAnsi="Calibri"/>
                <w:color w:val="334155"/>
                <w:sz w:val="20"/>
              </w:rPr>
              <w:t>Mid-Tier Consistent</w:t>
            </w:r>
          </w:p>
        </w:tc>
        <w:tc>
          <w:tcPr>
            <w:tcW w:type="dxa" w:w="2340"/>
            <w:shd w:val="clear" w:color="auto" w:fill="FFFFFF"/>
            <w:tcMar>
              <w:top w:w="60" w:type="dxa"/>
              <w:bottom w:w="60" w:type="dxa"/>
              <w:left w:w="100" w:type="dxa"/>
              <w:right w:w="100" w:type="dxa"/>
            </w:tcMar>
          </w:tcPr>
          <w:p>
            <w:pPr>
              <w:spacing w:after="0"/>
              <w:jc w:val="center"/>
            </w:pPr>
            <w:r>
              <w:rPr>
                <w:rFonts w:ascii="Calibri" w:hAnsi="Calibri"/>
                <w:color w:val="334155"/>
                <w:sz w:val="20"/>
              </w:rPr>
              <w:t>Rs. 150,000</w:t>
            </w:r>
          </w:p>
        </w:tc>
        <w:tc>
          <w:tcPr>
            <w:tcW w:type="dxa" w:w="2340"/>
            <w:shd w:val="clear" w:color="auto" w:fill="FFFFFF"/>
            <w:tcMar>
              <w:top w:w="60" w:type="dxa"/>
              <w:bottom w:w="60" w:type="dxa"/>
              <w:left w:w="100" w:type="dxa"/>
              <w:right w:w="100" w:type="dxa"/>
            </w:tcMar>
          </w:tcPr>
          <w:p>
            <w:pPr>
              <w:spacing w:after="0"/>
              <w:jc w:val="center"/>
            </w:pPr>
            <w:r>
              <w:rPr>
                <w:rFonts w:ascii="Calibri" w:hAnsi="Calibri"/>
                <w:color w:val="334155"/>
                <w:sz w:val="20"/>
              </w:rPr>
              <w:t>2.5% simple APR</w:t>
            </w:r>
          </w:p>
        </w:tc>
        <w:tc>
          <w:tcPr>
            <w:tcW w:type="dxa" w:w="2340"/>
            <w:shd w:val="clear" w:color="auto" w:fill="FFFFFF"/>
            <w:tcMar>
              <w:top w:w="60" w:type="dxa"/>
              <w:bottom w:w="60" w:type="dxa"/>
              <w:left w:w="100" w:type="dxa"/>
              <w:right w:w="100" w:type="dxa"/>
            </w:tcMar>
          </w:tcPr>
          <w:p>
            <w:pPr>
              <w:spacing w:after="0"/>
              <w:jc w:val="center"/>
            </w:pPr>
            <w:r>
              <w:rPr>
                <w:rFonts w:ascii="Calibri" w:hAnsi="Calibri"/>
                <w:color w:val="334155"/>
                <w:sz w:val="20"/>
              </w:rPr>
              <w:t>1.5x</w:t>
            </w:r>
          </w:p>
        </w:tc>
      </w:tr>
      <w:tr>
        <w:tc>
          <w:tcPr>
            <w:tcW w:type="dxa" w:w="2340"/>
            <w:shd w:val="clear" w:color="auto" w:fill="F9FAFB"/>
            <w:tcMar>
              <w:top w:w="60" w:type="dxa"/>
              <w:bottom w:w="60" w:type="dxa"/>
              <w:left w:w="100" w:type="dxa"/>
              <w:right w:w="100" w:type="dxa"/>
            </w:tcMar>
          </w:tcPr>
          <w:p>
            <w:pPr>
              <w:spacing w:after="0"/>
              <w:jc w:val="center"/>
            </w:pPr>
            <w:r>
              <w:rPr>
                <w:rFonts w:ascii="Calibri" w:hAnsi="Calibri"/>
                <w:color w:val="334155"/>
                <w:sz w:val="20"/>
              </w:rPr>
              <w:t>High-Value Impulse</w:t>
            </w:r>
          </w:p>
        </w:tc>
        <w:tc>
          <w:tcPr>
            <w:tcW w:type="dxa" w:w="2340"/>
            <w:shd w:val="clear" w:color="auto" w:fill="F9FAFB"/>
            <w:tcMar>
              <w:top w:w="60" w:type="dxa"/>
              <w:bottom w:w="60" w:type="dxa"/>
              <w:left w:w="100" w:type="dxa"/>
              <w:right w:w="100" w:type="dxa"/>
            </w:tcMar>
          </w:tcPr>
          <w:p>
            <w:pPr>
              <w:spacing w:after="0"/>
              <w:jc w:val="center"/>
            </w:pPr>
            <w:r>
              <w:rPr>
                <w:rFonts w:ascii="Calibri" w:hAnsi="Calibri"/>
                <w:color w:val="334155"/>
                <w:sz w:val="20"/>
              </w:rPr>
              <w:t>Rs. 200,000</w:t>
            </w:r>
          </w:p>
        </w:tc>
        <w:tc>
          <w:tcPr>
            <w:tcW w:type="dxa" w:w="2340"/>
            <w:shd w:val="clear" w:color="auto" w:fill="F9FAFB"/>
            <w:tcMar>
              <w:top w:w="60" w:type="dxa"/>
              <w:bottom w:w="60" w:type="dxa"/>
              <w:left w:w="100" w:type="dxa"/>
              <w:right w:w="100" w:type="dxa"/>
            </w:tcMar>
          </w:tcPr>
          <w:p>
            <w:pPr>
              <w:spacing w:after="0"/>
              <w:jc w:val="center"/>
            </w:pPr>
            <w:r>
              <w:rPr>
                <w:rFonts w:ascii="Calibri" w:hAnsi="Calibri"/>
                <w:color w:val="334155"/>
                <w:sz w:val="20"/>
              </w:rPr>
              <w:t>3.0% simple APR</w:t>
            </w:r>
          </w:p>
        </w:tc>
        <w:tc>
          <w:tcPr>
            <w:tcW w:type="dxa" w:w="2340"/>
            <w:shd w:val="clear" w:color="auto" w:fill="F9FAFB"/>
            <w:tcMar>
              <w:top w:w="60" w:type="dxa"/>
              <w:bottom w:w="60" w:type="dxa"/>
              <w:left w:w="100" w:type="dxa"/>
              <w:right w:w="100" w:type="dxa"/>
            </w:tcMar>
          </w:tcPr>
          <w:p>
            <w:pPr>
              <w:spacing w:after="0"/>
              <w:jc w:val="center"/>
            </w:pPr>
            <w:r>
              <w:rPr>
                <w:rFonts w:ascii="Calibri" w:hAnsi="Calibri"/>
                <w:color w:val="334155"/>
                <w:sz w:val="20"/>
              </w:rPr>
              <w:t>2.0x</w:t>
            </w:r>
          </w:p>
        </w:tc>
      </w:tr>
      <w:tr>
        <w:tc>
          <w:tcPr>
            <w:tcW w:type="dxa" w:w="2340"/>
            <w:shd w:val="clear" w:color="auto" w:fill="FFFFFF"/>
            <w:tcMar>
              <w:top w:w="60" w:type="dxa"/>
              <w:bottom w:w="60" w:type="dxa"/>
              <w:left w:w="100" w:type="dxa"/>
              <w:right w:w="100" w:type="dxa"/>
            </w:tcMar>
          </w:tcPr>
          <w:p>
            <w:pPr>
              <w:spacing w:after="0"/>
              <w:jc w:val="center"/>
            </w:pPr>
            <w:r>
              <w:rPr>
                <w:rFonts w:ascii="Calibri" w:hAnsi="Calibri"/>
                <w:color w:val="334155"/>
                <w:sz w:val="20"/>
              </w:rPr>
              <w:t>Essential Bulk Buyers</w:t>
            </w:r>
          </w:p>
        </w:tc>
        <w:tc>
          <w:tcPr>
            <w:tcW w:type="dxa" w:w="2340"/>
            <w:shd w:val="clear" w:color="auto" w:fill="FFFFFF"/>
            <w:tcMar>
              <w:top w:w="60" w:type="dxa"/>
              <w:bottom w:w="60" w:type="dxa"/>
              <w:left w:w="100" w:type="dxa"/>
              <w:right w:w="100" w:type="dxa"/>
            </w:tcMar>
          </w:tcPr>
          <w:p>
            <w:pPr>
              <w:spacing w:after="0"/>
              <w:jc w:val="center"/>
            </w:pPr>
            <w:r>
              <w:rPr>
                <w:rFonts w:ascii="Calibri" w:hAnsi="Calibri"/>
                <w:color w:val="334155"/>
                <w:sz w:val="20"/>
              </w:rPr>
              <w:t>Rs. 100,000</w:t>
            </w:r>
          </w:p>
        </w:tc>
        <w:tc>
          <w:tcPr>
            <w:tcW w:type="dxa" w:w="2340"/>
            <w:shd w:val="clear" w:color="auto" w:fill="FFFFFF"/>
            <w:tcMar>
              <w:top w:w="60" w:type="dxa"/>
              <w:bottom w:w="60" w:type="dxa"/>
              <w:left w:w="100" w:type="dxa"/>
              <w:right w:w="100" w:type="dxa"/>
            </w:tcMar>
          </w:tcPr>
          <w:p>
            <w:pPr>
              <w:spacing w:after="0"/>
              <w:jc w:val="center"/>
            </w:pPr>
            <w:r>
              <w:rPr>
                <w:rFonts w:ascii="Calibri" w:hAnsi="Calibri"/>
                <w:color w:val="334155"/>
                <w:sz w:val="20"/>
              </w:rPr>
              <w:t>4.0% simple APR</w:t>
            </w:r>
          </w:p>
        </w:tc>
        <w:tc>
          <w:tcPr>
            <w:tcW w:type="dxa" w:w="2340"/>
            <w:shd w:val="clear" w:color="auto" w:fill="FFFFFF"/>
            <w:tcMar>
              <w:top w:w="60" w:type="dxa"/>
              <w:bottom w:w="60" w:type="dxa"/>
              <w:left w:w="100" w:type="dxa"/>
              <w:right w:w="100" w:type="dxa"/>
            </w:tcMar>
          </w:tcPr>
          <w:p>
            <w:pPr>
              <w:spacing w:after="0"/>
              <w:jc w:val="center"/>
            </w:pPr>
            <w:r>
              <w:rPr>
                <w:rFonts w:ascii="Calibri" w:hAnsi="Calibri"/>
                <w:color w:val="334155"/>
                <w:sz w:val="20"/>
              </w:rPr>
              <w:t>1.2x</w:t>
            </w:r>
          </w:p>
        </w:tc>
      </w:tr>
      <w:tr>
        <w:tc>
          <w:tcPr>
            <w:tcW w:type="dxa" w:w="2340"/>
            <w:shd w:val="clear" w:color="auto" w:fill="F9FAFB"/>
            <w:tcMar>
              <w:top w:w="60" w:type="dxa"/>
              <w:bottom w:w="60" w:type="dxa"/>
              <w:left w:w="100" w:type="dxa"/>
              <w:right w:w="100" w:type="dxa"/>
            </w:tcMar>
          </w:tcPr>
          <w:p>
            <w:pPr>
              <w:spacing w:after="0"/>
              <w:jc w:val="center"/>
            </w:pPr>
            <w:r>
              <w:rPr>
                <w:rFonts w:ascii="Calibri" w:hAnsi="Calibri"/>
                <w:color w:val="334155"/>
                <w:sz w:val="20"/>
              </w:rPr>
              <w:t>Strategic Deal-Hunters</w:t>
            </w:r>
          </w:p>
        </w:tc>
        <w:tc>
          <w:tcPr>
            <w:tcW w:type="dxa" w:w="2340"/>
            <w:shd w:val="clear" w:color="auto" w:fill="F9FAFB"/>
            <w:tcMar>
              <w:top w:w="60" w:type="dxa"/>
              <w:bottom w:w="60" w:type="dxa"/>
              <w:left w:w="100" w:type="dxa"/>
              <w:right w:w="100" w:type="dxa"/>
            </w:tcMar>
          </w:tcPr>
          <w:p>
            <w:pPr>
              <w:spacing w:after="0"/>
              <w:jc w:val="center"/>
            </w:pPr>
            <w:r>
              <w:rPr>
                <w:rFonts w:ascii="Calibri" w:hAnsi="Calibri"/>
                <w:color w:val="334155"/>
                <w:sz w:val="20"/>
              </w:rPr>
              <w:t>Rs. 50,000</w:t>
            </w:r>
          </w:p>
        </w:tc>
        <w:tc>
          <w:tcPr>
            <w:tcW w:type="dxa" w:w="2340"/>
            <w:shd w:val="clear" w:color="auto" w:fill="F9FAFB"/>
            <w:tcMar>
              <w:top w:w="60" w:type="dxa"/>
              <w:bottom w:w="60" w:type="dxa"/>
              <w:left w:w="100" w:type="dxa"/>
              <w:right w:w="100" w:type="dxa"/>
            </w:tcMar>
          </w:tcPr>
          <w:p>
            <w:pPr>
              <w:spacing w:after="0"/>
              <w:jc w:val="center"/>
            </w:pPr>
            <w:r>
              <w:rPr>
                <w:rFonts w:ascii="Calibri" w:hAnsi="Calibri"/>
                <w:color w:val="334155"/>
                <w:sz w:val="20"/>
              </w:rPr>
              <w:t>5.0% simple APR</w:t>
            </w:r>
          </w:p>
        </w:tc>
        <w:tc>
          <w:tcPr>
            <w:tcW w:type="dxa" w:w="2340"/>
            <w:shd w:val="clear" w:color="auto" w:fill="F9FAFB"/>
            <w:tcMar>
              <w:top w:w="60" w:type="dxa"/>
              <w:bottom w:w="60" w:type="dxa"/>
              <w:left w:w="100" w:type="dxa"/>
              <w:right w:w="100" w:type="dxa"/>
            </w:tcMar>
          </w:tcPr>
          <w:p>
            <w:pPr>
              <w:spacing w:after="0"/>
              <w:jc w:val="center"/>
            </w:pPr>
            <w:r>
              <w:rPr>
                <w:rFonts w:ascii="Calibri" w:hAnsi="Calibri"/>
                <w:color w:val="334155"/>
                <w:sz w:val="20"/>
              </w:rPr>
              <w:t>1.0x</w:t>
            </w:r>
          </w:p>
        </w:tc>
      </w:tr>
      <w:tr>
        <w:tc>
          <w:tcPr>
            <w:tcW w:type="dxa" w:w="2340"/>
            <w:shd w:val="clear" w:color="auto" w:fill="FFFFFF"/>
            <w:tcMar>
              <w:top w:w="60" w:type="dxa"/>
              <w:bottom w:w="60" w:type="dxa"/>
              <w:left w:w="100" w:type="dxa"/>
              <w:right w:w="100" w:type="dxa"/>
            </w:tcMar>
          </w:tcPr>
          <w:p>
            <w:pPr>
              <w:spacing w:after="0"/>
              <w:jc w:val="center"/>
            </w:pPr>
            <w:r>
              <w:rPr>
                <w:rFonts w:ascii="Calibri" w:hAnsi="Calibri"/>
                <w:color w:val="334155"/>
                <w:sz w:val="20"/>
              </w:rPr>
              <w:t>Strict Budget Spenders</w:t>
            </w:r>
          </w:p>
        </w:tc>
        <w:tc>
          <w:tcPr>
            <w:tcW w:type="dxa" w:w="2340"/>
            <w:shd w:val="clear" w:color="auto" w:fill="FFFFFF"/>
            <w:tcMar>
              <w:top w:w="60" w:type="dxa"/>
              <w:bottom w:w="60" w:type="dxa"/>
              <w:left w:w="100" w:type="dxa"/>
              <w:right w:w="100" w:type="dxa"/>
            </w:tcMar>
          </w:tcPr>
          <w:p>
            <w:pPr>
              <w:spacing w:after="0"/>
              <w:jc w:val="center"/>
            </w:pPr>
            <w:r>
              <w:rPr>
                <w:rFonts w:ascii="Calibri" w:hAnsi="Calibri"/>
                <w:color w:val="334155"/>
                <w:sz w:val="20"/>
              </w:rPr>
              <w:t>Rs. 20,000</w:t>
            </w:r>
          </w:p>
        </w:tc>
        <w:tc>
          <w:tcPr>
            <w:tcW w:type="dxa" w:w="2340"/>
            <w:shd w:val="clear" w:color="auto" w:fill="FFFFFF"/>
            <w:tcMar>
              <w:top w:w="60" w:type="dxa"/>
              <w:bottom w:w="60" w:type="dxa"/>
              <w:left w:w="100" w:type="dxa"/>
              <w:right w:w="100" w:type="dxa"/>
            </w:tcMar>
          </w:tcPr>
          <w:p>
            <w:pPr>
              <w:spacing w:after="0"/>
              <w:jc w:val="center"/>
            </w:pPr>
            <w:r>
              <w:rPr>
                <w:rFonts w:ascii="Calibri" w:hAnsi="Calibri"/>
                <w:color w:val="334155"/>
                <w:sz w:val="20"/>
              </w:rPr>
              <w:t>8.0% simple APR</w:t>
            </w:r>
          </w:p>
        </w:tc>
        <w:tc>
          <w:tcPr>
            <w:tcW w:type="dxa" w:w="2340"/>
            <w:shd w:val="clear" w:color="auto" w:fill="FFFFFF"/>
            <w:tcMar>
              <w:top w:w="60" w:type="dxa"/>
              <w:bottom w:w="60" w:type="dxa"/>
              <w:left w:w="100" w:type="dxa"/>
              <w:right w:w="100" w:type="dxa"/>
            </w:tcMar>
          </w:tcPr>
          <w:p>
            <w:pPr>
              <w:spacing w:after="0"/>
              <w:jc w:val="center"/>
            </w:pPr>
            <w:r>
              <w:rPr>
                <w:rFonts w:ascii="Calibri" w:hAnsi="Calibri"/>
                <w:color w:val="334155"/>
                <w:sz w:val="20"/>
              </w:rPr>
              <w:t>1.0x</w:t>
            </w:r>
          </w:p>
        </w:tc>
      </w:tr>
    </w:tbl>
    <w:p/>
    <w:p>
      <w:pPr>
        <w:spacing w:after="200" w:line="276" w:lineRule="auto"/>
      </w:pPr>
      <w:r>
        <w:rPr>
          <w:rFonts w:ascii="Calibri" w:hAnsi="Calibri"/>
          <w:b/>
          <w:color w:val="1E293B"/>
          <w:sz w:val="23"/>
        </w:rPr>
        <w:t xml:space="preserve">Loan Rules: </w:t>
      </w:r>
      <w:r>
        <w:rPr>
          <w:rFonts w:ascii="Calibri" w:hAnsi="Calibri"/>
          <w:color w:val="334155"/>
          <w:sz w:val="23"/>
        </w:rPr>
        <w:t>Instant micro-loans can be requested at checkout. Eligibility checks verify that the customer's total outstanding debt does not exceed their segment-specific credit limit. Simple interest is computed dynamically based on the segment risk profile.</w:t>
      </w:r>
    </w:p>
    <w:p>
      <w:r>
        <w:br w:type="page"/>
      </w:r>
    </w:p>
    <w:p>
      <w:pPr>
        <w:keepNext/>
        <w:spacing w:before="400" w:after="160"/>
      </w:pPr>
      <w:r>
        <w:rPr>
          <w:rFonts w:ascii="Georgia" w:hAnsi="Georgia"/>
          <w:b/>
          <w:color w:val="7000FF"/>
          <w:sz w:val="36"/>
        </w:rPr>
        <w:t>Classroom Q&amp;A Cheat Sheet (Defense Guide)</w:t>
      </w:r>
    </w:p>
    <w:p>
      <w:pPr>
        <w:spacing w:after="200" w:line="276" w:lineRule="auto"/>
      </w:pPr>
      <w:r>
        <w:rPr>
          <w:rFonts w:ascii="Calibri" w:hAnsi="Calibri"/>
          <w:color w:val="334155"/>
          <w:sz w:val="23"/>
        </w:rPr>
        <w:t>Review these common technical questions and answers to prepare for questions from professors or classmates during your presentation:</w:t>
      </w:r>
    </w:p>
    <w:p>
      <w:pPr>
        <w:spacing w:before="160" w:after="40"/>
      </w:pPr>
      <w:r>
        <w:rPr>
          <w:rFonts w:ascii="Calibri" w:hAnsi="Calibri"/>
          <w:b/>
          <w:color w:val="7000FF"/>
          <w:sz w:val="22"/>
        </w:rPr>
        <w:t>Q: Why write K-Means in pure NumPy rather than importing scikit-learn?</w:t>
      </w:r>
    </w:p>
    <w:p>
      <w:pPr>
        <w:spacing w:after="200"/>
      </w:pPr>
      <w:r>
        <w:rPr>
          <w:rFonts w:ascii="Calibri" w:hAnsi="Calibri"/>
          <w:color w:val="475569"/>
          <w:sz w:val="22"/>
        </w:rPr>
        <w:t>A: Scikit-learn is a massive library with extensive system dependencies, making it heavy for low-latency web applications. Writing K-Means in vectorized NumPy keeps code lightweight, runs on clean Python installations, and executes clustering logic instantly. It demonstrates a deep mathematical understanding of ML algorithms rather than just calling an API.</w:t>
      </w:r>
    </w:p>
    <w:p>
      <w:pPr>
        <w:spacing w:before="160" w:after="40"/>
      </w:pPr>
      <w:r>
        <w:rPr>
          <w:rFonts w:ascii="Calibri" w:hAnsi="Calibri"/>
          <w:b/>
          <w:color w:val="7000FF"/>
          <w:sz w:val="22"/>
        </w:rPr>
        <w:t>Q: How does K-Means++ improve standard random centroid initialization?</w:t>
      </w:r>
    </w:p>
    <w:p>
      <w:pPr>
        <w:spacing w:after="200"/>
      </w:pPr>
      <w:r>
        <w:rPr>
          <w:rFonts w:ascii="Calibri" w:hAnsi="Calibri"/>
          <w:color w:val="475569"/>
          <w:sz w:val="22"/>
        </w:rPr>
        <w:t>A: Standard random initialization can select starting centroids that are close together, resulting in sub-optimal local minima and poor segment groupings. K-Means++ chooses the first centroid randomly, and then selects subsequent centroids with a probability proportional to their squared distance from existing centers. This ensures they are spread out across the feature space, leading to faster, more consistent convergence.</w:t>
      </w:r>
    </w:p>
    <w:p>
      <w:pPr>
        <w:spacing w:before="160" w:after="40"/>
      </w:pPr>
      <w:r>
        <w:rPr>
          <w:rFonts w:ascii="Calibri" w:hAnsi="Calibri"/>
          <w:b/>
          <w:color w:val="7000FF"/>
          <w:sz w:val="22"/>
        </w:rPr>
        <w:t>Q: How does the simple interest formula react dynamically to loans?</w:t>
      </w:r>
    </w:p>
    <w:p>
      <w:pPr>
        <w:spacing w:after="200"/>
      </w:pPr>
      <w:r>
        <w:rPr>
          <w:rFonts w:ascii="Calibri" w:hAnsi="Calibri"/>
          <w:color w:val="475569"/>
          <w:sz w:val="22"/>
        </w:rPr>
        <w:t>A: Simple interest is calculated as Principal * (APR / 365) * Days. The APR rate is determined by the customer's behavioral segment. If a user is re-clustered into a lower-risk segment due to increased spending or more frequent visits, their APR decreases, dynamically rewarding improved purchasing behavior.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