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spacing w:after="40"/>
        <w:jc w:val="left"/>
      </w:pPr>
      <w:r>
        <w:rPr>
          <w:rFonts w:ascii="Arial" w:hAnsi="Arial"/>
          <w:b/>
          <w:color w:val="5B21B6"/>
          <w:sz w:val="52"/>
        </w:rPr>
        <w:t>NEXUS SHOPKEEPER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</w:tr>
    </w:tbl>
    <w:p>
      <w:pPr>
        <w:spacing w:before="240" w:after="3600"/>
      </w:pPr>
      <w:r>
        <w:rPr>
          <w:rFonts w:ascii="Calibri" w:hAnsi="Calibri"/>
          <w:i/>
          <w:color w:val="64748B"/>
          <w:sz w:val="25"/>
        </w:rPr>
        <w:t>Milestone Phase 2 Specification: Vectorized ML &amp; Credit SaaS Engine</w:t>
        <w:br/>
        <w:t>Classroom Presentation &amp; Technical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80" w:type="dxa"/>
              <w:bottom w:w="180" w:type="dxa"/>
              <w:left w:w="240" w:type="dxa"/>
              <w:right w:w="240" w:type="dxa"/>
            </w:tcMar>
            <w:tcBorders>
              <w:top w:val="none"/>
              <w:left w:val="single" w:sz="24" w:space="0" w:color="475569"/>
              <w:bottom w:val="none"/>
              <w:right w:val="none"/>
            </w:tcBorders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color w:val="334155"/>
                <w:sz w:val="21"/>
              </w:rPr>
              <w:t>PROJECT SPECIFICATION ARCHIVE</w:t>
              <w:br/>
            </w:r>
            <w:r>
              <w:rPr>
                <w:rFonts w:ascii="Calibri" w:hAnsi="Calibri"/>
                <w:color w:val="334155"/>
                <w:sz w:val="21"/>
              </w:rPr>
              <w:t>Presented By: Muneeb ur Rehman, Muhammad Ibrahim, Hassaan Ikram (Group 2)</w:t>
              <w:br/>
            </w:r>
            <w:r>
              <w:rPr>
                <w:rFonts w:ascii="Calibri" w:hAnsi="Calibri"/>
                <w:color w:val="334155"/>
                <w:sz w:val="21"/>
              </w:rPr>
              <w:t>Affiliation: Department of Software Engineering</w:t>
              <w:br/>
            </w:r>
            <w:r>
              <w:rPr>
                <w:rFonts w:ascii="Calibri" w:hAnsi="Calibri"/>
                <w:color w:val="334155"/>
                <w:sz w:val="21"/>
              </w:rPr>
              <w:t>Date: June 2026</w:t>
              <w:br/>
            </w:r>
            <w:r>
              <w:rPr>
                <w:rFonts w:ascii="Calibri" w:hAnsi="Calibri"/>
                <w:color w:val="334155"/>
                <w:sz w:val="21"/>
              </w:rPr>
              <w:t>Software Release: Nexus Shopkeeper v1.0.0 (Pakistani Retail SaaS)</w:t>
              <w:br/>
            </w:r>
            <w:r>
              <w:rPr>
                <w:rFonts w:ascii="Calibri" w:hAnsi="Calibri"/>
                <w:color w:val="334155"/>
                <w:sz w:val="21"/>
              </w:rPr>
              <w:t>Focus: NumPy Broadcasting K-Means, Credit Policy Limits, Simple Interest Loans</w:t>
            </w:r>
          </w:p>
        </w:tc>
      </w:tr>
    </w:tbl>
    <w:p>
      <w:r>
        <w:br w:type="page"/>
      </w:r>
    </w:p>
    <w:p>
      <w:pPr>
        <w:keepNext/>
        <w:spacing w:before="480" w:after="160"/>
      </w:pPr>
      <w:r>
        <w:rPr>
          <w:rFonts w:ascii="Arial" w:hAnsi="Arial"/>
          <w:b/>
          <w:color w:val="5B21B6"/>
          <w:sz w:val="32"/>
        </w:rPr>
        <w:t>Presentation Slide-by-Slide Outline</w:t>
      </w:r>
    </w:p>
    <w:p>
      <w:pPr>
        <w:spacing w:after="200" w:line="276" w:lineRule="auto"/>
      </w:pPr>
      <w:r>
        <w:rPr>
          <w:rFonts w:ascii="Calibri" w:hAnsi="Calibri"/>
          <w:color w:val="334155"/>
          <w:sz w:val="22"/>
        </w:rPr>
        <w:t>This outline serves as your presentation speech sheet during the classroom evaluation. It breaks down the ML and financial models slide-by-slide:</w:t>
      </w:r>
    </w:p>
    <w:p>
      <w:pPr>
        <w:spacing w:after="200" w:line="276" w:lineRule="auto"/>
      </w:pPr>
      <w:r>
        <w:rPr>
          <w:rFonts w:ascii="Calibri" w:hAnsi="Calibri"/>
          <w:b/>
          <w:color w:val="0F172A"/>
          <w:sz w:val="22"/>
        </w:rPr>
        <w:t xml:space="preserve">• Slide 1: Phase 2 Overview: </w:t>
      </w:r>
      <w:r>
        <w:rPr>
          <w:rFonts w:ascii="Calibri" w:hAnsi="Calibri"/>
          <w:color w:val="334155"/>
          <w:sz w:val="22"/>
        </w:rPr>
        <w:t>Explain that Phase 2 focuses on advanced SaaS analytics. The system segments customers using a custom K-Means engine to offer dynamic micro-loans, personalized credit limits, and interest rates.</w:t>
      </w:r>
    </w:p>
    <w:p>
      <w:pPr>
        <w:spacing w:after="200" w:line="276" w:lineRule="auto"/>
      </w:pPr>
      <w:r>
        <w:rPr>
          <w:rFonts w:ascii="Calibri" w:hAnsi="Calibri"/>
          <w:b/>
          <w:color w:val="0F172A"/>
          <w:sz w:val="22"/>
        </w:rPr>
        <w:t xml:space="preserve">• Slide 2: NumPy Vectorized K-Means: </w:t>
      </w:r>
      <w:r>
        <w:rPr>
          <w:rFonts w:ascii="Calibri" w:hAnsi="Calibri"/>
          <w:color w:val="334155"/>
          <w:sz w:val="22"/>
        </w:rPr>
        <w:t>Discuss the machine learning implementation. We built K-Means from scratch using pure NumPy broadcasting, fitting 500 behavioral records in milliseconds without scikit-learn dependency.</w:t>
      </w:r>
    </w:p>
    <w:p>
      <w:pPr>
        <w:spacing w:after="200" w:line="276" w:lineRule="auto"/>
      </w:pPr>
      <w:r>
        <w:rPr>
          <w:rFonts w:ascii="Calibri" w:hAnsi="Calibri"/>
          <w:b/>
          <w:color w:val="0F172A"/>
          <w:sz w:val="22"/>
        </w:rPr>
        <w:t xml:space="preserve">• Slide 3: Credit Line Underwriting Policies: </w:t>
      </w:r>
      <w:r>
        <w:rPr>
          <w:rFonts w:ascii="Calibri" w:hAnsi="Calibri"/>
          <w:color w:val="334155"/>
          <w:sz w:val="22"/>
        </w:rPr>
        <w:t>Present the dynamic store credit policies. Show how limits and simple interest rates (APR) scale by risk segment, protecting the mart from defaults while rewarding loyalty.</w:t>
      </w:r>
    </w:p>
    <w:p>
      <w:pPr>
        <w:spacing w:after="200" w:line="276" w:lineRule="auto"/>
      </w:pPr>
      <w:r>
        <w:rPr>
          <w:rFonts w:ascii="Calibri" w:hAnsi="Calibri"/>
          <w:b/>
          <w:color w:val="0F172A"/>
          <w:sz w:val="22"/>
        </w:rPr>
        <w:t xml:space="preserve">• Slide 4: Management UI Controls: </w:t>
      </w:r>
      <w:r>
        <w:rPr>
          <w:rFonts w:ascii="Calibri" w:hAnsi="Calibri"/>
          <w:color w:val="334155"/>
          <w:sz w:val="22"/>
        </w:rPr>
        <w:t>Highlight the Administrative Dashboard features. Showcase the SVG segment distribution charts, the supervisor shift toggles, and the Manager AI assistant that pulls database records to answer business queries.</w:t>
      </w:r>
    </w:p>
    <w:p>
      <w:pPr>
        <w:spacing w:after="200" w:line="276" w:lineRule="auto"/>
      </w:pPr>
      <w:r>
        <w:rPr>
          <w:rFonts w:ascii="Calibri" w:hAnsi="Calibri"/>
          <w:b/>
          <w:color w:val="0F172A"/>
          <w:sz w:val="22"/>
        </w:rPr>
        <w:t xml:space="preserve">• Slide 5: Live ML Pipeline Convergence: </w:t>
      </w:r>
      <w:r>
        <w:rPr>
          <w:rFonts w:ascii="Calibri" w:hAnsi="Calibri"/>
          <w:color w:val="334155"/>
          <w:sz w:val="22"/>
        </w:rPr>
        <w:t>Discuss model training and accuracy evaluation metrics. The pipeline convergence checks track clustering metrics to ensure reliable segment classification.</w:t>
      </w:r>
    </w:p>
    <w:p>
      <w:r>
        <w:br w:type="page"/>
      </w:r>
    </w:p>
    <w:p>
      <w:pPr>
        <w:keepNext/>
        <w:spacing w:before="480" w:after="160"/>
      </w:pPr>
      <w:r>
        <w:rPr>
          <w:rFonts w:ascii="Arial" w:hAnsi="Arial"/>
          <w:b/>
          <w:color w:val="5B21B6"/>
          <w:sz w:val="32"/>
        </w:rPr>
        <w:t>Vectorized ML K-Means Clustering</w:t>
      </w:r>
    </w:p>
    <w:p>
      <w:pPr>
        <w:spacing w:after="200" w:line="276" w:lineRule="auto"/>
      </w:pPr>
      <w:r>
        <w:rPr>
          <w:rFonts w:ascii="Calibri" w:hAnsi="Calibri"/>
          <w:color w:val="334155"/>
          <w:sz w:val="22"/>
        </w:rPr>
        <w:t>To automate loyalty segment discovery, we developed a dynamic K-Means clustering engine in kmeans_engine.py. Crucially, the model is implemented without scikit-learn or external ML dependencies, using only vectorized NumPy arrays: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K-Means++ Centroid Initialization: </w:t>
      </w:r>
      <w:r>
        <w:t>Initializes centroids using a distance-weighted probability distribution, avoiding poor local minima and speeding up convergence times.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Broadcasting Vectorization: </w:t>
      </w:r>
      <w:r>
        <w:t>Computes distances in milliseconds using NumPy multidimensional broadcasting arrays, fitting large datasets instantly.</w:t>
      </w:r>
    </w:p>
    <w:p>
      <w:pPr>
        <w:pStyle w:val="ListBullet"/>
        <w:spacing w:after="80"/>
      </w:pPr>
      <w:r>
        <w:rPr>
          <w:rFonts w:ascii="Calibri" w:hAnsi="Calibri"/>
          <w:b/>
        </w:rPr>
        <w:t xml:space="preserve">Silhouette Quality Evaluator: </w:t>
      </w:r>
      <w:r>
        <w:t>Calculates silhouette scores to quantify cluster cohesion and separation, verifying convergence accuracy.</w:t>
      </w:r>
    </w:p>
    <w:p>
      <w:pPr>
        <w:keepNext/>
        <w:spacing w:before="320" w:after="120"/>
      </w:pPr>
      <w:r>
        <w:rPr>
          <w:rFonts w:ascii="Arial" w:hAnsi="Arial"/>
          <w:b/>
          <w:color w:val="5B21B6"/>
          <w:sz w:val="26"/>
        </w:rPr>
        <w:t>NumPy Vectorized Distance Broadcasting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import numpy as np</w:t>
              <w:br/>
              <w:t># Broadcast shape subtraction: (N, 1, 16) - (1, K, 16) -&gt; (N, K, 16)</w:t>
              <w:br/>
              <w:t>diff = data[:, np.newaxis, :] - centroids[np.newaxis, :, :]</w:t>
              <w:br/>
              <w:t>distances = np.linalg.norm(diff, axis=2) # Shape: (N, K)</w:t>
              <w:br/>
              <w:t>labels = np.argmin(distances, axis=1) # Shape: (N,)</w:t>
            </w:r>
          </w:p>
        </w:tc>
      </w:tr>
    </w:tbl>
    <w:p/>
    <w:p>
      <w:r>
        <w:br w:type="page"/>
      </w:r>
    </w:p>
    <w:p>
      <w:pPr>
        <w:keepNext/>
        <w:spacing w:before="480" w:after="160"/>
      </w:pPr>
      <w:r>
        <w:rPr>
          <w:rFonts w:ascii="Arial" w:hAnsi="Arial"/>
          <w:b/>
          <w:color w:val="5B21B6"/>
          <w:sz w:val="32"/>
        </w:rPr>
        <w:t>Reactive Underwriting &amp; Store Credit Policies</w:t>
      </w:r>
    </w:p>
    <w:p>
      <w:pPr>
        <w:spacing w:after="200" w:line="276" w:lineRule="auto"/>
      </w:pPr>
      <w:r>
        <w:rPr>
          <w:rFonts w:ascii="Calibri" w:hAnsi="Calibri"/>
          <w:color w:val="334155"/>
          <w:sz w:val="22"/>
        </w:rPr>
        <w:t>The store credit engine governs dynamic accounts. Limits and interest-bearing loan eligibility adapt directly to K-Means segments, facilitating autonomous checkout operations: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Loyalty Segment</w:t>
            </w:r>
          </w:p>
        </w:tc>
        <w:tc>
          <w:tcPr>
            <w:tcW w:type="dxa" w:w="2340"/>
            <w:shd w:val="clear" w:color="auto"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Credit Limit (PKR)</w:t>
            </w:r>
          </w:p>
        </w:tc>
        <w:tc>
          <w:tcPr>
            <w:tcW w:type="dxa" w:w="2340"/>
            <w:shd w:val="clear" w:color="auto"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Interest Rate (APR)</w:t>
            </w:r>
          </w:p>
        </w:tc>
        <w:tc>
          <w:tcPr>
            <w:tcW w:type="dxa" w:w="2340"/>
            <w:shd w:val="clear" w:color="auto" w:fill="5B21B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Loyalty Point Multiplier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Ultra-Luxury Spenders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Rs. 500,000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0.0% (Interest-Free)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3.0x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Mid-Tier Consistent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Rs. 150,000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2.5% simple APR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1.5x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High-Value Impulse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Rs. 200,000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3.0% simple APR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2.0x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Essential Bulk Buyers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Rs. 100,000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4.0% simple APR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1.2x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Strategic Deal-Hunters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Rs. 50,000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5.0% simple APR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1.0x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Strict Budget Spenders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Rs. 20,000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8.0% simple APR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475569"/>
                <w:sz w:val="20"/>
              </w:rPr>
              <w:t>1.0x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5B21B6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0F172A"/>
                <w:sz w:val="21"/>
              </w:rPr>
              <w:t xml:space="preserve">★ LOAN UNDERWRITING: </w:t>
            </w:r>
            <w:r>
              <w:rPr>
                <w:rFonts w:ascii="Calibri" w:hAnsi="Calibri"/>
                <w:i/>
                <w:color w:val="475569"/>
                <w:sz w:val="21"/>
              </w:rPr>
              <w:t>Instant micro-loans can be requested at checkout. Eligibility checks verify that the customer's total outstanding debt does not exceed their segment-specific credit limit. Simple interest is computed dynamically based on the segment risk profile.</w:t>
            </w:r>
          </w:p>
        </w:tc>
      </w:tr>
    </w:tbl>
    <w:p/>
    <w:p>
      <w:r>
        <w:br w:type="page"/>
      </w:r>
    </w:p>
    <w:p>
      <w:pPr>
        <w:keepNext/>
        <w:spacing w:before="480" w:after="160"/>
      </w:pPr>
      <w:r>
        <w:rPr>
          <w:rFonts w:ascii="Arial" w:hAnsi="Arial"/>
          <w:b/>
          <w:color w:val="5B21B6"/>
          <w:sz w:val="32"/>
        </w:rPr>
        <w:t>Classroom Q&amp;A Cheat Sheet (Defense Guide)</w:t>
      </w:r>
    </w:p>
    <w:p>
      <w:pPr>
        <w:spacing w:after="200" w:line="276" w:lineRule="auto"/>
      </w:pPr>
      <w:r>
        <w:rPr>
          <w:rFonts w:ascii="Calibri" w:hAnsi="Calibri"/>
          <w:color w:val="334155"/>
          <w:sz w:val="22"/>
        </w:rPr>
        <w:t>Review these common technical questions and answers to prepare for questions from professors or classmates during your presentation:</w:t>
      </w:r>
    </w:p>
    <w:p>
      <w:pPr>
        <w:spacing w:before="160" w:after="40"/>
      </w:pPr>
      <w:r>
        <w:rPr>
          <w:rFonts w:ascii="Arial" w:hAnsi="Arial"/>
          <w:b/>
          <w:color w:val="5B21B6"/>
          <w:sz w:val="22"/>
        </w:rPr>
        <w:t>Q: Why write K-Means in pure NumPy rather than importing scikit-learn?</w:t>
      </w:r>
    </w:p>
    <w:p>
      <w:pPr>
        <w:spacing w:after="200"/>
      </w:pPr>
      <w:r>
        <w:rPr>
          <w:rFonts w:ascii="Calibri" w:hAnsi="Calibri"/>
          <w:color w:val="475569"/>
          <w:sz w:val="22"/>
        </w:rPr>
        <w:t>A: Scikit-learn is a massive library with extensive system dependencies, making it heavy for low-latency web applications. Writing K-Means in vectorized NumPy keeps code lightweight, runs on clean Python installations, and executes clustering logic instantly. It demonstrates a deep mathematical understanding of ML algorithms rather than just calling an API.</w:t>
      </w:r>
    </w:p>
    <w:p>
      <w:pPr>
        <w:spacing w:before="160" w:after="40"/>
      </w:pPr>
      <w:r>
        <w:rPr>
          <w:rFonts w:ascii="Arial" w:hAnsi="Arial"/>
          <w:b/>
          <w:color w:val="5B21B6"/>
          <w:sz w:val="22"/>
        </w:rPr>
        <w:t>Q: How does K-Means++ improve standard random centroid initialization?</w:t>
      </w:r>
    </w:p>
    <w:p>
      <w:pPr>
        <w:spacing w:after="200"/>
      </w:pPr>
      <w:r>
        <w:rPr>
          <w:rFonts w:ascii="Calibri" w:hAnsi="Calibri"/>
          <w:color w:val="475569"/>
          <w:sz w:val="22"/>
        </w:rPr>
        <w:t>A: Standard random initialization can select starting centroids that are close together, resulting in sub-optimal local minima and poor segment groupings. K-Means++ chooses the first centroid randomly, and then selects subsequent centroids with a probability proportional to their squared distance from existing centers. This ensures they are spread out across the feature space, leading to faster, more consistent convergence.</w:t>
      </w:r>
    </w:p>
    <w:p>
      <w:pPr>
        <w:spacing w:before="160" w:after="40"/>
      </w:pPr>
      <w:r>
        <w:rPr>
          <w:rFonts w:ascii="Arial" w:hAnsi="Arial"/>
          <w:b/>
          <w:color w:val="5B21B6"/>
          <w:sz w:val="22"/>
        </w:rPr>
        <w:t>Q: How does the simple interest formula react dynamically to loans?</w:t>
      </w:r>
    </w:p>
    <w:p>
      <w:pPr>
        <w:spacing w:after="200"/>
      </w:pPr>
      <w:r>
        <w:rPr>
          <w:rFonts w:ascii="Calibri" w:hAnsi="Calibri"/>
          <w:color w:val="475569"/>
          <w:sz w:val="22"/>
        </w:rPr>
        <w:t>A: Simple interest is calculated as Principal * (APR / 365) * Days. The APR rate is determined by the customer's behavioral segment. If a user is re-clustered into a lower-risk segment due to increased spending or more frequent visits, their APR decreases, dynamically rewarding improved purchasing behavior.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