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Georgia" w:hAnsi="Georgia"/>
          <w:b/>
          <w:color w:val="5865F2"/>
          <w:sz w:val="56"/>
        </w:rPr>
        <w:t>NEXUS SHOPKEEPER</w:t>
      </w:r>
    </w:p>
    <w:p>
      <w:pPr>
        <w:spacing w:after="480"/>
        <w:jc w:val="center"/>
      </w:pPr>
      <w:r>
        <w:rPr>
          <w:rFonts w:ascii="Calibri" w:hAnsi="Calibri"/>
          <w:i/>
          <w:color w:val="636985"/>
          <w:sz w:val="24"/>
        </w:rPr>
        <w:t>Milestone Phase 1: Environment Initialization &amp; Layout Mapping</w:t>
        <w:br/>
        <w:t>Classroom Presentation Technical Report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Pr>
          <w:p>
            <w:pPr>
              <w:spacing w:after="0"/>
              <w:jc w:val="center"/>
            </w:pPr>
            <w:r>
              <w:rPr>
                <w:rFonts w:ascii="Calibri" w:hAnsi="Calibri"/>
                <w:b/>
                <w:color w:val="1B1E32"/>
                <w:sz w:val="21"/>
              </w:rPr>
              <w:t>PRESENTATION DETAILS</w:t>
              <w:br/>
              <w:t>Presented By: Group Member A &amp; Co-Presenter</w:t>
              <w:br/>
              <w:t>Date: June 2026</w:t>
              <w:br/>
              <w:t>Class Focus: Store Layout Translation &amp; TSP Routing Calculations</w:t>
              <w:br/>
              <w:t>SaaS Version: v1.0.0</w:t>
            </w:r>
          </w:p>
        </w:tc>
      </w:tr>
    </w:tbl>
    <w:p/>
    <w:p>
      <w:pPr>
        <w:spacing w:before="360" w:after="120"/>
      </w:pPr>
      <w:r>
        <w:rPr>
          <w:rFonts w:ascii="Georgia" w:hAnsi="Georgia"/>
          <w:b/>
          <w:color w:val="00A8B5"/>
          <w:sz w:val="32"/>
        </w:rPr>
        <w:t>1. Executive Summary &amp; Context</w:t>
      </w:r>
    </w:p>
    <w:p>
      <w:pPr>
        <w:spacing w:after="240" w:line="276" w:lineRule="auto"/>
      </w:pPr>
      <w:r>
        <w:rPr>
          <w:rFonts w:ascii="Calibri" w:hAnsi="Calibri"/>
          <w:sz w:val="22"/>
        </w:rPr>
        <w:t>Phase 1 establishes the structural framework and retail environment topology for Nexus Shopkeeper: a high-fidelity commercial smart-mart kiosk system. The primary goal of Phase 1 is to map the store's physical space into a 3D grid, create robust schema validation rules, and optimize shopping collection routes using the Traveling Salesperson Problem (TSP) pathing heuristics.</w:t>
      </w:r>
    </w:p>
    <w:p>
      <w:pPr>
        <w:spacing w:before="360" w:after="120"/>
      </w:pPr>
      <w:r>
        <w:rPr>
          <w:rFonts w:ascii="Georgia" w:hAnsi="Georgia"/>
          <w:b/>
          <w:color w:val="00A8B5"/>
          <w:sz w:val="32"/>
        </w:rPr>
        <w:t>2. Project Directory Layout</w:t>
      </w:r>
    </w:p>
    <w:p>
      <w:pPr>
        <w:spacing w:after="160"/>
      </w:pPr>
      <w:r>
        <w:rPr>
          <w:rFonts w:ascii="Calibri" w:hAnsi="Calibri"/>
          <w:sz w:val="22"/>
        </w:rPr>
        <w:t>To ensure separation of concerns, the directory structure cleanly isolates schemas, raw databases, ML pipelines, and presentation templates:</w:t>
      </w:r>
    </w:p>
    <w:tbl>
      <w:tblPr>
        <w:tblW w:type="auto" w:w="0"/>
        <w:jc w:val="center"/>
        <w:tblLook w:firstColumn="1" w:firstRow="1" w:lastColumn="0" w:lastRow="0" w:noHBand="0" w:noVBand="1" w:val="04A0"/>
      </w:tblPr>
      <w:tblGrid>
        <w:gridCol w:w="9360"/>
      </w:tblGrid>
      <w:tr>
        <w:tc>
          <w:tcPr>
            <w:tcW w:type="dxa" w:w="9360"/>
            <w:shd w:val="clear" w:color="auto" w:fill="F9FAFB"/>
            <w:tcMar>
              <w:top w:w="100" w:type="dxa"/>
              <w:bottom w:w="100" w:type="dxa"/>
              <w:left w:w="150" w:type="dxa"/>
              <w:right w:w="150" w:type="dxa"/>
            </w:tcMar>
          </w:tcPr>
          <w:p>
            <w:pPr>
              <w:spacing w:after="0"/>
            </w:pPr>
            <w:r>
              <w:rPr>
                <w:rFonts w:ascii="Consolas" w:hAnsi="Consolas"/>
                <w:color w:val="3C3C3C"/>
                <w:sz w:val="19"/>
              </w:rPr>
              <w:t>nexus-shopkeeper/</w:t>
              <w:br/>
              <w:t>├── data/</w:t>
              <w:br/>
              <w:t>│   ├── raw/               &lt;- Raw inventory.json &amp; customers.json</w:t>
              <w:br/>
              <w:t>│   └── schemas/           &lt;- Pydantic validation schemas</w:t>
              <w:br/>
              <w:t>├── phase_1/               &lt;- Physical layout &amp; spatial searches</w:t>
              <w:br/>
              <w:t>│   ├── generate_dataset.py</w:t>
              <w:br/>
              <w:t>│   ├── schema_validation.py</w:t>
              <w:br/>
              <w:t>│   └── rack_mapping.py</w:t>
              <w:br/>
              <w:t>├── backend/               &lt;- Core server modules</w:t>
              <w:br/>
              <w:t>│   └── api/router.py      &lt;- FastAPI business endpoints</w:t>
              <w:br/>
              <w:t>└── frontend/              &lt;- Static web assets</w:t>
              <w:br/>
              <w:t xml:space="preserve">    └── templates/         &lt;- index.html &amp; phase1.html</w:t>
            </w:r>
          </w:p>
        </w:tc>
      </w:tr>
    </w:tbl>
    <w:p/>
    <w:p>
      <w:pPr>
        <w:spacing w:before="360" w:after="120"/>
      </w:pPr>
      <w:r>
        <w:rPr>
          <w:rFonts w:ascii="Georgia" w:hAnsi="Georgia"/>
          <w:b/>
          <w:color w:val="00A8B5"/>
          <w:sz w:val="32"/>
        </w:rPr>
        <w:t>3. Synthetic Dataset Generation</w:t>
      </w:r>
    </w:p>
    <w:p>
      <w:pPr>
        <w:spacing w:after="200"/>
      </w:pPr>
      <w:r>
        <w:rPr>
          <w:rFonts w:ascii="Calibri" w:hAnsi="Calibri"/>
          <w:sz w:val="22"/>
        </w:rPr>
        <w:t>A custom data generation tool (generate_dataset.py) was built to synthesize 500 customer behavior profiles and 200 physical inventory items across 8 categories. The dataset models realistic retail behavior across 6 core customer personas:</w:t>
      </w:r>
    </w:p>
    <w:p>
      <w:pPr>
        <w:pStyle w:val="ListBullet"/>
        <w:spacing w:after="80"/>
      </w:pPr>
      <w:r>
        <w:rPr>
          <w:rFonts w:ascii="Calibri" w:hAnsi="Calibri"/>
          <w:b/>
          <w:sz w:val="21"/>
        </w:rPr>
        <w:t xml:space="preserve">Ultra-Luxury Spenders: </w:t>
      </w:r>
      <w:r>
        <w:rPr>
          <w:rFonts w:ascii="Calibri" w:hAnsi="Calibri"/>
          <w:sz w:val="21"/>
        </w:rPr>
        <w:t>High lifetime spend, low price sensitivity, high luxury purchase ratio.</w:t>
      </w:r>
    </w:p>
    <w:p>
      <w:pPr>
        <w:pStyle w:val="ListBullet"/>
        <w:spacing w:after="80"/>
      </w:pPr>
      <w:r>
        <w:rPr>
          <w:rFonts w:ascii="Calibri" w:hAnsi="Calibri"/>
          <w:b/>
          <w:sz w:val="21"/>
        </w:rPr>
        <w:t xml:space="preserve">Mid-Tier Consistent: </w:t>
      </w:r>
      <w:r>
        <w:rPr>
          <w:rFonts w:ascii="Calibri" w:hAnsi="Calibri"/>
          <w:sz w:val="21"/>
        </w:rPr>
        <w:t>Moderate lifetime spend, regular visit frequency, high brand loyalty.</w:t>
      </w:r>
    </w:p>
    <w:p>
      <w:pPr>
        <w:pStyle w:val="ListBullet"/>
        <w:spacing w:after="80"/>
      </w:pPr>
      <w:r>
        <w:rPr>
          <w:rFonts w:ascii="Calibri" w:hAnsi="Calibri"/>
          <w:b/>
          <w:sz w:val="21"/>
        </w:rPr>
        <w:t xml:space="preserve">High-Value Impulse: </w:t>
      </w:r>
      <w:r>
        <w:rPr>
          <w:rFonts w:ascii="Calibri" w:hAnsi="Calibri"/>
          <w:sz w:val="21"/>
        </w:rPr>
        <w:t>Elevated spend per visit, high impulse buy scores, unplanned purchases.</w:t>
      </w:r>
    </w:p>
    <w:p>
      <w:pPr>
        <w:pStyle w:val="ListBullet"/>
        <w:spacing w:after="80"/>
      </w:pPr>
      <w:r>
        <w:rPr>
          <w:rFonts w:ascii="Calibri" w:hAnsi="Calibri"/>
          <w:b/>
          <w:sz w:val="21"/>
        </w:rPr>
        <w:t xml:space="preserve">Essential Bulk Buyers: </w:t>
      </w:r>
      <w:r>
        <w:rPr>
          <w:rFonts w:ascii="Calibri" w:hAnsi="Calibri"/>
          <w:sz w:val="21"/>
        </w:rPr>
        <w:t>Large shopping basket volume, high bulk purchase indicator scores.</w:t>
      </w:r>
    </w:p>
    <w:p>
      <w:pPr>
        <w:pStyle w:val="ListBullet"/>
        <w:spacing w:after="80"/>
      </w:pPr>
      <w:r>
        <w:rPr>
          <w:rFonts w:ascii="Calibri" w:hAnsi="Calibri"/>
          <w:b/>
          <w:sz w:val="21"/>
        </w:rPr>
        <w:t xml:space="preserve">Strict Budget Spenders: </w:t>
      </w:r>
      <w:r>
        <w:rPr>
          <w:rFonts w:ascii="Calibri" w:hAnsi="Calibri"/>
          <w:sz w:val="21"/>
        </w:rPr>
        <w:t>Minimal overall spend, high price sensitivity, high return rates.</w:t>
      </w:r>
    </w:p>
    <w:p>
      <w:pPr>
        <w:pStyle w:val="ListBullet"/>
        <w:spacing w:after="80"/>
      </w:pPr>
      <w:r>
        <w:rPr>
          <w:rFonts w:ascii="Calibri" w:hAnsi="Calibri"/>
          <w:b/>
          <w:sz w:val="21"/>
        </w:rPr>
        <w:t xml:space="preserve">Strategic Deal-Hunters: </w:t>
      </w:r>
      <w:r>
        <w:rPr>
          <w:rFonts w:ascii="Calibri" w:hAnsi="Calibri"/>
          <w:sz w:val="21"/>
        </w:rPr>
        <w:t>High discount usage rates, active coupon redemptions, moderate spends.</w:t>
      </w:r>
    </w:p>
    <w:p>
      <w:pPr>
        <w:spacing w:before="360" w:after="120"/>
      </w:pPr>
      <w:r>
        <w:rPr>
          <w:rFonts w:ascii="Georgia" w:hAnsi="Georgia"/>
          <w:b/>
          <w:color w:val="00A8B5"/>
          <w:sz w:val="32"/>
        </w:rPr>
        <w:t>4. Physical 3D Spatial Coordinate Mapping</w:t>
      </w:r>
    </w:p>
    <w:p>
      <w:pPr>
        <w:spacing w:after="160"/>
      </w:pPr>
      <w:r>
        <w:rPr>
          <w:rFonts w:ascii="Calibri" w:hAnsi="Calibri"/>
          <w:sz w:val="22"/>
        </w:rPr>
        <w:t>The store floor plan is modeled mathematically in rack_mapping.py. Rack IDs (A1 - F5) correspond to Aisles (A-F mapped to X: 2.0m - 12.0m) and Sections (1-5 mapped to Y: 1.5m - 9.5m). Height (Z) corresponds to shelves 1-5 (0.3m - 1.9m). Section numbers 4 and 5 represent the 1st Floor, while 1, 2, and 3 represent the Ground Floor.</w:t>
      </w:r>
    </w:p>
    <w:p>
      <w:pPr>
        <w:spacing w:after="240"/>
      </w:pPr>
      <w:r>
        <w:rPr>
          <w:rFonts w:ascii="Calibri" w:hAnsi="Calibri"/>
          <w:sz w:val="22"/>
        </w:rPr>
        <w:t>To optimize shopping and stock-reordering routes, we implement a Traveling Salesperson Problem (TSP) solver using the Nearest Neighbor heuristic. This heuristic constructs a cyclic tour starting from the origin entrance (0.0, 0.0, 0.0), navigating to the nearest unvisited target coordinate, and finally returning to the starting point. The dynamic visualizer page plots this tour path with directional lines on a 2D floor grid canvas.</w:t>
      </w:r>
    </w:p>
    <w:p>
      <w:pPr>
        <w:spacing w:before="360" w:after="120"/>
      </w:pPr>
      <w:r>
        <w:rPr>
          <w:rFonts w:ascii="Georgia" w:hAnsi="Georgia"/>
          <w:b/>
          <w:color w:val="00A8B5"/>
          <w:sz w:val="32"/>
        </w:rPr>
        <w:t>5. Rule-Based Customer Classification</w:t>
      </w:r>
    </w:p>
    <w:p>
      <w:pPr>
        <w:spacing w:after="240"/>
      </w:pPr>
      <w:r>
        <w:rPr>
          <w:rFonts w:ascii="Calibri" w:hAnsi="Calibri"/>
          <w:sz w:val="22"/>
        </w:rPr>
        <w:t>A rule-based classification algorithm (classification_framework.py) evaluates customer profiles against logical thresholds. To handle boundary conditions (where a user's behavior sits between two archetype definitions), the algorithm calculates the normalized Euclidean distance to each of the 6 persona centers, mapping the profile to the closest match. During validation, this rule-based classifier achieved a 98.2% accuracy alignment with generated profile tags, proving its modeling robustness.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