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Georgia" w:hAnsi="Georgia"/>
          <w:b/>
          <w:color w:val="7000FF"/>
          <w:sz w:val="56"/>
        </w:rPr>
        <w:t>NEXUS SHOPKEEPER</w:t>
      </w:r>
    </w:p>
    <w:p>
      <w:pPr>
        <w:spacing w:after="480"/>
        <w:jc w:val="center"/>
      </w:pPr>
      <w:r>
        <w:rPr>
          <w:rFonts w:ascii="Calibri" w:hAnsi="Calibri"/>
          <w:i/>
          <w:color w:val="636985"/>
          <w:sz w:val="24"/>
        </w:rPr>
        <w:t>Milestone Phase 2: Vectorized ML K-Means Engine &amp; Store Credit System</w:t>
        <w:br/>
        <w:t>Co-Presenter Dashboard Documentation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Pr>
          <w:p>
            <w:pPr>
              <w:spacing w:after="0"/>
              <w:jc w:val="center"/>
            </w:pPr>
            <w:r>
              <w:rPr>
                <w:rFonts w:ascii="Calibri" w:hAnsi="Calibri"/>
                <w:b/>
                <w:color w:val="1B1E32"/>
                <w:sz w:val="21"/>
              </w:rPr>
              <w:t>PRESENTATION DETAILS</w:t>
              <w:br/>
              <w:t>Presented By: Group Member C &amp; Group Member D</w:t>
              <w:br/>
              <w:t>Date: June 2026</w:t>
              <w:br/>
              <w:t>Class Focus: K-Means Clustering Models &amp; Reactive Store Credit Rules</w:t>
              <w:br/>
              <w:t>SaaS Version: v1.0.0</w:t>
            </w:r>
          </w:p>
        </w:tc>
      </w:tr>
    </w:tbl>
    <w:p/>
    <w:p>
      <w:pPr>
        <w:spacing w:before="360" w:after="120"/>
      </w:pPr>
      <w:r>
        <w:rPr>
          <w:rFonts w:ascii="Georgia" w:hAnsi="Georgia"/>
          <w:b/>
          <w:color w:val="F59E0B"/>
          <w:sz w:val="32"/>
        </w:rPr>
        <w:t>1. Vectorized K-Means Clustering Engine</w:t>
      </w:r>
    </w:p>
    <w:p>
      <w:pPr>
        <w:spacing w:after="200"/>
      </w:pPr>
      <w:r>
        <w:rPr>
          <w:rFonts w:ascii="Calibri" w:hAnsi="Calibri"/>
          <w:sz w:val="22"/>
        </w:rPr>
        <w:t>Phase 2 implements advanced data analytics to segment customers dynamically using customer transaction logs. A custom-built K-Means clustering engine is programmed in pure NumPy (without scikit-learn dependencies) to fit 6 customer profiles:</w:t>
      </w:r>
    </w:p>
    <w:p>
      <w:pPr>
        <w:pStyle w:val="ListBullet"/>
        <w:spacing w:after="80"/>
      </w:pPr>
      <w:r>
        <w:rPr>
          <w:rFonts w:ascii="Calibri" w:hAnsi="Calibri"/>
          <w:b/>
        </w:rPr>
        <w:t xml:space="preserve">K-Means++ Seeding: </w:t>
      </w:r>
      <w:r>
        <w:t>Initializes centroids using a distance-weighted probability distribution, avoiding poor local minima and speeding up convergence times.</w:t>
      </w:r>
    </w:p>
    <w:p>
      <w:pPr>
        <w:pStyle w:val="ListBullet"/>
        <w:spacing w:after="80"/>
      </w:pPr>
      <w:r>
        <w:rPr>
          <w:rFonts w:ascii="Calibri" w:hAnsi="Calibri"/>
          <w:b/>
        </w:rPr>
        <w:t xml:space="preserve">Broadcasting Vectorization: </w:t>
      </w:r>
      <w:r>
        <w:t>Computes distances in milliseconds using NumPy multidimensional broadcasting arrays, fitting large datasets instantly.</w:t>
      </w:r>
    </w:p>
    <w:p>
      <w:pPr>
        <w:pStyle w:val="ListBullet"/>
        <w:spacing w:after="80"/>
      </w:pPr>
      <w:r>
        <w:rPr>
          <w:rFonts w:ascii="Calibri" w:hAnsi="Calibri"/>
          <w:b/>
        </w:rPr>
        <w:t xml:space="preserve">Silhouette Quality Evaluator: </w:t>
      </w:r>
      <w:r>
        <w:t>Calculates silhouette scores to quantify cluster cohesion and separation, verifying convergence accuracy.</w:t>
      </w:r>
    </w:p>
    <w:p>
      <w:pPr>
        <w:pStyle w:val="ListBullet"/>
        <w:spacing w:after="80"/>
      </w:pPr>
      <w:r>
        <w:rPr>
          <w:rFonts w:ascii="Calibri" w:hAnsi="Calibri"/>
          <w:b/>
        </w:rPr>
        <w:t xml:space="preserve">Model Persistence: </w:t>
      </w:r>
      <w:r>
        <w:t>Saves fitted centroids, classification feature maps, and active labels dynamically as .npy data vectors to minimize server load.</w:t>
      </w:r>
    </w:p>
    <w:p>
      <w:pPr>
        <w:spacing w:before="360" w:after="120"/>
      </w:pPr>
      <w:r>
        <w:rPr>
          <w:rFonts w:ascii="Georgia" w:hAnsi="Georgia"/>
          <w:b/>
          <w:color w:val="F59E0B"/>
          <w:sz w:val="32"/>
        </w:rPr>
        <w:t>2. Reactive Store Credit Engine</w:t>
      </w:r>
    </w:p>
    <w:p>
      <w:pPr>
        <w:spacing w:after="200"/>
      </w:pPr>
      <w:r>
        <w:rPr>
          <w:rFonts w:ascii="Calibri" w:hAnsi="Calibri"/>
          <w:sz w:val="22"/>
        </w:rPr>
        <w:t>To facilitate seamless shopping checkout without requiring standard credit cards, we built an underwriting engine in store_credit_engine.py. It automatically manages credit lines, loyalty bonuses, and micro-loan approvals reacting directly to K-Means clusters:</w:t>
      </w:r>
    </w:p>
    <w:p>
      <w:pPr>
        <w:pStyle w:val="ListBullet"/>
        <w:spacing w:after="80"/>
      </w:pPr>
      <w:r>
        <w:rPr>
          <w:rFonts w:ascii="Calibri" w:hAnsi="Calibri"/>
          <w:b/>
          <w:sz w:val="21"/>
        </w:rPr>
        <w:t xml:space="preserve">Tiered Credit Lines: </w:t>
      </w:r>
      <w:r>
        <w:rPr>
          <w:rFonts w:ascii="Calibri" w:hAnsi="Calibri"/>
          <w:sz w:val="21"/>
        </w:rPr>
        <w:t>Limits scale by segment (Ultra-Luxury Spenders get Rs. 500,000 credit limit; Strict Budget Spenders get Rs. 20,000 credit limit).</w:t>
      </w:r>
    </w:p>
    <w:p>
      <w:pPr>
        <w:pStyle w:val="ListBullet"/>
        <w:spacing w:after="80"/>
      </w:pPr>
      <w:r>
        <w:rPr>
          <w:rFonts w:ascii="Calibri" w:hAnsi="Calibri"/>
          <w:b/>
          <w:sz w:val="21"/>
        </w:rPr>
        <w:t xml:space="preserve">Active Micro-Loans: </w:t>
      </w:r>
      <w:r>
        <w:rPr>
          <w:rFonts w:ascii="Calibri" w:hAnsi="Calibri"/>
          <w:sz w:val="21"/>
        </w:rPr>
        <w:t>Shoppers can solicit emergency loans at the checkout desk. Approvals cross-reference debt limits and past defaults.</w:t>
      </w:r>
    </w:p>
    <w:p>
      <w:pPr>
        <w:pStyle w:val="ListBullet"/>
        <w:spacing w:after="80"/>
      </w:pPr>
      <w:r>
        <w:rPr>
          <w:rFonts w:ascii="Calibri" w:hAnsi="Calibri"/>
          <w:b/>
          <w:sz w:val="21"/>
        </w:rPr>
        <w:t xml:space="preserve">Segment Interest Rates: </w:t>
      </w:r>
      <w:r>
        <w:rPr>
          <w:rFonts w:ascii="Calibri" w:hAnsi="Calibri"/>
          <w:sz w:val="21"/>
        </w:rPr>
        <w:t>Loans carry simple interest matching risk parameters (Ultra-Luxury: 0% APR; Strict Budget: 8.0% APR).</w:t>
      </w:r>
    </w:p>
    <w:p>
      <w:pPr>
        <w:pStyle w:val="ListBullet"/>
        <w:spacing w:after="80"/>
      </w:pPr>
      <w:r>
        <w:rPr>
          <w:rFonts w:ascii="Calibri" w:hAnsi="Calibri"/>
          <w:b/>
          <w:sz w:val="21"/>
        </w:rPr>
        <w:t xml:space="preserve">Loyalty Multipliers: </w:t>
      </w:r>
      <w:r>
        <w:rPr>
          <w:rFonts w:ascii="Calibri" w:hAnsi="Calibri"/>
          <w:sz w:val="21"/>
        </w:rPr>
        <w:t>Store points are awarded with multipliers relative to the visitor's behavioral segment.</w:t>
      </w:r>
    </w:p>
    <w:p>
      <w:pPr>
        <w:spacing w:before="360" w:after="120"/>
      </w:pPr>
      <w:r>
        <w:rPr>
          <w:rFonts w:ascii="Georgia" w:hAnsi="Georgia"/>
          <w:b/>
          <w:color w:val="F59E0B"/>
          <w:sz w:val="32"/>
        </w:rPr>
        <w:t>3. AI Concierge SDK Integration</w:t>
      </w:r>
    </w:p>
    <w:p>
      <w:pPr>
        <w:spacing w:after="240"/>
      </w:pPr>
      <w:r>
        <w:rPr>
          <w:rFonts w:ascii="Calibri" w:hAnsi="Calibri"/>
          <w:sz w:val="22"/>
        </w:rPr>
        <w:t>Utilizing the Antigravity SDK, a real-time concierge agent welcomes customers checking in at the kiosk. It pulls their profile coordinates, loyalty history, and segment tags from the backend. The agent generates a personalized audio/text welcoming greeting, listing product recommendations targeted to their shopper tier (e.g. organic pantry items for health-conscious buyers).</w:t>
      </w:r>
    </w:p>
    <w:p>
      <w:pPr>
        <w:spacing w:before="360" w:after="120"/>
      </w:pPr>
      <w:r>
        <w:rPr>
          <w:rFonts w:ascii="Georgia" w:hAnsi="Georgia"/>
          <w:b/>
          <w:color w:val="F59E0B"/>
          <w:sz w:val="32"/>
        </w:rPr>
        <w:t>4. Administrative Dashboard &amp; Web API</w:t>
      </w:r>
    </w:p>
    <w:p>
      <w:pPr>
        <w:spacing w:after="240"/>
      </w:pPr>
      <w:r>
        <w:rPr>
          <w:rFonts w:ascii="Calibri" w:hAnsi="Calibri"/>
          <w:sz w:val="22"/>
        </w:rPr>
        <w:t>A central admin panel (dashboard.html) serves as the primary portal for store managers to analyze retail metrics. It includes dynamic visual SVG widgets (showing customer segment spreads and payment splits) without placeholders. It features a complete Inventory SKU CRUD manager, shift logs for automation technician supervisors, and a Manager AI assistant that answers operations queries based on live transaction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