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E86C1"/>
          <w:sz w:val="26"/>
          <w:szCs w:val="26"/>
        </w:rPr>
        <w:t xml:space="preserve">EXECUTIVE SUMMARY REPORT</w:t>
      </w:r>
    </w:p>
    <w:p>
      <w:pPr>
        <w:spacing w:after="300" w:before="300"/>
        <w:jc w:val="center"/>
      </w:pPr>
      <w:r>
        <w:rPr>
          <w:b/>
          <w:bCs/>
          <w:color w:val="1B2631"/>
          <w:sz w:val="64"/>
          <w:szCs w:val="64"/>
        </w:rPr>
        <w:t xml:space="preserve">flAWS.cloud</w:t>
      </w:r>
    </w:p>
    <w:p>
      <w:pPr>
        <w:spacing w:after="1200"/>
        <w:jc w:val="center"/>
      </w:pPr>
      <w:r>
        <w:rPr>
          <w:i/>
          <w:iCs/>
          <w:color w:val="555555"/>
          <w:sz w:val="26"/>
          <w:szCs w:val="26"/>
        </w:rPr>
        <w:t xml:space="preserve">AWS Cloud Security Misconfiguration Walkthrough — Executive Briefing</w:t>
      </w:r>
    </w:p>
    <w:p>
      <w:pPr>
        <w:spacing w:after="80"/>
        <w:jc w:val="center"/>
      </w:pPr>
      <w:r>
        <w:rPr>
          <w:b/>
          <w:bCs/>
          <w:sz w:val="24"/>
          <w:szCs w:val="24"/>
        </w:rPr>
        <w:t xml:space="preserve">Prepared by: George Munene Ng'ang'a</w:t>
      </w:r>
    </w:p>
    <w:p>
      <w:pPr>
        <w:spacing w:after="80"/>
        <w:jc w:val="center"/>
      </w:pPr>
      <w:r>
        <w:rPr>
          <w:color w:val="555555"/>
          <w:sz w:val="22"/>
          <w:szCs w:val="22"/>
        </w:rPr>
        <w:t xml:space="preserve">Cybersecurity &amp; Cloud Security Practitioner</w:t>
      </w:r>
    </w:p>
    <w:p>
      <w:pPr>
        <w:spacing w:after="80"/>
        <w:jc w:val="center"/>
      </w:pPr>
      <w:r>
        <w:rPr>
          <w:color w:val="777777"/>
          <w:sz w:val="20"/>
          <w:szCs w:val="20"/>
        </w:rPr>
        <w:t xml:space="preserve">Target: flaws.cloud (Public AWS Training Environment by Scott Piper / Summit Route)</w:t>
      </w:r>
    </w:p>
    <w:p>
      <w:pPr>
        <w:spacing w:after="80"/>
        <w:jc w:val="center"/>
      </w:pPr>
      <w:r>
        <w:rPr>
          <w:color w:val="777777"/>
          <w:sz w:val="20"/>
          <w:szCs w:val="20"/>
        </w:rPr>
        <w:t xml:space="preserve">Assessment Window: June – July 2026</w:t>
      </w:r>
    </w:p>
    <w:p>
      <w:pPr>
        <w:spacing w:after="2000"/>
        <w:jc w:val="center"/>
      </w:pPr>
      <w:r>
        <w:rPr>
          <w:i/>
          <w:iCs/>
          <w:color w:val="777777"/>
          <w:sz w:val="20"/>
          <w:szCs w:val="20"/>
        </w:rPr>
        <w:t xml:space="preserve">Classification: TLP:CLEAR — Educational / Training Use Only</w:t>
      </w:r>
    </w:p>
    <w:p>
      <w:pPr>
        <w:jc w:val="center"/>
      </w:pPr>
      <w:r>
        <w:rPr>
          <w:i/>
          <w:iCs/>
          <w:color w:val="999999"/>
          <w:sz w:val="18"/>
          <w:szCs w:val="18"/>
        </w:rPr>
        <w:t xml:space="preserve">Note: flaws.cloud is a deliberately vulnerable, publicly-authorized training platform created by Scott Piper (Summit Route) for teaching AWS security concepts. No unauthorized systems were accessed during this exercise.</w:t>
      </w:r>
    </w:p>
    <w:p>
      <w:pPr>
        <w:sectPr>
          <w:pgSz w:w="12240" w:h="15840" w:orient="portrait"/>
          <w:pgMar w:top="1440" w:right="1440" w:bottom="1440" w:left="1440" w:header="708" w:footer="708" w:gutter="0"/>
          <w:pgNumType/>
          <w:docGrid w:linePitch="360"/>
        </w:sectPr>
      </w:pPr>
    </w:p>
    <w:p>
      <w:pPr>
        <w:pStyle w:val="Heading1"/>
        <w:spacing w:after="200" w:before="400"/>
      </w:pPr>
      <w:r>
        <w:t xml:space="preserve">1. Executive Summary</w:t>
      </w:r>
    </w:p>
    <w:p>
      <w:pPr>
        <w:spacing w:after="160"/>
      </w:pPr>
      <w:r>
        <w:t xml:space="preserve">This report summarizes the business-level outcomes of a structured, authorized security walkthrough of flaws.cloud, a publicly available AWS training environment built around common, real-world cloud misconfigurations. The exercise mirrors the workflow of a professional cloud security assessment: identify a weakness, exploit it to prove impact, and document the fix — the same process applied to production AWS environments.</w:t>
      </w:r>
    </w:p>
    <w:p>
      <w:pPr>
        <w:spacing w:after="160"/>
      </w:pPr>
      <w:r>
        <w:t xml:space="preserve">Over five sequential stages, every stage was successfully compromised. The exercise progressed from simple reconnaissance of an open storage bucket through to recovery of long-lived account credentials left in source-control history, and finally to extraction of server secrets from a publicly shared backup. Each stage represents a distinct and still highly common class of cloud misconfiguration seen in production AWS environments today.</w:t>
      </w:r>
    </w:p>
    <w:p>
      <w:pPr>
        <w:spacing w:after="160"/>
      </w:pPr>
      <w:r>
        <w:t xml:space="preserve">The core takeaway for leadership: individually "minor" oversights — an open storage bucket, a forgotten file in version-control history, an unrestricted backup — compound into full account compromise when left unaddressed. In a live production environment, the credentials recovered midway through this exercise alone would have been sufficient to access the organization's entire cloud account.</w:t>
      </w:r>
    </w:p>
    <w:p>
      <w:pPr>
        <w:pStyle w:val="Heading2"/>
        <w:spacing w:after="150" w:before="300"/>
      </w:pPr>
      <w:r>
        <w:t xml:space="preserve">1.1 Key Outcomes</w:t>
      </w:r>
    </w:p>
    <w:p>
      <w:pPr>
        <w:pStyle w:val="ListParagraph"/>
        <w:numPr>
          <w:ilvl w:val="0"/>
          <w:numId w:val="2"/>
        </w:numPr>
        <w:spacing w:after="80"/>
      </w:pPr>
      <w:r>
        <w:t xml:space="preserve">5 of 5 stages successfully compromised, validating a complete attack path from external reconnaissance to credential and data compromise.</w:t>
      </w:r>
    </w:p>
    <w:p>
      <w:pPr>
        <w:pStyle w:val="ListParagraph"/>
        <w:numPr>
          <w:ilvl w:val="0"/>
          <w:numId w:val="2"/>
        </w:numPr>
        <w:spacing w:after="80"/>
      </w:pPr>
      <w:r>
        <w:t xml:space="preserve">2 findings rated Critical, 3 findings rated High — no finding in this exercise was low-severity.</w:t>
      </w:r>
    </w:p>
    <w:p>
      <w:pPr>
        <w:pStyle w:val="ListParagraph"/>
        <w:numPr>
          <w:ilvl w:val="0"/>
          <w:numId w:val="2"/>
        </w:numPr>
        <w:spacing w:after="80"/>
      </w:pPr>
      <w:r>
        <w:t xml:space="preserve">Root cause traces back to three recurring, avoidable themes: overly permissive storage bucket permissions, secrets stored insecurely in version control, and unrestricted backup sharing.</w:t>
      </w:r>
    </w:p>
    <w:p>
      <w:pPr>
        <w:pStyle w:val="ListParagraph"/>
        <w:numPr>
          <w:ilvl w:val="0"/>
          <w:numId w:val="2"/>
        </w:numPr>
        <w:spacing w:after="80"/>
      </w:pPr>
      <w:r>
        <w:t xml:space="preserve">Every issue identified maps directly to industry-standard control frameworks (AWS Well-Architected Framework — Security Pillar; CIS AWS Foundations Benchmark), meaning the fixes are well-documented and readily actionable.</w:t>
      </w:r>
    </w:p>
    <w:p>
      <w:pPr>
        <w:pStyle w:val="Heading2"/>
        <w:spacing w:after="150" w:before="300"/>
      </w:pPr>
      <w:r>
        <w:t xml:space="preserve">1.2 Business Risk in Plain Terms</w:t>
      </w:r>
    </w:p>
    <w:p>
      <w:pPr>
        <w:spacing w:after="160"/>
      </w:pPr>
      <w:r>
        <w:t xml:space="preserve">Cloud storage misconfigurations and leaked credentials are consistently among the leading causes of real-world cloud data breaches. This exercise demonstrates, hands-on, how quickly an external party with no insider access can move from "just browsing a website" to holding valid account credentials and reading files off a company server's disk — without exploiting a single piece of custom application code. That is the risk profile organizations should assume applies to their own AWS accounts if these same patterns are present.</w:t>
      </w:r>
    </w:p>
    <w:p>
      <w:pPr>
        <w:pStyle w:val="Heading2"/>
        <w:spacing w:after="150" w:before="300"/>
      </w:pPr>
      <w:r>
        <w:t xml:space="preserve">1.3 Recommended Priorities for Leadership</w:t>
      </w:r>
    </w:p>
    <w:p>
      <w:pPr>
        <w:pStyle w:val="ListParagraph"/>
        <w:numPr>
          <w:ilvl w:val="0"/>
          <w:numId w:val="2"/>
        </w:numPr>
        <w:spacing w:after="80"/>
      </w:pPr>
      <w:r>
        <w:t xml:space="preserve">Fund and mandate an immediate audit of all cloud storage buckets for public access — this is the fastest, highest-return fix available.</w:t>
      </w:r>
    </w:p>
    <w:p>
      <w:pPr>
        <w:pStyle w:val="ListParagraph"/>
        <w:numPr>
          <w:ilvl w:val="0"/>
          <w:numId w:val="2"/>
        </w:numPr>
        <w:spacing w:after="80"/>
      </w:pPr>
      <w:r>
        <w:t xml:space="preserve">Require credential rotation and secret-scanning as a standard, enforced part of the software development lifecycle.</w:t>
      </w:r>
    </w:p>
    <w:p>
      <w:pPr>
        <w:pStyle w:val="ListParagraph"/>
        <w:numPr>
          <w:ilvl w:val="0"/>
          <w:numId w:val="2"/>
        </w:numPr>
        <w:spacing w:after="80"/>
      </w:pPr>
      <w:r>
        <w:t xml:space="preserve">Treat backups and snapshots as sensitive production data requiring the same access controls as live systems, not as an afterthought.</w:t>
      </w:r>
    </w:p>
    <w:p>
      <w:pPr>
        <w:pStyle w:val="ListParagraph"/>
        <w:numPr>
          <w:ilvl w:val="0"/>
          <w:numId w:val="2"/>
        </w:numPr>
        <w:spacing w:after="80"/>
      </w:pPr>
      <w:r>
        <w:t xml:space="preserve">Invest in continuous, automated posture monitoring rather than periodic manual review, since these misconfigurations tend to reappear as new resources are created.</w:t>
      </w:r>
    </w:p>
    <w:p>
      <w:pPr>
        <w:pStyle w:val="Heading1"/>
        <w:spacing w:after="200" w:before="400"/>
      </w:pPr>
      <w:r>
        <w:t xml:space="preserve">2. Scope &amp; Authorization</w:t>
      </w:r>
    </w:p>
    <w:p>
      <w:pPr>
        <w:spacing w:after="160"/>
      </w:pPr>
      <w:r>
        <w:t xml:space="preserve">This assessment covered flaws.cloud and its associated cloud resources (storage buckets, servers, backups, and account identities), exactly as made available by the platform for public security training. flaws.cloud is explicitly published by its creator as a legal, intentionally vulnerable target for this purpose; no systems outside of this authorized scope were accessed at any point.</w:t>
      </w:r>
    </w:p>
    <w:p>
      <w:pPr>
        <w:pStyle w:val="Heading1"/>
        <w:spacing w:after="200" w:before="400"/>
      </w:pPr>
      <w:r>
        <w:t xml:space="preserve">3. Summary of Findings</w:t>
      </w:r>
    </w:p>
    <w:p>
      <w:pPr>
        <w:spacing w:after="160"/>
      </w:pPr>
      <w:r>
        <w:t xml:space="preserve">The table below summarizes every issue identified, ordered by the stage in which it was found. Severity reflects the impact these misconfigurations would carry in a real production AWS account.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5650"/>
        <w:gridCol w:w="2300"/>
      </w:tblGrid>
      <w:tr>
        <w:trPr>
          <w:tblHeader/>
        </w:trPr>
        <w:tc>
          <w:tcPr>
            <w:tcW w:type="dxa" w:w="1400"/>
            <w:shd w:fill="1B4F72" w:val="clear"/>
            <w:tcMar>
              <w:top w:type="dxa" w:w="80"/>
              <w:left w:type="dxa" w:w="100"/>
              <w:bottom w:type="dxa" w:w="80"/>
              <w:right w:type="dxa" w:w="100"/>
            </w:tcMar>
          </w:tcPr>
          <w:p>
            <w:r>
              <w:rPr>
                <w:b/>
                <w:bCs/>
                <w:color w:val="FFFFFF"/>
                <w:sz w:val="20"/>
                <w:szCs w:val="20"/>
              </w:rPr>
              <w:t xml:space="preserve">Level</w:t>
            </w:r>
          </w:p>
        </w:tc>
        <w:tc>
          <w:tcPr>
            <w:tcW w:type="dxa" w:w="5650"/>
            <w:shd w:fill="1B4F72" w:val="clear"/>
            <w:tcMar>
              <w:top w:type="dxa" w:w="80"/>
              <w:left w:type="dxa" w:w="100"/>
              <w:bottom w:type="dxa" w:w="80"/>
              <w:right w:type="dxa" w:w="100"/>
            </w:tcMar>
          </w:tcPr>
          <w:p>
            <w:r>
              <w:rPr>
                <w:b/>
                <w:bCs/>
                <w:color w:val="FFFFFF"/>
                <w:sz w:val="20"/>
                <w:szCs w:val="20"/>
              </w:rPr>
              <w:t xml:space="preserve">Finding</w:t>
            </w:r>
          </w:p>
        </w:tc>
        <w:tc>
          <w:tcPr>
            <w:tcW w:type="dxa" w:w="2300"/>
            <w:shd w:fill="1B4F72" w:val="clear"/>
            <w:tcMar>
              <w:top w:type="dxa" w:w="80"/>
              <w:left w:type="dxa" w:w="100"/>
              <w:bottom w:type="dxa" w:w="80"/>
              <w:right w:type="dxa" w:w="100"/>
            </w:tcMar>
          </w:tcPr>
          <w:p>
            <w:r>
              <w:rPr>
                <w:b/>
                <w:bCs/>
                <w:color w:val="FFFFFF"/>
                <w:sz w:val="20"/>
                <w:szCs w:val="20"/>
              </w:rPr>
              <w:t xml:space="preserve">Severity</w:t>
            </w:r>
          </w:p>
        </w:tc>
      </w:tr>
      <w:tr>
        <w:tc>
          <w:tcPr>
            <w:tcW w:type="dxa" w:w="1400"/>
            <w:tcMar>
              <w:top w:type="dxa" w:w="80"/>
              <w:left w:type="dxa" w:w="100"/>
              <w:bottom w:type="dxa" w:w="80"/>
              <w:right w:type="dxa" w:w="100"/>
            </w:tcMar>
          </w:tcPr>
          <w:p>
            <w:r>
              <w:rPr>
                <w:b w:val="false"/>
                <w:bCs w:val="false"/>
                <w:color w:val="000000"/>
                <w:sz w:val="20"/>
                <w:szCs w:val="20"/>
              </w:rPr>
              <w:t xml:space="preserve">Level 1</w:t>
            </w:r>
          </w:p>
        </w:tc>
        <w:tc>
          <w:tcPr>
            <w:tcW w:type="dxa" w:w="5650"/>
            <w:tcMar>
              <w:top w:type="dxa" w:w="80"/>
              <w:left w:type="dxa" w:w="100"/>
              <w:bottom w:type="dxa" w:w="80"/>
              <w:right w:type="dxa" w:w="100"/>
            </w:tcMar>
          </w:tcPr>
          <w:p>
            <w:r>
              <w:rPr>
                <w:b w:val="false"/>
                <w:bCs w:val="false"/>
                <w:color w:val="000000"/>
                <w:sz w:val="20"/>
                <w:szCs w:val="20"/>
              </w:rPr>
              <w:t xml:space="preserve">Publicly Readable S3 Bucket (World-List/Read ACL)</w:t>
            </w:r>
          </w:p>
        </w:tc>
        <w:tc>
          <w:tcPr>
            <w:tcW w:type="dxa" w:w="2300"/>
            <w:shd w:fill="F9C7C0" w:val="clear"/>
            <w:tcMar>
              <w:top w:type="dxa" w:w="80"/>
              <w:left w:type="dxa" w:w="100"/>
              <w:bottom w:type="dxa" w:w="80"/>
              <w:right w:type="dxa" w:w="100"/>
            </w:tcMar>
          </w:tcPr>
          <w:p>
            <w:r>
              <w:rPr>
                <w:b/>
                <w:bCs/>
                <w:color w:val="C0392B"/>
                <w:sz w:val="20"/>
                <w:szCs w:val="20"/>
              </w:rPr>
              <w:t xml:space="preserve">High</w:t>
            </w:r>
          </w:p>
        </w:tc>
      </w:tr>
      <w:tr>
        <w:tc>
          <w:tcPr>
            <w:tcW w:type="dxa" w:w="1400"/>
            <w:tcMar>
              <w:top w:type="dxa" w:w="80"/>
              <w:left w:type="dxa" w:w="100"/>
              <w:bottom w:type="dxa" w:w="80"/>
              <w:right w:type="dxa" w:w="100"/>
            </w:tcMar>
          </w:tcPr>
          <w:p>
            <w:r>
              <w:rPr>
                <w:b w:val="false"/>
                <w:bCs w:val="false"/>
                <w:color w:val="000000"/>
                <w:sz w:val="20"/>
                <w:szCs w:val="20"/>
              </w:rPr>
              <w:t xml:space="preserve">Level 2</w:t>
            </w:r>
          </w:p>
        </w:tc>
        <w:tc>
          <w:tcPr>
            <w:tcW w:type="dxa" w:w="5650"/>
            <w:tcMar>
              <w:top w:type="dxa" w:w="80"/>
              <w:left w:type="dxa" w:w="100"/>
              <w:bottom w:type="dxa" w:w="80"/>
              <w:right w:type="dxa" w:w="100"/>
            </w:tcMar>
          </w:tcPr>
          <w:p>
            <w:r>
              <w:rPr>
                <w:b w:val="false"/>
                <w:bCs w:val="false"/>
                <w:color w:val="000000"/>
                <w:sz w:val="20"/>
                <w:szCs w:val="20"/>
              </w:rPr>
              <w:t xml:space="preserve">S3 Bucket Accessible via Leaked/Guessable AWS Credentials &amp; Open ACLs</w:t>
            </w:r>
          </w:p>
        </w:tc>
        <w:tc>
          <w:tcPr>
            <w:tcW w:type="dxa" w:w="2300"/>
            <w:shd w:fill="F9C7C0" w:val="clear"/>
            <w:tcMar>
              <w:top w:type="dxa" w:w="80"/>
              <w:left w:type="dxa" w:w="100"/>
              <w:bottom w:type="dxa" w:w="80"/>
              <w:right w:type="dxa" w:w="100"/>
            </w:tcMar>
          </w:tcPr>
          <w:p>
            <w:r>
              <w:rPr>
                <w:b/>
                <w:bCs/>
                <w:color w:val="C0392B"/>
                <w:sz w:val="20"/>
                <w:szCs w:val="20"/>
              </w:rPr>
              <w:t xml:space="preserve">High</w:t>
            </w:r>
          </w:p>
        </w:tc>
      </w:tr>
      <w:tr>
        <w:tc>
          <w:tcPr>
            <w:tcW w:type="dxa" w:w="1400"/>
            <w:tcMar>
              <w:top w:type="dxa" w:w="80"/>
              <w:left w:type="dxa" w:w="100"/>
              <w:bottom w:type="dxa" w:w="80"/>
              <w:right w:type="dxa" w:w="100"/>
            </w:tcMar>
          </w:tcPr>
          <w:p>
            <w:r>
              <w:rPr>
                <w:b w:val="false"/>
                <w:bCs w:val="false"/>
                <w:color w:val="000000"/>
                <w:sz w:val="20"/>
                <w:szCs w:val="20"/>
              </w:rPr>
              <w:t xml:space="preserve">Level 3</w:t>
            </w:r>
          </w:p>
        </w:tc>
        <w:tc>
          <w:tcPr>
            <w:tcW w:type="dxa" w:w="5650"/>
            <w:tcMar>
              <w:top w:type="dxa" w:w="80"/>
              <w:left w:type="dxa" w:w="100"/>
              <w:bottom w:type="dxa" w:w="80"/>
              <w:right w:type="dxa" w:w="100"/>
            </w:tcMar>
          </w:tcPr>
          <w:p>
            <w:r>
              <w:rPr>
                <w:b w:val="false"/>
                <w:bCs w:val="false"/>
                <w:color w:val="000000"/>
                <w:sz w:val="20"/>
                <w:szCs w:val="20"/>
              </w:rPr>
              <w:t xml:space="preserve">AWS Access Keys Committed to Git History Inside a Public Bucket</w:t>
            </w:r>
          </w:p>
        </w:tc>
        <w:tc>
          <w:tcPr>
            <w:tcW w:type="dxa" w:w="2300"/>
            <w:shd w:fill="F5B7B1" w:val="clear"/>
            <w:tcMar>
              <w:top w:type="dxa" w:w="80"/>
              <w:left w:type="dxa" w:w="100"/>
              <w:bottom w:type="dxa" w:w="80"/>
              <w:right w:type="dxa" w:w="100"/>
            </w:tcMar>
          </w:tcPr>
          <w:p>
            <w:r>
              <w:rPr>
                <w:b/>
                <w:bCs/>
                <w:color w:val="8B0000"/>
                <w:sz w:val="20"/>
                <w:szCs w:val="20"/>
              </w:rPr>
              <w:t xml:space="preserve">Critical</w:t>
            </w:r>
          </w:p>
        </w:tc>
      </w:tr>
      <w:tr>
        <w:tc>
          <w:tcPr>
            <w:tcW w:type="dxa" w:w="1400"/>
            <w:tcMar>
              <w:top w:type="dxa" w:w="80"/>
              <w:left w:type="dxa" w:w="100"/>
              <w:bottom w:type="dxa" w:w="80"/>
              <w:right w:type="dxa" w:w="100"/>
            </w:tcMar>
          </w:tcPr>
          <w:p>
            <w:r>
              <w:rPr>
                <w:b w:val="false"/>
                <w:bCs w:val="false"/>
                <w:color w:val="000000"/>
                <w:sz w:val="20"/>
                <w:szCs w:val="20"/>
              </w:rPr>
              <w:t xml:space="preserve">Level 4</w:t>
            </w:r>
          </w:p>
        </w:tc>
        <w:tc>
          <w:tcPr>
            <w:tcW w:type="dxa" w:w="5650"/>
            <w:tcMar>
              <w:top w:type="dxa" w:w="80"/>
              <w:left w:type="dxa" w:w="100"/>
              <w:bottom w:type="dxa" w:w="80"/>
              <w:right w:type="dxa" w:w="100"/>
            </w:tcMar>
          </w:tcPr>
          <w:p>
            <w:r>
              <w:rPr>
                <w:b w:val="false"/>
                <w:bCs w:val="false"/>
                <w:color w:val="000000"/>
                <w:sz w:val="20"/>
                <w:szCs w:val="20"/>
              </w:rPr>
              <w:t xml:space="preserve">Publicly Accessible, Unencrypted EBS Snapshot Exposing Server Secrets</w:t>
            </w:r>
          </w:p>
        </w:tc>
        <w:tc>
          <w:tcPr>
            <w:tcW w:type="dxa" w:w="2300"/>
            <w:shd w:fill="F5B7B1" w:val="clear"/>
            <w:tcMar>
              <w:top w:type="dxa" w:w="80"/>
              <w:left w:type="dxa" w:w="100"/>
              <w:bottom w:type="dxa" w:w="80"/>
              <w:right w:type="dxa" w:w="100"/>
            </w:tcMar>
          </w:tcPr>
          <w:p>
            <w:r>
              <w:rPr>
                <w:b/>
                <w:bCs/>
                <w:color w:val="8B0000"/>
                <w:sz w:val="20"/>
                <w:szCs w:val="20"/>
              </w:rPr>
              <w:t xml:space="preserve">Critical</w:t>
            </w:r>
          </w:p>
        </w:tc>
      </w:tr>
      <w:tr>
        <w:tc>
          <w:tcPr>
            <w:tcW w:type="dxa" w:w="1400"/>
            <w:tcMar>
              <w:top w:type="dxa" w:w="80"/>
              <w:left w:type="dxa" w:w="100"/>
              <w:bottom w:type="dxa" w:w="80"/>
              <w:right w:type="dxa" w:w="100"/>
            </w:tcMar>
          </w:tcPr>
          <w:p>
            <w:r>
              <w:rPr>
                <w:b w:val="false"/>
                <w:bCs w:val="false"/>
                <w:color w:val="000000"/>
                <w:sz w:val="20"/>
                <w:szCs w:val="20"/>
              </w:rPr>
              <w:t xml:space="preserve">Level 5</w:t>
            </w:r>
          </w:p>
        </w:tc>
        <w:tc>
          <w:tcPr>
            <w:tcW w:type="dxa" w:w="5650"/>
            <w:tcMar>
              <w:top w:type="dxa" w:w="80"/>
              <w:left w:type="dxa" w:w="100"/>
              <w:bottom w:type="dxa" w:w="80"/>
              <w:right w:type="dxa" w:w="100"/>
            </w:tcMar>
          </w:tcPr>
          <w:p>
            <w:r>
              <w:rPr>
                <w:b w:val="false"/>
                <w:bCs w:val="false"/>
                <w:color w:val="000000"/>
                <w:sz w:val="20"/>
                <w:szCs w:val="20"/>
              </w:rPr>
              <w:t xml:space="preserve">Server-Side Request Forgery (SSRF) via Proxy Reaching Internal/Other Account Resources</w:t>
            </w:r>
          </w:p>
        </w:tc>
        <w:tc>
          <w:tcPr>
            <w:tcW w:type="dxa" w:w="2300"/>
            <w:shd w:fill="F9C7C0" w:val="clear"/>
            <w:tcMar>
              <w:top w:type="dxa" w:w="80"/>
              <w:left w:type="dxa" w:w="100"/>
              <w:bottom w:type="dxa" w:w="80"/>
              <w:right w:type="dxa" w:w="100"/>
            </w:tcMar>
          </w:tcPr>
          <w:p>
            <w:r>
              <w:rPr>
                <w:b/>
                <w:bCs/>
                <w:color w:val="C0392B"/>
                <w:sz w:val="20"/>
                <w:szCs w:val="20"/>
              </w:rPr>
              <w:t xml:space="preserve">High</w:t>
            </w:r>
          </w:p>
        </w:tc>
      </w:tr>
    </w:tbl>
    <w:p>
      <w:pPr>
        <w:spacing w:after="200"/>
      </w:pPr>
    </w:p>
    <w:p>
      <w:pPr>
        <w:pStyle w:val="Heading1"/>
        <w:spacing w:after="200" w:before="400"/>
      </w:pPr>
      <w:r>
        <w:t xml:space="preserve">4. Where the Risk Comes From</w:t>
      </w:r>
    </w:p>
    <w:p>
      <w:pPr>
        <w:pStyle w:val="Heading2"/>
        <w:spacing w:after="150" w:before="300"/>
      </w:pPr>
      <w:r>
        <w:t xml:space="preserve">4.1 Overly Permissive Storage Permissions</w:t>
      </w:r>
    </w:p>
    <w:p>
      <w:pPr>
        <w:spacing w:after="160"/>
      </w:pPr>
      <w:r>
        <w:t xml:space="preserve">Three of the five stages trace back directly to cloud storage buckets granting public access beyond what was intended. This remains one of the single most common and highest-impact cloud misconfigurations reported industry-wide, and is typically the result of a default or convenience setting that was never revisited.</w:t>
      </w:r>
    </w:p>
    <w:p>
      <w:pPr>
        <w:pStyle w:val="Heading2"/>
        <w:spacing w:after="150" w:before="300"/>
      </w:pPr>
      <w:r>
        <w:t xml:space="preserve">4.2 Secrets Management Failures</w:t>
      </w:r>
    </w:p>
    <w:p>
      <w:pPr>
        <w:spacing w:after="160"/>
      </w:pPr>
      <w:r>
        <w:t xml:space="preserve">Two of the five stages stem from credentials being stored in plain text in the wrong place, without rotation after exposure. No amount of network security fully compensates for secrets that are stored insecurely at rest.</w:t>
      </w:r>
    </w:p>
    <w:p>
      <w:pPr>
        <w:pStyle w:val="Heading2"/>
        <w:spacing w:after="150" w:before="300"/>
      </w:pPr>
      <w:r>
        <w:t xml:space="preserve">4.3 Insufficient Backup Governance</w:t>
      </w:r>
    </w:p>
    <w:p>
      <w:pPr>
        <w:spacing w:after="160"/>
      </w:pPr>
      <w:r>
        <w:t xml:space="preserve">A publicly shared backup exposed a complete, offline-readable copy of a server's disk — demonstrating that backup artifacts require the same rigor of access control as live production systems.</w:t>
      </w:r>
    </w:p>
    <w:p>
      <w:pPr>
        <w:pStyle w:val="Heading1"/>
        <w:spacing w:after="200" w:before="400"/>
      </w:pPr>
      <w:r>
        <w:t xml:space="preserve">5. Prioritized Roadmap</w:t>
      </w:r>
    </w:p>
    <w:p>
      <w:pPr>
        <w:spacing w:after="160"/>
      </w:pPr>
      <w:r>
        <w:t xml:space="preserve">A detailed, phased action plan with ownership guidance is provided in the companion Remediation &amp; Action Plan report. At a glance, the recommended sequencing 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5650"/>
        <w:gridCol w:w="2100"/>
      </w:tblGrid>
      <w:tr>
        <w:trPr>
          <w:tblHeader/>
        </w:trPr>
        <w:tc>
          <w:tcPr>
            <w:tcW w:type="dxa" w:w="1600"/>
            <w:shd w:fill="1B4F72" w:val="clear"/>
            <w:tcMar>
              <w:top w:type="dxa" w:w="80"/>
              <w:left w:type="dxa" w:w="100"/>
              <w:bottom w:type="dxa" w:w="80"/>
              <w:right w:type="dxa" w:w="100"/>
            </w:tcMar>
          </w:tcPr>
          <w:p>
            <w:r>
              <w:rPr>
                <w:b/>
                <w:bCs/>
                <w:color w:val="FFFFFF"/>
                <w:sz w:val="20"/>
                <w:szCs w:val="20"/>
              </w:rPr>
              <w:t xml:space="preserve">Priority</w:t>
            </w:r>
          </w:p>
        </w:tc>
        <w:tc>
          <w:tcPr>
            <w:tcW w:type="dxa" w:w="5650"/>
            <w:shd w:fill="1B4F72" w:val="clear"/>
            <w:tcMar>
              <w:top w:type="dxa" w:w="80"/>
              <w:left w:type="dxa" w:w="100"/>
              <w:bottom w:type="dxa" w:w="80"/>
              <w:right w:type="dxa" w:w="100"/>
            </w:tcMar>
          </w:tcPr>
          <w:p>
            <w:r>
              <w:rPr>
                <w:b/>
                <w:bCs/>
                <w:color w:val="FFFFFF"/>
                <w:sz w:val="20"/>
                <w:szCs w:val="20"/>
              </w:rPr>
              <w:t xml:space="preserve">Action</w:t>
            </w:r>
          </w:p>
        </w:tc>
        <w:tc>
          <w:tcPr>
            <w:tcW w:type="dxa" w:w="2100"/>
            <w:shd w:fill="1B4F72" w:val="clear"/>
            <w:tcMar>
              <w:top w:type="dxa" w:w="80"/>
              <w:left w:type="dxa" w:w="100"/>
              <w:bottom w:type="dxa" w:w="80"/>
              <w:right w:type="dxa" w:w="100"/>
            </w:tcMar>
          </w:tcPr>
          <w:p>
            <w:r>
              <w:rPr>
                <w:b/>
                <w:bCs/>
                <w:color w:val="FFFFFF"/>
                <w:sz w:val="20"/>
                <w:szCs w:val="20"/>
              </w:rPr>
              <w:t xml:space="preserve">Timeframe</w:t>
            </w:r>
          </w:p>
        </w:tc>
      </w:tr>
      <w:tr>
        <w:tc>
          <w:tcPr>
            <w:tcW w:type="dxa" w:w="1600"/>
            <w:shd w:fill="F5B7B1" w:val="clear"/>
            <w:tcMar>
              <w:top w:type="dxa" w:w="80"/>
              <w:left w:type="dxa" w:w="100"/>
              <w:bottom w:type="dxa" w:w="80"/>
              <w:right w:type="dxa" w:w="100"/>
            </w:tcMar>
          </w:tcPr>
          <w:p>
            <w:r>
              <w:rPr>
                <w:b/>
                <w:bCs/>
                <w:color w:val="000000"/>
                <w:sz w:val="20"/>
                <w:szCs w:val="20"/>
              </w:rPr>
              <w:t xml:space="preserve">1</w:t>
            </w:r>
          </w:p>
        </w:tc>
        <w:tc>
          <w:tcPr>
            <w:tcW w:type="dxa" w:w="5650"/>
            <w:tcMar>
              <w:top w:type="dxa" w:w="80"/>
              <w:left w:type="dxa" w:w="100"/>
              <w:bottom w:type="dxa" w:w="80"/>
              <w:right w:type="dxa" w:w="100"/>
            </w:tcMar>
          </w:tcPr>
          <w:p>
            <w:r>
              <w:rPr>
                <w:b w:val="false"/>
                <w:bCs w:val="false"/>
                <w:color w:val="000000"/>
                <w:sz w:val="20"/>
                <w:szCs w:val="20"/>
              </w:rPr>
              <w:t xml:space="preserve">Enable S3 Block Public Access account-wide; audit all buckets for public ListBucket/GetObject grants.</w:t>
            </w:r>
          </w:p>
        </w:tc>
        <w:tc>
          <w:tcPr>
            <w:tcW w:type="dxa" w:w="2100"/>
            <w:tcMar>
              <w:top w:type="dxa" w:w="80"/>
              <w:left w:type="dxa" w:w="100"/>
              <w:bottom w:type="dxa" w:w="80"/>
              <w:right w:type="dxa" w:w="100"/>
            </w:tcMar>
          </w:tcPr>
          <w:p>
            <w:r>
              <w:rPr>
                <w:b w:val="false"/>
                <w:bCs w:val="false"/>
                <w:color w:val="000000"/>
                <w:sz w:val="20"/>
                <w:szCs w:val="20"/>
              </w:rPr>
              <w:t xml:space="preserve">Immediate (0–7 days)</w:t>
            </w:r>
          </w:p>
        </w:tc>
      </w:tr>
      <w:tr>
        <w:tc>
          <w:tcPr>
            <w:tcW w:type="dxa" w:w="1600"/>
            <w:shd w:fill="F5B7B1" w:val="clear"/>
            <w:tcMar>
              <w:top w:type="dxa" w:w="80"/>
              <w:left w:type="dxa" w:w="100"/>
              <w:bottom w:type="dxa" w:w="80"/>
              <w:right w:type="dxa" w:w="100"/>
            </w:tcMar>
          </w:tcPr>
          <w:p>
            <w:r>
              <w:rPr>
                <w:b/>
                <w:bCs/>
                <w:color w:val="000000"/>
                <w:sz w:val="20"/>
                <w:szCs w:val="20"/>
              </w:rPr>
              <w:t xml:space="preserve">2</w:t>
            </w:r>
          </w:p>
        </w:tc>
        <w:tc>
          <w:tcPr>
            <w:tcW w:type="dxa" w:w="5650"/>
            <w:tcMar>
              <w:top w:type="dxa" w:w="80"/>
              <w:left w:type="dxa" w:w="100"/>
              <w:bottom w:type="dxa" w:w="80"/>
              <w:right w:type="dxa" w:w="100"/>
            </w:tcMar>
          </w:tcPr>
          <w:p>
            <w:r>
              <w:rPr>
                <w:b w:val="false"/>
                <w:bCs w:val="false"/>
                <w:color w:val="000000"/>
                <w:sz w:val="20"/>
                <w:szCs w:val="20"/>
              </w:rPr>
              <w:t xml:space="preserve">Rotate any IAM credential that has ever appeared in source control history; deploy secret-scanning on all repositories.</w:t>
            </w:r>
          </w:p>
        </w:tc>
        <w:tc>
          <w:tcPr>
            <w:tcW w:type="dxa" w:w="2100"/>
            <w:tcMar>
              <w:top w:type="dxa" w:w="80"/>
              <w:left w:type="dxa" w:w="100"/>
              <w:bottom w:type="dxa" w:w="80"/>
              <w:right w:type="dxa" w:w="100"/>
            </w:tcMar>
          </w:tcPr>
          <w:p>
            <w:r>
              <w:rPr>
                <w:b w:val="false"/>
                <w:bCs w:val="false"/>
                <w:color w:val="000000"/>
                <w:sz w:val="20"/>
                <w:szCs w:val="20"/>
              </w:rPr>
              <w:t xml:space="preserve">Immediate (0–7 days)</w:t>
            </w:r>
          </w:p>
        </w:tc>
      </w:tr>
      <w:tr>
        <w:tc>
          <w:tcPr>
            <w:tcW w:type="dxa" w:w="1600"/>
            <w:shd w:fill="FDEBD0" w:val="clear"/>
            <w:tcMar>
              <w:top w:type="dxa" w:w="80"/>
              <w:left w:type="dxa" w:w="100"/>
              <w:bottom w:type="dxa" w:w="80"/>
              <w:right w:type="dxa" w:w="100"/>
            </w:tcMar>
          </w:tcPr>
          <w:p>
            <w:r>
              <w:rPr>
                <w:b/>
                <w:bCs/>
                <w:color w:val="000000"/>
                <w:sz w:val="20"/>
                <w:szCs w:val="20"/>
              </w:rPr>
              <w:t xml:space="preserve">3</w:t>
            </w:r>
          </w:p>
        </w:tc>
        <w:tc>
          <w:tcPr>
            <w:tcW w:type="dxa" w:w="5650"/>
            <w:tcMar>
              <w:top w:type="dxa" w:w="80"/>
              <w:left w:type="dxa" w:w="100"/>
              <w:bottom w:type="dxa" w:w="80"/>
              <w:right w:type="dxa" w:w="100"/>
            </w:tcMar>
          </w:tcPr>
          <w:p>
            <w:r>
              <w:rPr>
                <w:b w:val="false"/>
                <w:bCs w:val="false"/>
                <w:color w:val="000000"/>
                <w:sz w:val="20"/>
                <w:szCs w:val="20"/>
              </w:rPr>
              <w:t xml:space="preserve">Audit all EBS snapshots and AMIs account-wide for public/cross-account sharing; enable default EBS encryption.</w:t>
            </w:r>
          </w:p>
        </w:tc>
        <w:tc>
          <w:tcPr>
            <w:tcW w:type="dxa" w:w="2100"/>
            <w:tcMar>
              <w:top w:type="dxa" w:w="80"/>
              <w:left w:type="dxa" w:w="100"/>
              <w:bottom w:type="dxa" w:w="80"/>
              <w:right w:type="dxa" w:w="100"/>
            </w:tcMar>
          </w:tcPr>
          <w:p>
            <w:r>
              <w:rPr>
                <w:b w:val="false"/>
                <w:bCs w:val="false"/>
                <w:color w:val="000000"/>
                <w:sz w:val="20"/>
                <w:szCs w:val="20"/>
              </w:rPr>
              <w:t xml:space="preserve">Short-term (2–4 weeks)</w:t>
            </w:r>
          </w:p>
        </w:tc>
      </w:tr>
      <w:tr>
        <w:tc>
          <w:tcPr>
            <w:tcW w:type="dxa" w:w="1600"/>
            <w:shd w:fill="FDEBD0" w:val="clear"/>
            <w:tcMar>
              <w:top w:type="dxa" w:w="80"/>
              <w:left w:type="dxa" w:w="100"/>
              <w:bottom w:type="dxa" w:w="80"/>
              <w:right w:type="dxa" w:w="100"/>
            </w:tcMar>
          </w:tcPr>
          <w:p>
            <w:r>
              <w:rPr>
                <w:b/>
                <w:bCs/>
                <w:color w:val="000000"/>
                <w:sz w:val="20"/>
                <w:szCs w:val="20"/>
              </w:rPr>
              <w:t xml:space="preserve">4</w:t>
            </w:r>
          </w:p>
        </w:tc>
        <w:tc>
          <w:tcPr>
            <w:tcW w:type="dxa" w:w="5650"/>
            <w:tcMar>
              <w:top w:type="dxa" w:w="80"/>
              <w:left w:type="dxa" w:w="100"/>
              <w:bottom w:type="dxa" w:w="80"/>
              <w:right w:type="dxa" w:w="100"/>
            </w:tcMar>
          </w:tcPr>
          <w:p>
            <w:r>
              <w:rPr>
                <w:b w:val="false"/>
                <w:bCs w:val="false"/>
                <w:color w:val="000000"/>
                <w:sz w:val="20"/>
                <w:szCs w:val="20"/>
              </w:rPr>
              <w:t xml:space="preserve">Migrate hard-coded/provisioning-script secrets to AWS Secrets Manager or SSM Parameter Store.</w:t>
            </w:r>
          </w:p>
        </w:tc>
        <w:tc>
          <w:tcPr>
            <w:tcW w:type="dxa" w:w="2100"/>
            <w:tcMar>
              <w:top w:type="dxa" w:w="80"/>
              <w:left w:type="dxa" w:w="100"/>
              <w:bottom w:type="dxa" w:w="80"/>
              <w:right w:type="dxa" w:w="100"/>
            </w:tcMar>
          </w:tcPr>
          <w:p>
            <w:r>
              <w:rPr>
                <w:b w:val="false"/>
                <w:bCs w:val="false"/>
                <w:color w:val="000000"/>
                <w:sz w:val="20"/>
                <w:szCs w:val="20"/>
              </w:rPr>
              <w:t xml:space="preserve">Short-term (2–4 weeks)</w:t>
            </w:r>
          </w:p>
        </w:tc>
      </w:tr>
      <w:tr>
        <w:tc>
          <w:tcPr>
            <w:tcW w:type="dxa" w:w="1600"/>
            <w:shd w:fill="D6EAF8" w:val="clear"/>
            <w:tcMar>
              <w:top w:type="dxa" w:w="80"/>
              <w:left w:type="dxa" w:w="100"/>
              <w:bottom w:type="dxa" w:w="80"/>
              <w:right w:type="dxa" w:w="100"/>
            </w:tcMar>
          </w:tcPr>
          <w:p>
            <w:r>
              <w:rPr>
                <w:b/>
                <w:bCs/>
                <w:color w:val="000000"/>
                <w:sz w:val="20"/>
                <w:szCs w:val="20"/>
              </w:rPr>
              <w:t xml:space="preserve">5</w:t>
            </w:r>
          </w:p>
        </w:tc>
        <w:tc>
          <w:tcPr>
            <w:tcW w:type="dxa" w:w="5650"/>
            <w:tcMar>
              <w:top w:type="dxa" w:w="80"/>
              <w:left w:type="dxa" w:w="100"/>
              <w:bottom w:type="dxa" w:w="80"/>
              <w:right w:type="dxa" w:w="100"/>
            </w:tcMar>
          </w:tcPr>
          <w:p>
            <w:r>
              <w:rPr>
                <w:b w:val="false"/>
                <w:bCs w:val="false"/>
                <w:color w:val="000000"/>
                <w:sz w:val="20"/>
                <w:szCs w:val="20"/>
              </w:rPr>
              <w:t xml:space="preserve">Enforce IMDSv2 fleet-wide; review any server-side proxy/forwarding functionality for SSRF exposure.</w:t>
            </w:r>
          </w:p>
        </w:tc>
        <w:tc>
          <w:tcPr>
            <w:tcW w:type="dxa" w:w="2100"/>
            <w:tcMar>
              <w:top w:type="dxa" w:w="80"/>
              <w:left w:type="dxa" w:w="100"/>
              <w:bottom w:type="dxa" w:w="80"/>
              <w:right w:type="dxa" w:w="100"/>
            </w:tcMar>
          </w:tcPr>
          <w:p>
            <w:r>
              <w:rPr>
                <w:b w:val="false"/>
                <w:bCs w:val="false"/>
                <w:color w:val="000000"/>
                <w:sz w:val="20"/>
                <w:szCs w:val="20"/>
              </w:rPr>
              <w:t xml:space="preserve">Medium-term (1–2 months)</w:t>
            </w:r>
          </w:p>
        </w:tc>
      </w:tr>
      <w:tr>
        <w:tc>
          <w:tcPr>
            <w:tcW w:type="dxa" w:w="1600"/>
            <w:shd w:fill="D6EAF8" w:val="clear"/>
            <w:tcMar>
              <w:top w:type="dxa" w:w="80"/>
              <w:left w:type="dxa" w:w="100"/>
              <w:bottom w:type="dxa" w:w="80"/>
              <w:right w:type="dxa" w:w="100"/>
            </w:tcMar>
          </w:tcPr>
          <w:p>
            <w:r>
              <w:rPr>
                <w:b/>
                <w:bCs/>
                <w:color w:val="000000"/>
                <w:sz w:val="20"/>
                <w:szCs w:val="20"/>
              </w:rPr>
              <w:t xml:space="preserve">6</w:t>
            </w:r>
          </w:p>
        </w:tc>
        <w:tc>
          <w:tcPr>
            <w:tcW w:type="dxa" w:w="5650"/>
            <w:tcMar>
              <w:top w:type="dxa" w:w="80"/>
              <w:left w:type="dxa" w:w="100"/>
              <w:bottom w:type="dxa" w:w="80"/>
              <w:right w:type="dxa" w:w="100"/>
            </w:tcMar>
          </w:tcPr>
          <w:p>
            <w:r>
              <w:rPr>
                <w:b w:val="false"/>
                <w:bCs w:val="false"/>
                <w:color w:val="000000"/>
                <w:sz w:val="20"/>
                <w:szCs w:val="20"/>
              </w:rPr>
              <w:t xml:space="preserve">Deploy continuous posture monitoring (IAM Access Analyzer, AWS Config, GuardDuty) to catch regressions.</w:t>
            </w:r>
          </w:p>
        </w:tc>
        <w:tc>
          <w:tcPr>
            <w:tcW w:type="dxa" w:w="2100"/>
            <w:tcMar>
              <w:top w:type="dxa" w:w="80"/>
              <w:left w:type="dxa" w:w="100"/>
              <w:bottom w:type="dxa" w:w="80"/>
              <w:right w:type="dxa" w:w="100"/>
            </w:tcMar>
          </w:tcPr>
          <w:p>
            <w:r>
              <w:rPr>
                <w:b w:val="false"/>
                <w:bCs w:val="false"/>
                <w:color w:val="000000"/>
                <w:sz w:val="20"/>
                <w:szCs w:val="20"/>
              </w:rPr>
              <w:t xml:space="preserve">Ongoing</w:t>
            </w:r>
          </w:p>
        </w:tc>
      </w:tr>
    </w:tbl>
    <w:p>
      <w:pPr>
        <w:spacing w:after="200"/>
      </w:pPr>
    </w:p>
    <w:p>
      <w:pPr>
        <w:pStyle w:val="Heading1"/>
        <w:spacing w:after="200" w:before="400"/>
      </w:pPr>
      <w:r>
        <w:t xml:space="preserve">6. Conclusion</w:t>
      </w:r>
    </w:p>
    <w:p>
      <w:pPr>
        <w:spacing w:after="160"/>
      </w:pPr>
      <w:r>
        <w:t xml:space="preserve">This exercise validated a complete, realistic attack path against a simulated AWS environment using only publicly known techniques and freely available tooling — no zero-day exploits or custom malware were required. That is precisely why these findings matter: the same misconfigurations, if present in a production account, are readily discoverable and exploitable by automated scanning tools operated by opportunistic attackers, not just skilled specialists. The recommendations in this report and its companion Technical and Remediation documents are directly applicable to any organization operating in AWS.</w:t>
      </w:r>
    </w:p>
    <w:p>
      <w:pPr>
        <w:spacing w:after="160"/>
      </w:pPr>
      <w:r>
        <w:rPr>
          <w:i/>
          <w:iCs/>
          <w:color w:val="555555"/>
          <w:sz w:val="20"/>
          <w:szCs w:val="20"/>
        </w:rPr>
        <w:t xml:space="preserve">Companion documents: flAWS_Technical_Report.docx (full technical evidence and exploitation detail) and flAWS_Remediation_Action_Plan.docx (control-by-control remediation guidance).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flAWS.cloud — Executive Summary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6"/>
      </w:pBdr>
      <w:spacing w:after="160" w:before="360"/>
    </w:pPr>
    <w:rPr>
      <w:b/>
      <w:bCs/>
      <w:color w:val="1B2631"/>
      <w:sz w:val="32"/>
      <w:szCs w:val="32"/>
    </w:rPr>
  </w:style>
  <w:style w:type="paragraph" w:styleId="Heading2">
    <w:name w:val="Heading 2"/>
    <w:basedOn w:val="Normal"/>
    <w:next w:val="Normal"/>
    <w:qFormat/>
    <w:rPr>
      <w:b/>
      <w:bCs/>
      <w:color w:val="1B4F72"/>
      <w:sz w:val="26"/>
      <w:szCs w:val="26"/>
    </w:rPr>
  </w:style>
  <w:style w:type="paragraph" w:styleId="Heading3">
    <w:name w:val="Heading 3"/>
    <w:basedOn w:val="Normal"/>
    <w:next w:val="Normal"/>
    <w:qFormat/>
    <w:rPr>
      <w:b/>
      <w:bCs/>
      <w:color w:val="15436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2026-09-01T08:18:44.436Z</dcterms:created>
  <dcterms:modified xsi:type="dcterms:W3CDTF">2026-09-01T08:18:44.446Z</dcterms:modified>
</cp:coreProperties>
</file>

<file path=docProps/custom.xml><?xml version="1.0" encoding="utf-8"?>
<Properties xmlns="http://schemas.openxmlformats.org/officeDocument/2006/custom-properties" xmlns:vt="http://schemas.openxmlformats.org/officeDocument/2006/docPropsVTypes"/>
</file>