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pPr>
      <w:r>
        <w:rPr>
          <w:b/>
          <w:color w:val="102C57"/>
          <w:sz w:val="44"/>
        </w:rPr>
        <w:t>Tổng quan cấu trúc đề thi IELTS mới nhất</w:t>
      </w:r>
    </w:p>
    <w:p>
      <w:pPr>
        <w:spacing w:after="240"/>
      </w:pPr>
      <w:r>
        <w:rPr>
          <w:i/>
          <w:color w:val="464646"/>
          <w:sz w:val="23"/>
        </w:rPr>
        <w:t>Bài viết dưới đây sẽ phân tích cấu trúc đề thi IELTS, thời lượng của từng kỹ năng, các dạng bài thường gặp, tiêu chí chấm và cách quy đổi band điểm. Khi nắm chắc những thông tin này, bạn sẽ chủ động hơn, tối ưu chiến thuật làm bài và tiến gần hơn đến band điểm mục tiêu.</w:t>
      </w:r>
    </w:p>
    <w:p>
      <w:pPr>
        <w:spacing w:after="320"/>
        <w:jc w:val="center"/>
      </w:pPr>
      <w:r>
        <w:drawing>
          <wp:inline xmlns:a="http://schemas.openxmlformats.org/drawingml/2006/main" xmlns:pic="http://schemas.openxmlformats.org/drawingml/2006/picture">
            <wp:extent cx="5852160" cy="1877568"/>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852160" cy="1877568"/>
                    </a:xfrm>
                    <a:prstGeom prst="rect"/>
                  </pic:spPr>
                </pic:pic>
              </a:graphicData>
            </a:graphic>
          </wp:inline>
        </w:drawing>
      </w:r>
    </w:p>
    <w:p>
      <w:pPr>
        <w:keepNext/>
        <w:spacing w:before="320" w:after="120"/>
      </w:pPr>
      <w:r>
        <w:rPr>
          <w:b/>
          <w:color w:val="00529B"/>
          <w:sz w:val="30"/>
        </w:rPr>
        <w:t>1. Tổng quan cấu trúc đề thi IELTS</w:t>
      </w:r>
    </w:p>
    <w:p>
      <w:pPr>
        <w:spacing w:after="120" w:line="276" w:lineRule="auto"/>
      </w:pPr>
      <w:r>
        <w:rPr>
          <w:color w:val="0066CC"/>
          <w:u w:val="single"/>
        </w:rPr>
        <w:t>Cấu trúc đề thi IELTS</w:t>
      </w:r>
      <w:r>
        <w:t xml:space="preserve"> là kỳ thi gồm có bốn kỹ năng </w:t>
      </w:r>
      <w:r>
        <w:rPr>
          <w:b/>
        </w:rPr>
        <w:t>Nghe, Đọc, Viết và</w:t>
      </w:r>
      <w:r>
        <w:t xml:space="preserve"> </w:t>
      </w:r>
      <w:r>
        <w:rPr>
          <w:b/>
        </w:rPr>
        <w:t>Nói</w:t>
      </w:r>
      <w:r>
        <w:t xml:space="preserve"> với tổng thời gian làm bài thi khoảng 2 giờ 45 phút và không có thời gian nghỉ giữa các phần thi.</w:t>
      </w:r>
    </w:p>
    <w:p>
      <w:pPr>
        <w:spacing w:after="120" w:line="276" w:lineRule="auto"/>
      </w:pPr>
      <w:r>
        <w:rPr>
          <w:b/>
        </w:rPr>
        <w:t>Thi IELTS gồm những phần nào?</w:t>
      </w:r>
    </w:p>
    <w:p>
      <w:pPr>
        <w:pStyle w:val="ListBullet"/>
        <w:spacing w:after="60" w:line="276" w:lineRule="auto"/>
      </w:pPr>
      <w:r>
        <w:t>Kỹ năng nghe (IELTS Listening): 30 phút</w:t>
      </w:r>
    </w:p>
    <w:p>
      <w:pPr>
        <w:pStyle w:val="ListBullet"/>
        <w:spacing w:after="60" w:line="276" w:lineRule="auto"/>
      </w:pPr>
      <w:r>
        <w:t>Kỹ năng Đọc (IELTS Reading): 60 phút</w:t>
      </w:r>
    </w:p>
    <w:p>
      <w:pPr>
        <w:pStyle w:val="ListBullet"/>
        <w:spacing w:after="60" w:line="276" w:lineRule="auto"/>
      </w:pPr>
      <w:r>
        <w:t>Kỹ năng Viết (IELTS Writing): 60 phút</w:t>
      </w:r>
    </w:p>
    <w:p>
      <w:pPr>
        <w:pStyle w:val="ListBullet"/>
        <w:spacing w:after="60" w:line="276" w:lineRule="auto"/>
      </w:pPr>
      <w:r>
        <w:t>Kỹ năng Nói (IELTS Speaking): 11-14 phút</w:t>
      </w:r>
    </w:p>
    <w:p>
      <w:pPr>
        <w:spacing w:after="120" w:line="276" w:lineRule="auto"/>
      </w:pPr>
      <w:r>
        <w:t xml:space="preserve">Bạn sẽ thi từng kỹ năng </w:t>
      </w:r>
      <w:r>
        <w:rPr>
          <w:b/>
        </w:rPr>
        <w:t>Nghe, Đọc và Viết</w:t>
      </w:r>
      <w:r>
        <w:t xml:space="preserve"> vào cùng một ngày theo thứ tự và không có thời gian nghỉ giữa các môn thi.</w:t>
      </w:r>
    </w:p>
    <w:p>
      <w:pPr>
        <w:spacing w:after="120" w:line="276" w:lineRule="auto"/>
      </w:pPr>
      <w:r>
        <w:t xml:space="preserve">Tùy theo trung tâm mà bạn dự thi, việc thi môn Nói có thể diễn ra vào cùng ngày với ba môn kia hoặc được tổ chức trước hoặc sau ngày thi chính trong vòng 7 ngày. </w:t>
      </w:r>
    </w:p>
    <w:p>
      <w:pPr>
        <w:spacing w:after="120" w:line="276" w:lineRule="auto"/>
      </w:pPr>
      <w:r>
        <w:t xml:space="preserve">Và nếu chưa rõ về IELTS hay các bước đăng ký thi khác thì đừng bỏ qua bài viết </w:t>
      </w:r>
      <w:r>
        <w:rPr>
          <w:color w:val="0066CC"/>
          <w:u w:val="single"/>
        </w:rPr>
        <w:t>Bằng IELTS</w:t>
      </w:r>
      <w:r>
        <w:t xml:space="preserve"> là gì? Chứng chỉ IELTS có thời hạn bao lâu?</w:t>
      </w:r>
    </w:p>
    <w:p>
      <w:pPr>
        <w:spacing w:before="160" w:after="80"/>
        <w:jc w:val="center"/>
      </w:pPr>
      <w:r>
        <w:drawing>
          <wp:inline xmlns:a="http://schemas.openxmlformats.org/drawingml/2006/main" xmlns:pic="http://schemas.openxmlformats.org/drawingml/2006/picture">
            <wp:extent cx="4876800" cy="27432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876800" cy="2743200"/>
                    </a:xfrm>
                    <a:prstGeom prst="rect"/>
                  </pic:spPr>
                </pic:pic>
              </a:graphicData>
            </a:graphic>
          </wp:inline>
        </w:drawing>
      </w:r>
    </w:p>
    <w:p>
      <w:pPr>
        <w:spacing w:after="200"/>
        <w:jc w:val="center"/>
      </w:pPr>
      <w:r>
        <w:rPr>
          <w:i/>
          <w:color w:val="6E6E6E"/>
          <w:sz w:val="18"/>
        </w:rPr>
        <w:t>Hình: cấu trúc đề thi ielts</w:t>
      </w:r>
    </w:p>
    <w:p>
      <w:pPr>
        <w:spacing w:after="120" w:line="276" w:lineRule="auto"/>
      </w:pPr>
      <w:r>
        <w:rPr>
          <w:b/>
        </w:rPr>
        <w:t>Cấu trúc đề IELTS từng phần thi cụ thể như sau:</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3202"/>
        <w:gridCol w:w="3202"/>
        <w:gridCol w:w="3202"/>
      </w:tblGrid>
      <w:tr>
        <w:trPr>
          <w:cantSplit/>
          <w:tblHeader/>
        </w:trPr>
        <w:tc>
          <w:tcPr>
            <w:tcW w:type="dxa" w:w="3202"/>
            <w:tcMar>
              <w:top w:w="60" w:type="dxa"/>
              <w:bottom w:w="60" w:type="dxa"/>
              <w:left w:w="80" w:type="dxa"/>
              <w:right w:w="80" w:type="dxa"/>
            </w:tcMar>
            <w:shd w:fill="EBF3FA"/>
          </w:tcPr>
          <w:p>
            <w:pPr>
              <w:spacing w:after="20" w:before="20" w:line="252" w:lineRule="auto"/>
            </w:pPr>
            <w:r>
              <w:rPr>
                <w:b/>
                <w:color w:val="003366"/>
                <w:sz w:val="19"/>
              </w:rPr>
              <w:t>Phần thi</w:t>
            </w:r>
          </w:p>
        </w:tc>
        <w:tc>
          <w:tcPr>
            <w:tcW w:type="dxa" w:w="3202"/>
            <w:tcMar>
              <w:top w:w="60" w:type="dxa"/>
              <w:bottom w:w="60" w:type="dxa"/>
              <w:left w:w="80" w:type="dxa"/>
              <w:right w:w="80" w:type="dxa"/>
            </w:tcMar>
            <w:shd w:fill="EBF3FA"/>
          </w:tcPr>
          <w:p>
            <w:pPr>
              <w:spacing w:after="20" w:before="20" w:line="252" w:lineRule="auto"/>
            </w:pPr>
            <w:r>
              <w:rPr>
                <w:b/>
                <w:color w:val="003366"/>
                <w:sz w:val="19"/>
              </w:rPr>
              <w:t>Thời gian</w:t>
            </w:r>
          </w:p>
        </w:tc>
        <w:tc>
          <w:tcPr>
            <w:tcW w:type="dxa" w:w="3202"/>
            <w:tcMar>
              <w:top w:w="60" w:type="dxa"/>
              <w:bottom w:w="60" w:type="dxa"/>
              <w:left w:w="80" w:type="dxa"/>
              <w:right w:w="80" w:type="dxa"/>
            </w:tcMar>
            <w:shd w:fill="EBF3FA"/>
          </w:tcPr>
          <w:p>
            <w:pPr>
              <w:spacing w:after="20" w:before="20" w:line="252" w:lineRule="auto"/>
            </w:pPr>
            <w:r>
              <w:rPr>
                <w:b/>
                <w:color w:val="003366"/>
                <w:sz w:val="19"/>
              </w:rPr>
              <w:t>Mục tiêu đánh giá chính</w:t>
            </w:r>
          </w:p>
        </w:tc>
      </w:tr>
      <w:tr>
        <w:trPr>
          <w:cantSplit/>
        </w:trPr>
        <w:tc>
          <w:tcPr>
            <w:tcW w:type="dxa" w:w="3202"/>
            <w:tcMar>
              <w:top w:w="60" w:type="dxa"/>
              <w:bottom w:w="60" w:type="dxa"/>
              <w:left w:w="80" w:type="dxa"/>
              <w:right w:w="80" w:type="dxa"/>
            </w:tcMar>
            <w:shd w:fill="F9FBFD"/>
          </w:tcPr>
          <w:p>
            <w:pPr>
              <w:spacing w:after="20" w:before="20" w:line="252" w:lineRule="auto"/>
            </w:pPr>
            <w:r>
              <w:rPr>
                <w:sz w:val="19"/>
              </w:rPr>
              <w:t xml:space="preserve">IELTS Listening </w:t>
            </w:r>
          </w:p>
        </w:tc>
        <w:tc>
          <w:tcPr>
            <w:tcW w:type="dxa" w:w="3202"/>
            <w:tcMar>
              <w:top w:w="60" w:type="dxa"/>
              <w:bottom w:w="60" w:type="dxa"/>
              <w:left w:w="80" w:type="dxa"/>
              <w:right w:w="80" w:type="dxa"/>
            </w:tcMar>
            <w:shd w:fill="F9FBFD"/>
          </w:tcPr>
          <w:p>
            <w:pPr>
              <w:spacing w:after="20" w:before="20" w:line="252" w:lineRule="auto"/>
            </w:pPr>
            <w:r>
              <w:rPr>
                <w:sz w:val="19"/>
              </w:rPr>
              <w:t>Khoảng 30 phút</w:t>
            </w:r>
          </w:p>
        </w:tc>
        <w:tc>
          <w:tcPr>
            <w:tcW w:type="dxa" w:w="3202"/>
            <w:tcMar>
              <w:top w:w="60" w:type="dxa"/>
              <w:bottom w:w="60" w:type="dxa"/>
              <w:left w:w="80" w:type="dxa"/>
              <w:right w:w="80" w:type="dxa"/>
            </w:tcMar>
            <w:shd w:fill="F9FBFD"/>
          </w:tcPr>
          <w:p>
            <w:pPr>
              <w:spacing w:after="20" w:before="20" w:line="252" w:lineRule="auto"/>
            </w:pPr>
            <w:r>
              <w:rPr>
                <w:sz w:val="19"/>
              </w:rPr>
              <w:t>Thí sinh nghe các đoạn hội thoại và độc thoại trong nhiều bối cảnh khác nhau, sau đó trả lời câu hỏi để thể hiện khả năng nghe hiểu, nhận diện thông tin chính và nắm bắt chi tiết.</w:t>
            </w:r>
          </w:p>
        </w:tc>
      </w:tr>
      <w:tr>
        <w:trPr>
          <w:cantSplit/>
        </w:trPr>
        <w:tc>
          <w:tcPr>
            <w:tcW w:type="dxa" w:w="3202"/>
            <w:tcMar>
              <w:top w:w="60" w:type="dxa"/>
              <w:bottom w:w="60" w:type="dxa"/>
              <w:left w:w="80" w:type="dxa"/>
              <w:right w:w="80" w:type="dxa"/>
            </w:tcMar>
          </w:tcPr>
          <w:p>
            <w:pPr>
              <w:spacing w:after="20" w:before="20" w:line="252" w:lineRule="auto"/>
            </w:pPr>
            <w:r>
              <w:rPr>
                <w:sz w:val="19"/>
              </w:rPr>
              <w:t xml:space="preserve">IELTS Reading </w:t>
            </w:r>
          </w:p>
        </w:tc>
        <w:tc>
          <w:tcPr>
            <w:tcW w:type="dxa" w:w="3202"/>
            <w:tcMar>
              <w:top w:w="60" w:type="dxa"/>
              <w:bottom w:w="60" w:type="dxa"/>
              <w:left w:w="80" w:type="dxa"/>
              <w:right w:w="80" w:type="dxa"/>
            </w:tcMar>
          </w:tcPr>
          <w:p>
            <w:pPr>
              <w:spacing w:after="20" w:before="20" w:line="252" w:lineRule="auto"/>
            </w:pPr>
            <w:r>
              <w:rPr>
                <w:sz w:val="19"/>
              </w:rPr>
              <w:t>60 phút</w:t>
            </w:r>
          </w:p>
        </w:tc>
        <w:tc>
          <w:tcPr>
            <w:tcW w:type="dxa" w:w="3202"/>
            <w:tcMar>
              <w:top w:w="60" w:type="dxa"/>
              <w:bottom w:w="60" w:type="dxa"/>
              <w:left w:w="80" w:type="dxa"/>
              <w:right w:w="80" w:type="dxa"/>
            </w:tcMar>
          </w:tcPr>
          <w:p>
            <w:pPr>
              <w:spacing w:after="20" w:before="20" w:line="252" w:lineRule="auto"/>
            </w:pPr>
            <w:r>
              <w:rPr>
                <w:sz w:val="19"/>
              </w:rPr>
              <w:t>Phần thi đánh giá khả năng đọc lướt lấy ý chính (skimming), đọc tìm thông tin chi tiết (scanning), phân tích thông tin và xử lý nhiều dạng câu hỏi dựa trên các văn bản học thuật hoặc xoay quanh đời sống.</w:t>
            </w:r>
          </w:p>
        </w:tc>
      </w:tr>
      <w:tr>
        <w:trPr>
          <w:cantSplit/>
        </w:trPr>
        <w:tc>
          <w:tcPr>
            <w:tcW w:type="dxa" w:w="3202"/>
            <w:tcMar>
              <w:top w:w="60" w:type="dxa"/>
              <w:bottom w:w="60" w:type="dxa"/>
              <w:left w:w="80" w:type="dxa"/>
              <w:right w:w="80" w:type="dxa"/>
            </w:tcMar>
            <w:shd w:fill="F9FBFD"/>
          </w:tcPr>
          <w:p>
            <w:pPr>
              <w:spacing w:after="20" w:before="20" w:line="252" w:lineRule="auto"/>
            </w:pPr>
            <w:r>
              <w:rPr>
                <w:sz w:val="19"/>
              </w:rPr>
              <w:t xml:space="preserve">IELTS Writing </w:t>
            </w:r>
          </w:p>
        </w:tc>
        <w:tc>
          <w:tcPr>
            <w:tcW w:type="dxa" w:w="3202"/>
            <w:tcMar>
              <w:top w:w="60" w:type="dxa"/>
              <w:bottom w:w="60" w:type="dxa"/>
              <w:left w:w="80" w:type="dxa"/>
              <w:right w:w="80" w:type="dxa"/>
            </w:tcMar>
            <w:shd w:fill="F9FBFD"/>
          </w:tcPr>
          <w:p>
            <w:pPr>
              <w:spacing w:after="20" w:before="20" w:line="252" w:lineRule="auto"/>
            </w:pPr>
            <w:r>
              <w:rPr>
                <w:sz w:val="19"/>
              </w:rPr>
              <w:t>60 phút</w:t>
            </w:r>
          </w:p>
        </w:tc>
        <w:tc>
          <w:tcPr>
            <w:tcW w:type="dxa" w:w="3202"/>
            <w:tcMar>
              <w:top w:w="60" w:type="dxa"/>
              <w:bottom w:w="60" w:type="dxa"/>
              <w:left w:w="80" w:type="dxa"/>
              <w:right w:w="80" w:type="dxa"/>
            </w:tcMar>
            <w:shd w:fill="F9FBFD"/>
          </w:tcPr>
          <w:p>
            <w:pPr>
              <w:spacing w:after="20" w:before="20" w:line="252" w:lineRule="auto"/>
            </w:pPr>
            <w:r>
              <w:rPr>
                <w:sz w:val="19"/>
              </w:rPr>
              <w:t>Thí sinh hoàn thành hai bài viết nhằm thể hiện khả năng trình bày và phát triển ý tưởng, xây dựng lập luận, sử dụng từ vựng và ngữ pháp chính xác, mạch lạc.</w:t>
            </w:r>
          </w:p>
        </w:tc>
      </w:tr>
      <w:tr>
        <w:trPr>
          <w:cantSplit/>
        </w:trPr>
        <w:tc>
          <w:tcPr>
            <w:tcW w:type="dxa" w:w="3202"/>
            <w:tcMar>
              <w:top w:w="60" w:type="dxa"/>
              <w:bottom w:w="60" w:type="dxa"/>
              <w:left w:w="80" w:type="dxa"/>
              <w:right w:w="80" w:type="dxa"/>
            </w:tcMar>
          </w:tcPr>
          <w:p>
            <w:pPr>
              <w:spacing w:after="20" w:before="20" w:line="252" w:lineRule="auto"/>
            </w:pPr>
            <w:r>
              <w:rPr>
                <w:sz w:val="19"/>
              </w:rPr>
              <w:t>IELTS Speaking</w:t>
            </w:r>
          </w:p>
        </w:tc>
        <w:tc>
          <w:tcPr>
            <w:tcW w:type="dxa" w:w="3202"/>
            <w:tcMar>
              <w:top w:w="60" w:type="dxa"/>
              <w:bottom w:w="60" w:type="dxa"/>
              <w:left w:w="80" w:type="dxa"/>
              <w:right w:w="80" w:type="dxa"/>
            </w:tcMar>
          </w:tcPr>
          <w:p>
            <w:pPr>
              <w:spacing w:after="20" w:before="20" w:line="252" w:lineRule="auto"/>
            </w:pPr>
            <w:r>
              <w:rPr>
                <w:sz w:val="19"/>
              </w:rPr>
              <w:t>11 - 14 phút</w:t>
            </w:r>
          </w:p>
        </w:tc>
        <w:tc>
          <w:tcPr>
            <w:tcW w:type="dxa" w:w="3202"/>
            <w:tcMar>
              <w:top w:w="60" w:type="dxa"/>
              <w:bottom w:w="60" w:type="dxa"/>
              <w:left w:w="80" w:type="dxa"/>
              <w:right w:w="80" w:type="dxa"/>
            </w:tcMar>
          </w:tcPr>
          <w:p>
            <w:pPr>
              <w:spacing w:after="20" w:before="20" w:line="252" w:lineRule="auto"/>
            </w:pPr>
            <w:r>
              <w:rPr>
                <w:sz w:val="19"/>
              </w:rPr>
              <w:t>Phần thi diễn ra dưới hình thức trao đổi trực tiếp với giám khảo, qua đó đánh giá khả năng giao tiếp phản xạ, độ lưu loát, vốn từ vựng, phát âm, khả năng sử dụng ngữ pháp và cách trình bày quan điểm bằng tiếng Anh.</w:t>
            </w:r>
          </w:p>
        </w:tc>
      </w:tr>
    </w:tbl>
    <w:p>
      <w:pPr>
        <w:spacing w:after="160"/>
      </w:pPr>
    </w:p>
    <w:p>
      <w:pPr>
        <w:spacing w:after="120" w:line="276" w:lineRule="auto"/>
      </w:pPr>
      <w:r>
        <w:t xml:space="preserve">Thời gian và địa điểm cụ thể sẽ được ghi rõ trong thư xác nhận </w:t>
      </w:r>
      <w:r>
        <w:rPr>
          <w:color w:val="0066CC"/>
          <w:u w:val="single"/>
        </w:rPr>
        <w:t>lịch thi IELTS</w:t>
      </w:r>
      <w:r>
        <w:t>, vì vậy bạn nên kiểm tra kỹ email, bao gồm cả hộp thư rác, để chủ động sắp xếp kế hoạch.</w:t>
      </w:r>
    </w:p>
    <w:p>
      <w:pPr>
        <w:keepNext/>
        <w:spacing w:before="320" w:after="120"/>
      </w:pPr>
      <w:r>
        <w:rPr>
          <w:b/>
          <w:color w:val="00529B"/>
          <w:sz w:val="30"/>
        </w:rPr>
        <w:t>2. Các hình thức thi IELTS</w:t>
      </w:r>
    </w:p>
    <w:p>
      <w:pPr>
        <w:spacing w:after="120" w:line="276" w:lineRule="auto"/>
      </w:pPr>
      <w:r>
        <w:t>Tùy theo mục đích sử dụng, bài thi IELTS được chia làm hai hình thức chính: IELTS Academic (Học thuật) và IELTS General Training (Tổng quát).</w:t>
      </w:r>
    </w:p>
    <w:p>
      <w:pPr>
        <w:keepNext/>
        <w:spacing w:before="240" w:after="80"/>
      </w:pPr>
      <w:r>
        <w:rPr>
          <w:b/>
          <w:color w:val="232D41"/>
          <w:sz w:val="26"/>
        </w:rPr>
        <w:t>2.1 IELTS Học Thuật (IELTS Academic)</w:t>
      </w:r>
    </w:p>
    <w:p>
      <w:pPr>
        <w:spacing w:after="120" w:line="276" w:lineRule="auto"/>
      </w:pPr>
      <w:r>
        <w:rPr>
          <w:color w:val="0066CC"/>
          <w:u w:val="single"/>
        </w:rPr>
        <w:t>IELTS Học Thuật</w:t>
      </w:r>
      <w:r>
        <w:t xml:space="preserve"> được công nhận rộng rãi như là yêu cầu ngôn ngữ đầu vào cho tất cả các khóa học Đại học và Sau Đại học và là tiêu chuẩn đánh giá liệu ứng viên đã sẵn sàng cho việc theo học các chương trình Đại học và Sau Đại học được giảng dạy bằng tiếng Anh.</w:t>
      </w:r>
    </w:p>
    <w:p>
      <w:pPr>
        <w:keepNext/>
        <w:spacing w:before="240" w:after="80"/>
      </w:pPr>
      <w:r>
        <w:rPr>
          <w:b/>
          <w:color w:val="232D41"/>
          <w:sz w:val="26"/>
        </w:rPr>
        <w:t>2.2 IELTS Tổng quát (IELTS General)</w:t>
      </w:r>
    </w:p>
    <w:p>
      <w:pPr>
        <w:spacing w:after="120" w:line="276" w:lineRule="auto"/>
      </w:pPr>
      <w:r>
        <w:rPr>
          <w:color w:val="0066CC"/>
          <w:u w:val="single"/>
        </w:rPr>
        <w:t>IELTS Tổng quát</w:t>
      </w:r>
      <w:r>
        <w:t xml:space="preserve"> thích hợp cho tất cả những ai chuẩn bị tới các nước nói tiếng Anh để hoàn tất chương trình trung học, các chương trình đào tạo hoặc với mục đích nhập cư.</w:t>
      </w:r>
    </w:p>
    <w:p>
      <w:pPr>
        <w:spacing w:after="120" w:line="276" w:lineRule="auto"/>
      </w:pPr>
      <w:r>
        <w:t xml:space="preserve">Cả hai đều đánh giá </w:t>
      </w:r>
      <w:r>
        <w:rPr>
          <w:b/>
        </w:rPr>
        <w:t>bốn kỹ năng theo thang điểm từ 1.0 đến 9.0</w:t>
      </w:r>
      <w:r>
        <w:t xml:space="preserve">. Trong đó, Listening và Speaking có cấu trúc giống nhau, còn Reading và Writing được thiết kế khác biệt để phù hợp với mục tiêu của từng loại bài thi. </w:t>
      </w:r>
    </w:p>
    <w:p>
      <w:pPr>
        <w:spacing w:after="120" w:line="276" w:lineRule="auto"/>
      </w:pPr>
      <w:r>
        <w:t xml:space="preserve">Tham khảo thêm bài viết </w:t>
      </w:r>
      <w:r>
        <w:rPr>
          <w:color w:val="0066CC"/>
          <w:u w:val="single"/>
        </w:rPr>
        <w:t>Sự khác biệt giữa IELTS Học thuật và IELTS Tổng quát</w:t>
      </w:r>
      <w:r>
        <w:t xml:space="preserve"> để lựa chọn hình thức thi phù hợp với mục đích sử dụng kết quả. </w:t>
      </w:r>
    </w:p>
    <w:tbl>
      <w:tblPr>
        <w:tblW w:type="auto" w:w="0"/>
        <w:jc w:val="center"/>
        <w:tblLook w:firstColumn="1" w:firstRow="1" w:lastColumn="0" w:lastRow="0" w:noHBand="0" w:noVBand="1" w:val="04A0"/>
        <w:tblBorders>
          <w:top w:val="single" w:sz="6" w:space="0" w:color="B8D8F8"/>
          <w:bottom w:val="single" w:sz="6" w:space="0" w:color="B8D8F8"/>
          <w:left w:val="single" w:sz="6" w:space="0" w:color="B8D8F8"/>
          <w:right w:val="single" w:sz="6" w:space="0" w:color="B8D8F8"/>
          <w:insideH w:val="single" w:sz="6" w:space="0" w:color="B8D8F8"/>
          <w:insideV w:val="single" w:sz="6" w:space="0" w:color="B8D8F8"/>
        </w:tblBorders>
      </w:tblPr>
      <w:tblGrid>
        <w:gridCol w:w="9605"/>
      </w:tblGrid>
      <w:tr>
        <w:tc>
          <w:tcPr>
            <w:tcW w:type="dxa" w:w="9605"/>
            <w:shd w:fill="F0F7FF"/>
            <w:tcMar>
              <w:top w:w="120" w:type="dxa"/>
              <w:bottom w:w="120" w:type="dxa"/>
              <w:left w:w="180" w:type="dxa"/>
              <w:right w:w="180" w:type="dxa"/>
            </w:tcMar>
          </w:tcPr>
          <w:p>
            <w:pPr>
              <w:spacing w:after="40"/>
            </w:pPr>
            <w:r>
              <w:rPr>
                <w:b/>
                <w:color w:val="00529B"/>
                <w:sz w:val="21"/>
              </w:rPr>
              <w:t>Thi IELTS cùng IDP - Thoải mái tự tin, đạt band như ý!</w:t>
            </w:r>
          </w:p>
          <w:p>
            <w:pPr>
              <w:jc w:val="center"/>
            </w:pPr>
            <w:r>
              <w:drawing>
                <wp:inline xmlns:a="http://schemas.openxmlformats.org/drawingml/2006/main" xmlns:pic="http://schemas.openxmlformats.org/drawingml/2006/picture">
                  <wp:extent cx="2286000" cy="1194435"/>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2286000" cy="1194435"/>
                          </a:xfrm>
                          <a:prstGeom prst="rect"/>
                        </pic:spPr>
                      </pic:pic>
                    </a:graphicData>
                  </a:graphic>
                </wp:inline>
              </w:drawing>
            </w:r>
          </w:p>
        </w:tc>
      </w:tr>
    </w:tbl>
    <w:p>
      <w:pPr>
        <w:spacing w:after="120"/>
      </w:pPr>
    </w:p>
    <w:p>
      <w:pPr>
        <w:keepNext/>
        <w:spacing w:before="320" w:after="120"/>
      </w:pPr>
      <w:r>
        <w:rPr>
          <w:b/>
          <w:color w:val="00529B"/>
          <w:sz w:val="30"/>
        </w:rPr>
        <w:t>3. Cấu trúc đề thi IELTS Listening (Bài thi Nghe)</w:t>
      </w:r>
    </w:p>
    <w:p>
      <w:pPr>
        <w:spacing w:after="120" w:line="276" w:lineRule="auto"/>
      </w:pPr>
      <w:r>
        <w:t>(Thời gian: khoảng 30 phút) Từ ngày 04/01/2020, cấu trúc bài thi IELTS Listening sẽ thay đổi một số đặc điểm sau:</w:t>
      </w:r>
    </w:p>
    <w:p>
      <w:pPr>
        <w:spacing w:after="120" w:line="276" w:lineRule="auto"/>
      </w:pPr>
      <w:r>
        <w:t>1/ Cụm từ “SECTIONS” của sẽ chuyển thành “PARTS”. Như vậy bài thi nghe sẽ bao gồm Part 1, 2,3,4.</w:t>
      </w:r>
    </w:p>
    <w:p>
      <w:pPr>
        <w:spacing w:after="120" w:line="276" w:lineRule="auto"/>
      </w:pPr>
      <w:r>
        <w:t>2/ Phần Example trong Part 1 sẽ bị xóa đi.</w:t>
      </w:r>
    </w:p>
    <w:p>
      <w:pPr>
        <w:spacing w:after="120" w:line="276" w:lineRule="auto"/>
      </w:pPr>
      <w:r>
        <w:t>3/ Số trang tham chiếu sẽ bị xóa đi. VD: Thí sinh sẽ chỉ được hướng dẫn: Nghe đoạn hội thoại sau để trả lời cho câu hỏi số 1 đến số 4. (Thay vì câu hỏi số 1 đến số 4 của trang số 3)</w:t>
      </w:r>
    </w:p>
    <w:p>
      <w:pPr>
        <w:spacing w:after="120" w:line="276" w:lineRule="auto"/>
      </w:pPr>
      <w:r>
        <w:t>4/ Hình thức thi IELTS trên máy tính sẽ thay thế hoàn toàn thi IELTS trên giấy từ ngày 29/03/2025.</w:t>
      </w:r>
    </w:p>
    <w:p>
      <w:pPr>
        <w:spacing w:after="120" w:line="276" w:lineRule="auto"/>
      </w:pPr>
      <w:r>
        <w:t>Bài thi nghe diễn ra trong khoảng 30 phút. Cấu trúc đề thi IELTS Listening bắt buộc bạn phải hoàn thành 40 câu hỏi, mỗi câu hỏi tương ứng với 1 điểm. Gồm 30 phút nghe và làm trực tiếp trên máy và bạn sẽ có thêm 2 phút ngắn để kiểm tra lại đáp án đã điền.</w:t>
      </w:r>
    </w:p>
    <w:p>
      <w:pPr>
        <w:spacing w:after="120" w:line="276" w:lineRule="auto"/>
      </w:pPr>
      <w:r>
        <w:t>Thí sinh sẽ nghe nhiều giọng tiếng Anh khác nhau, bao gồm giọng Anh, Úc, New Zealand và Bắc Mỹ. Câu hỏi được sắp xếp theo đúng thứ tự thông tin xuất hiện trong bản ghi âm. Mỗi đoạn ghi âm chỉ được phát một lần.</w:t>
      </w:r>
    </w:p>
    <w:p>
      <w:pPr>
        <w:spacing w:after="120" w:line="276" w:lineRule="auto"/>
      </w:pPr>
      <w:r>
        <w:rPr>
          <w:b/>
        </w:rPr>
        <w:t>Cấu trúc bài thi Nghe giống nhau cho cả hai hình thức Học thuật và Tổng quát.</w:t>
      </w:r>
    </w:p>
    <w:p>
      <w:pPr>
        <w:spacing w:after="120" w:line="276" w:lineRule="auto"/>
      </w:pPr>
      <w:r>
        <w:t>Bài thi gồm 4 bản ghi âm, mỗi bản ghi tương ứng với 10 câu hỏi, độ khó tăng dần từ Part 1 đến Part 4:</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3202"/>
        <w:gridCol w:w="3202"/>
        <w:gridCol w:w="3202"/>
      </w:tblGrid>
      <w:tr>
        <w:trPr>
          <w:cantSplit/>
          <w:tblHeader/>
        </w:trPr>
        <w:tc>
          <w:tcPr>
            <w:tcW w:type="dxa" w:w="3202"/>
            <w:tcMar>
              <w:top w:w="60" w:type="dxa"/>
              <w:bottom w:w="60" w:type="dxa"/>
              <w:left w:w="80" w:type="dxa"/>
              <w:right w:w="80" w:type="dxa"/>
            </w:tcMar>
            <w:shd w:fill="EBF3FA"/>
          </w:tcPr>
          <w:p>
            <w:pPr>
              <w:spacing w:after="20" w:before="20" w:line="252" w:lineRule="auto"/>
            </w:pPr>
            <w:r>
              <w:rPr>
                <w:b/>
                <w:color w:val="003366"/>
                <w:sz w:val="19"/>
              </w:rPr>
              <w:t>Part 1</w:t>
            </w:r>
          </w:p>
        </w:tc>
        <w:tc>
          <w:tcPr>
            <w:tcW w:type="dxa" w:w="3202"/>
            <w:tcMar>
              <w:top w:w="60" w:type="dxa"/>
              <w:bottom w:w="60" w:type="dxa"/>
              <w:left w:w="80" w:type="dxa"/>
              <w:right w:w="80" w:type="dxa"/>
            </w:tcMar>
            <w:shd w:fill="EBF3FA"/>
          </w:tcPr>
          <w:p>
            <w:pPr>
              <w:spacing w:after="20" w:before="20" w:line="252" w:lineRule="auto"/>
            </w:pPr>
            <w:r>
              <w:rPr>
                <w:b/>
                <w:color w:val="003366"/>
                <w:sz w:val="19"/>
              </w:rPr>
              <w:t>Tình huống xã hội, đời sống hằng ngày</w:t>
            </w:r>
          </w:p>
        </w:tc>
        <w:tc>
          <w:tcPr>
            <w:tcW w:type="dxa" w:w="3202"/>
            <w:tcMar>
              <w:top w:w="60" w:type="dxa"/>
              <w:bottom w:w="60" w:type="dxa"/>
              <w:left w:w="80" w:type="dxa"/>
              <w:right w:w="80" w:type="dxa"/>
            </w:tcMar>
            <w:shd w:fill="EBF3FA"/>
          </w:tcPr>
          <w:p>
            <w:pPr>
              <w:spacing w:after="20" w:before="20" w:line="252" w:lineRule="auto"/>
            </w:pPr>
            <w:r>
              <w:rPr>
                <w:b/>
                <w:color w:val="003366"/>
                <w:sz w:val="19"/>
              </w:rPr>
              <w:t>Hội thoại giữa 2 người về tình huống đời sống hằng ngày (ví dụ: đặt phòng, mua sắm, đăng ký dịch vụ)</w:t>
            </w:r>
          </w:p>
        </w:tc>
      </w:tr>
      <w:tr>
        <w:trPr>
          <w:cantSplit/>
        </w:trPr>
        <w:tc>
          <w:tcPr>
            <w:tcW w:type="dxa" w:w="3202"/>
            <w:tcMar>
              <w:top w:w="60" w:type="dxa"/>
              <w:bottom w:w="60" w:type="dxa"/>
              <w:left w:w="80" w:type="dxa"/>
              <w:right w:w="80" w:type="dxa"/>
            </w:tcMar>
            <w:shd w:fill="F9FBFD"/>
          </w:tcPr>
          <w:p>
            <w:pPr>
              <w:spacing w:after="20" w:before="20" w:line="252" w:lineRule="auto"/>
            </w:pPr>
            <w:r>
              <w:rPr>
                <w:b/>
                <w:sz w:val="19"/>
              </w:rPr>
              <w:t>Part 2</w:t>
            </w:r>
          </w:p>
        </w:tc>
        <w:tc>
          <w:tcPr>
            <w:tcW w:type="dxa" w:w="3202"/>
            <w:tcMar>
              <w:top w:w="60" w:type="dxa"/>
              <w:bottom w:w="60" w:type="dxa"/>
              <w:left w:w="80" w:type="dxa"/>
              <w:right w:w="80" w:type="dxa"/>
            </w:tcMar>
            <w:shd w:fill="F9FBFD"/>
          </w:tcPr>
          <w:p>
            <w:pPr>
              <w:spacing w:after="20" w:before="20" w:line="252" w:lineRule="auto"/>
            </w:pPr>
            <w:r>
              <w:rPr>
                <w:sz w:val="19"/>
              </w:rPr>
              <w:t>Tình huống xã hội, đời sống hằng ngày</w:t>
            </w:r>
          </w:p>
        </w:tc>
        <w:tc>
          <w:tcPr>
            <w:tcW w:type="dxa" w:w="3202"/>
            <w:tcMar>
              <w:top w:w="60" w:type="dxa"/>
              <w:bottom w:w="60" w:type="dxa"/>
              <w:left w:w="80" w:type="dxa"/>
              <w:right w:w="80" w:type="dxa"/>
            </w:tcMar>
            <w:shd w:fill="F9FBFD"/>
          </w:tcPr>
          <w:p>
            <w:pPr>
              <w:spacing w:after="20" w:before="20" w:line="252" w:lineRule="auto"/>
            </w:pPr>
            <w:r>
              <w:rPr>
                <w:sz w:val="19"/>
              </w:rPr>
              <w:t>Bài độc thoại về chủ đề xã hội quen thuộc (ví dụ: giới thiệu địa điểm, sự kiện cộng đồng)</w:t>
            </w:r>
          </w:p>
        </w:tc>
      </w:tr>
      <w:tr>
        <w:trPr>
          <w:cantSplit/>
        </w:trPr>
        <w:tc>
          <w:tcPr>
            <w:tcW w:type="dxa" w:w="3202"/>
            <w:tcMar>
              <w:top w:w="60" w:type="dxa"/>
              <w:bottom w:w="60" w:type="dxa"/>
              <w:left w:w="80" w:type="dxa"/>
              <w:right w:w="80" w:type="dxa"/>
            </w:tcMar>
          </w:tcPr>
          <w:p>
            <w:pPr>
              <w:spacing w:after="20" w:before="20" w:line="252" w:lineRule="auto"/>
            </w:pPr>
            <w:r>
              <w:rPr>
                <w:b/>
                <w:sz w:val="19"/>
              </w:rPr>
              <w:t>Part 3</w:t>
            </w:r>
          </w:p>
        </w:tc>
        <w:tc>
          <w:tcPr>
            <w:tcW w:type="dxa" w:w="3202"/>
            <w:tcMar>
              <w:top w:w="60" w:type="dxa"/>
              <w:bottom w:w="60" w:type="dxa"/>
              <w:left w:w="80" w:type="dxa"/>
              <w:right w:w="80" w:type="dxa"/>
            </w:tcMar>
          </w:tcPr>
          <w:p>
            <w:pPr>
              <w:spacing w:after="20" w:before="20" w:line="252" w:lineRule="auto"/>
            </w:pPr>
            <w:r>
              <w:rPr>
                <w:sz w:val="19"/>
              </w:rPr>
              <w:t>Bối cảnh giáo dục hoặc đào tạo</w:t>
            </w:r>
          </w:p>
        </w:tc>
        <w:tc>
          <w:tcPr>
            <w:tcW w:type="dxa" w:w="3202"/>
            <w:tcMar>
              <w:top w:w="60" w:type="dxa"/>
              <w:bottom w:w="60" w:type="dxa"/>
              <w:left w:w="80" w:type="dxa"/>
              <w:right w:w="80" w:type="dxa"/>
            </w:tcMar>
          </w:tcPr>
          <w:p>
            <w:pPr>
              <w:spacing w:after="20" w:before="20" w:line="252" w:lineRule="auto"/>
            </w:pPr>
            <w:r>
              <w:rPr>
                <w:sz w:val="19"/>
              </w:rPr>
              <w:t>Cuộc thảo luận giữa hai người trở lên trong bối cảnh giáo dục, học thuật</w:t>
            </w:r>
          </w:p>
        </w:tc>
      </w:tr>
      <w:tr>
        <w:trPr>
          <w:cantSplit/>
        </w:trPr>
        <w:tc>
          <w:tcPr>
            <w:tcW w:type="dxa" w:w="3202"/>
            <w:tcMar>
              <w:top w:w="60" w:type="dxa"/>
              <w:bottom w:w="60" w:type="dxa"/>
              <w:left w:w="80" w:type="dxa"/>
              <w:right w:w="80" w:type="dxa"/>
            </w:tcMar>
            <w:shd w:fill="F9FBFD"/>
          </w:tcPr>
          <w:p>
            <w:pPr>
              <w:spacing w:after="20" w:before="20" w:line="252" w:lineRule="auto"/>
            </w:pPr>
            <w:r>
              <w:rPr>
                <w:b/>
                <w:sz w:val="19"/>
              </w:rPr>
              <w:t>Part 4</w:t>
            </w:r>
          </w:p>
        </w:tc>
        <w:tc>
          <w:tcPr>
            <w:tcW w:type="dxa" w:w="3202"/>
            <w:tcMar>
              <w:top w:w="60" w:type="dxa"/>
              <w:bottom w:w="60" w:type="dxa"/>
              <w:left w:w="80" w:type="dxa"/>
              <w:right w:w="80" w:type="dxa"/>
            </w:tcMar>
            <w:shd w:fill="F9FBFD"/>
          </w:tcPr>
          <w:p>
            <w:pPr>
              <w:spacing w:after="20" w:before="20" w:line="252" w:lineRule="auto"/>
            </w:pPr>
            <w:r>
              <w:rPr>
                <w:sz w:val="19"/>
              </w:rPr>
              <w:t>Chủ đề học thuật</w:t>
            </w:r>
          </w:p>
        </w:tc>
        <w:tc>
          <w:tcPr>
            <w:tcW w:type="dxa" w:w="3202"/>
            <w:tcMar>
              <w:top w:w="60" w:type="dxa"/>
              <w:bottom w:w="60" w:type="dxa"/>
              <w:left w:w="80" w:type="dxa"/>
              <w:right w:w="80" w:type="dxa"/>
            </w:tcMar>
            <w:shd w:fill="F9FBFD"/>
          </w:tcPr>
          <w:p>
            <w:pPr>
              <w:spacing w:after="20" w:before="20" w:line="252" w:lineRule="auto"/>
            </w:pPr>
            <w:r>
              <w:rPr>
                <w:sz w:val="19"/>
              </w:rPr>
              <w:t>Bài giảng hoặc thuyết trình học thuật - phần được đánh giá là khó nhất</w:t>
            </w:r>
          </w:p>
        </w:tc>
      </w:tr>
    </w:tbl>
    <w:p>
      <w:pPr>
        <w:spacing w:after="160"/>
      </w:pPr>
    </w:p>
    <w:p>
      <w:pPr>
        <w:keepNext/>
        <w:spacing w:before="240" w:after="80"/>
      </w:pPr>
      <w:r>
        <w:rPr>
          <w:b/>
          <w:color w:val="232D41"/>
          <w:sz w:val="26"/>
        </w:rPr>
        <w:t>Các dạng câu hỏi IELTS Listening thường gặp</w:t>
      </w:r>
    </w:p>
    <w:p>
      <w:pPr>
        <w:pStyle w:val="ListBullet"/>
        <w:spacing w:after="60" w:line="276" w:lineRule="auto"/>
      </w:pPr>
      <w:r>
        <w:t>Dạng điền từ (Completion: Form, Note, Table, Flow-chart, Summary)</w:t>
      </w:r>
    </w:p>
    <w:p>
      <w:pPr>
        <w:pStyle w:val="ListBullet"/>
        <w:spacing w:after="60" w:line="276" w:lineRule="auto"/>
      </w:pPr>
      <w:r>
        <w:t>Dạng hoàn thành câu (Sentence Completion)</w:t>
      </w:r>
    </w:p>
    <w:p>
      <w:pPr>
        <w:pStyle w:val="ListBullet"/>
        <w:spacing w:after="60" w:line="276" w:lineRule="auto"/>
      </w:pPr>
      <w:r>
        <w:t>Dạng trắc nghiệm (Multiple Choice)</w:t>
      </w:r>
    </w:p>
    <w:p>
      <w:pPr>
        <w:pStyle w:val="ListBullet"/>
        <w:spacing w:after="60" w:line="276" w:lineRule="auto"/>
      </w:pPr>
      <w:r>
        <w:t>Dạng nối thông tin (Matching)</w:t>
      </w:r>
    </w:p>
    <w:p>
      <w:pPr>
        <w:pStyle w:val="ListBullet"/>
        <w:spacing w:after="60" w:line="276" w:lineRule="auto"/>
      </w:pPr>
      <w:r>
        <w:t>Dạng dán nhãn bản đồ, sơ đồ (Plan, Map, Diagram Labelling)</w:t>
      </w:r>
    </w:p>
    <w:p>
      <w:pPr>
        <w:pStyle w:val="ListBullet"/>
        <w:spacing w:after="60" w:line="276" w:lineRule="auto"/>
      </w:pPr>
      <w:r>
        <w:t>Dạng trả lời ngắn (Short-answer Questions)</w:t>
      </w:r>
    </w:p>
    <w:p>
      <w:pPr>
        <w:spacing w:after="120" w:line="276" w:lineRule="auto"/>
      </w:pPr>
      <w:r>
        <w:t xml:space="preserve">Đối với dạng điền từ, bạn phải tuân thủ chính xác quy tắc về giới hạn từ như: </w:t>
      </w:r>
      <w:r>
        <w:rPr>
          <w:b/>
        </w:rPr>
        <w:t xml:space="preserve">NO MORE THAN TWO WORDS AND/OR A NUMBER. </w:t>
      </w:r>
      <w:r>
        <w:t xml:space="preserve">Viết quá số từ cho phép sẽ khiến đáp án không được tính điểm, ngay cả khi phần thông tin chính xác. Từ có dấu gạch nối như </w:t>
      </w:r>
      <w:r>
        <w:rPr>
          <w:i/>
        </w:rPr>
        <w:t>check-in</w:t>
      </w:r>
      <w:r>
        <w:t xml:space="preserve"> được tính là một từ.</w:t>
      </w:r>
    </w:p>
    <w:p>
      <w:pPr>
        <w:keepNext/>
        <w:spacing w:before="240" w:after="80"/>
      </w:pPr>
      <w:r>
        <w:rPr>
          <w:b/>
          <w:color w:val="232D41"/>
          <w:sz w:val="26"/>
        </w:rPr>
        <w:t>Thang điểm bài thi IELTS Listening</w:t>
      </w:r>
    </w:p>
    <w:p>
      <w:pPr>
        <w:spacing w:after="120" w:line="276" w:lineRule="auto"/>
      </w:pPr>
      <w:r>
        <w:t xml:space="preserve">Cấu trúc đề thi IELTS Listening gồm 40 câu hỏi, bạn sẽ nhận được 1 điểm cho mỗi câu trả lời đúng. Trả lời sai sẽ không được tính điểm. Số điểm cho phần Listening sẽ được quy đổi theo </w:t>
      </w:r>
      <w:r>
        <w:rPr>
          <w:color w:val="0066CC"/>
          <w:u w:val="single"/>
        </w:rPr>
        <w:t>thang điểm IELTS Listening</w:t>
      </w:r>
      <w:r>
        <w:t xml:space="preserve"> từ 1 - 9.</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4802"/>
        <w:gridCol w:w="4802"/>
      </w:tblGrid>
      <w:tr>
        <w:trPr>
          <w:cantSplit/>
          <w:tblHeader/>
        </w:trPr>
        <w:tc>
          <w:tcPr>
            <w:tcW w:type="dxa" w:w="4802"/>
            <w:tcMar>
              <w:top w:w="60" w:type="dxa"/>
              <w:bottom w:w="60" w:type="dxa"/>
              <w:left w:w="80" w:type="dxa"/>
              <w:right w:w="80" w:type="dxa"/>
            </w:tcMar>
            <w:shd w:fill="EBF3FA"/>
          </w:tcPr>
          <w:p>
            <w:pPr>
              <w:spacing w:after="20" w:before="20" w:line="252" w:lineRule="auto"/>
            </w:pPr>
            <w:r>
              <w:rPr>
                <w:b/>
                <w:color w:val="003366"/>
                <w:sz w:val="19"/>
              </w:rPr>
              <w:t>Số câu đúng tham khảo</w:t>
            </w:r>
          </w:p>
        </w:tc>
        <w:tc>
          <w:tcPr>
            <w:tcW w:type="dxa" w:w="4802"/>
            <w:tcMar>
              <w:top w:w="60" w:type="dxa"/>
              <w:bottom w:w="60" w:type="dxa"/>
              <w:left w:w="80" w:type="dxa"/>
              <w:right w:w="80" w:type="dxa"/>
            </w:tcMar>
            <w:shd w:fill="EBF3FA"/>
          </w:tcPr>
          <w:p>
            <w:pPr>
              <w:spacing w:after="20" w:before="20" w:line="252" w:lineRule="auto"/>
            </w:pPr>
            <w:r>
              <w:rPr>
                <w:b/>
                <w:color w:val="003366"/>
                <w:sz w:val="19"/>
              </w:rPr>
              <w:t>Band score</w:t>
            </w:r>
          </w:p>
        </w:tc>
      </w:tr>
      <w:tr>
        <w:trPr>
          <w:cantSplit/>
        </w:trPr>
        <w:tc>
          <w:tcPr>
            <w:tcW w:type="dxa" w:w="4802"/>
            <w:tcMar>
              <w:top w:w="60" w:type="dxa"/>
              <w:bottom w:w="60" w:type="dxa"/>
              <w:left w:w="80" w:type="dxa"/>
              <w:right w:w="80" w:type="dxa"/>
            </w:tcMar>
            <w:shd w:fill="F9FBFD"/>
          </w:tcPr>
          <w:p>
            <w:pPr>
              <w:spacing w:after="20" w:before="20" w:line="252" w:lineRule="auto"/>
            </w:pPr>
            <w:r>
              <w:rPr>
                <w:sz w:val="19"/>
              </w:rPr>
              <w:t>39 đến 40</w:t>
            </w:r>
          </w:p>
        </w:tc>
        <w:tc>
          <w:tcPr>
            <w:tcW w:type="dxa" w:w="4802"/>
            <w:tcMar>
              <w:top w:w="60" w:type="dxa"/>
              <w:bottom w:w="60" w:type="dxa"/>
              <w:left w:w="80" w:type="dxa"/>
              <w:right w:w="80" w:type="dxa"/>
            </w:tcMar>
            <w:shd w:fill="F9FBFD"/>
          </w:tcPr>
          <w:p>
            <w:pPr>
              <w:spacing w:after="20" w:before="20" w:line="252" w:lineRule="auto"/>
            </w:pPr>
            <w:r>
              <w:rPr>
                <w:sz w:val="19"/>
              </w:rPr>
              <w:t>9.0</w:t>
            </w:r>
          </w:p>
        </w:tc>
      </w:tr>
      <w:tr>
        <w:trPr>
          <w:cantSplit/>
        </w:trPr>
        <w:tc>
          <w:tcPr>
            <w:tcW w:type="dxa" w:w="4802"/>
            <w:tcMar>
              <w:top w:w="60" w:type="dxa"/>
              <w:bottom w:w="60" w:type="dxa"/>
              <w:left w:w="80" w:type="dxa"/>
              <w:right w:w="80" w:type="dxa"/>
            </w:tcMar>
          </w:tcPr>
          <w:p>
            <w:pPr>
              <w:spacing w:after="20" w:before="20" w:line="252" w:lineRule="auto"/>
            </w:pPr>
            <w:r>
              <w:rPr>
                <w:sz w:val="19"/>
              </w:rPr>
              <w:t>37 đến 38</w:t>
            </w:r>
          </w:p>
        </w:tc>
        <w:tc>
          <w:tcPr>
            <w:tcW w:type="dxa" w:w="4802"/>
            <w:tcMar>
              <w:top w:w="60" w:type="dxa"/>
              <w:bottom w:w="60" w:type="dxa"/>
              <w:left w:w="80" w:type="dxa"/>
              <w:right w:w="80" w:type="dxa"/>
            </w:tcMar>
          </w:tcPr>
          <w:p>
            <w:pPr>
              <w:spacing w:after="20" w:before="20" w:line="252" w:lineRule="auto"/>
            </w:pPr>
            <w:r>
              <w:rPr>
                <w:sz w:val="19"/>
              </w:rPr>
              <w:t>8.5</w:t>
            </w:r>
          </w:p>
        </w:tc>
      </w:tr>
      <w:tr>
        <w:trPr>
          <w:cantSplit/>
        </w:trPr>
        <w:tc>
          <w:tcPr>
            <w:tcW w:type="dxa" w:w="4802"/>
            <w:tcMar>
              <w:top w:w="60" w:type="dxa"/>
              <w:bottom w:w="60" w:type="dxa"/>
              <w:left w:w="80" w:type="dxa"/>
              <w:right w:w="80" w:type="dxa"/>
            </w:tcMar>
            <w:shd w:fill="F9FBFD"/>
          </w:tcPr>
          <w:p>
            <w:pPr>
              <w:spacing w:after="20" w:before="20" w:line="252" w:lineRule="auto"/>
            </w:pPr>
            <w:r>
              <w:rPr>
                <w:sz w:val="19"/>
              </w:rPr>
              <w:t>35 đến 36</w:t>
            </w:r>
          </w:p>
        </w:tc>
        <w:tc>
          <w:tcPr>
            <w:tcW w:type="dxa" w:w="4802"/>
            <w:tcMar>
              <w:top w:w="60" w:type="dxa"/>
              <w:bottom w:w="60" w:type="dxa"/>
              <w:left w:w="80" w:type="dxa"/>
              <w:right w:w="80" w:type="dxa"/>
            </w:tcMar>
            <w:shd w:fill="F9FBFD"/>
          </w:tcPr>
          <w:p>
            <w:pPr>
              <w:spacing w:after="20" w:before="20" w:line="252" w:lineRule="auto"/>
            </w:pPr>
            <w:r>
              <w:rPr>
                <w:sz w:val="19"/>
              </w:rPr>
              <w:t>8.0</w:t>
            </w:r>
          </w:p>
        </w:tc>
      </w:tr>
      <w:tr>
        <w:trPr>
          <w:cantSplit/>
        </w:trPr>
        <w:tc>
          <w:tcPr>
            <w:tcW w:type="dxa" w:w="4802"/>
            <w:tcMar>
              <w:top w:w="60" w:type="dxa"/>
              <w:bottom w:w="60" w:type="dxa"/>
              <w:left w:w="80" w:type="dxa"/>
              <w:right w:w="80" w:type="dxa"/>
            </w:tcMar>
          </w:tcPr>
          <w:p>
            <w:pPr>
              <w:spacing w:after="20" w:before="20" w:line="252" w:lineRule="auto"/>
            </w:pPr>
            <w:r>
              <w:rPr>
                <w:sz w:val="19"/>
              </w:rPr>
              <w:t>32 đến 34</w:t>
            </w:r>
          </w:p>
        </w:tc>
        <w:tc>
          <w:tcPr>
            <w:tcW w:type="dxa" w:w="4802"/>
            <w:tcMar>
              <w:top w:w="60" w:type="dxa"/>
              <w:bottom w:w="60" w:type="dxa"/>
              <w:left w:w="80" w:type="dxa"/>
              <w:right w:w="80" w:type="dxa"/>
            </w:tcMar>
          </w:tcPr>
          <w:p>
            <w:pPr>
              <w:spacing w:after="20" w:before="20" w:line="252" w:lineRule="auto"/>
            </w:pPr>
            <w:r>
              <w:rPr>
                <w:sz w:val="19"/>
              </w:rPr>
              <w:t>7.5</w:t>
            </w:r>
          </w:p>
        </w:tc>
      </w:tr>
      <w:tr>
        <w:trPr>
          <w:cantSplit/>
        </w:trPr>
        <w:tc>
          <w:tcPr>
            <w:tcW w:type="dxa" w:w="4802"/>
            <w:tcMar>
              <w:top w:w="60" w:type="dxa"/>
              <w:bottom w:w="60" w:type="dxa"/>
              <w:left w:w="80" w:type="dxa"/>
              <w:right w:w="80" w:type="dxa"/>
            </w:tcMar>
            <w:shd w:fill="F9FBFD"/>
          </w:tcPr>
          <w:p>
            <w:pPr>
              <w:spacing w:after="20" w:before="20" w:line="252" w:lineRule="auto"/>
            </w:pPr>
            <w:r>
              <w:rPr>
                <w:sz w:val="19"/>
              </w:rPr>
              <w:t>30 đến 31</w:t>
            </w:r>
          </w:p>
        </w:tc>
        <w:tc>
          <w:tcPr>
            <w:tcW w:type="dxa" w:w="4802"/>
            <w:tcMar>
              <w:top w:w="60" w:type="dxa"/>
              <w:bottom w:w="60" w:type="dxa"/>
              <w:left w:w="80" w:type="dxa"/>
              <w:right w:w="80" w:type="dxa"/>
            </w:tcMar>
            <w:shd w:fill="F9FBFD"/>
          </w:tcPr>
          <w:p>
            <w:pPr>
              <w:spacing w:after="20" w:before="20" w:line="252" w:lineRule="auto"/>
            </w:pPr>
            <w:r>
              <w:rPr>
                <w:sz w:val="19"/>
              </w:rPr>
              <w:t>7.0</w:t>
            </w:r>
          </w:p>
        </w:tc>
      </w:tr>
      <w:tr>
        <w:trPr>
          <w:cantSplit/>
        </w:trPr>
        <w:tc>
          <w:tcPr>
            <w:tcW w:type="dxa" w:w="4802"/>
            <w:tcMar>
              <w:top w:w="60" w:type="dxa"/>
              <w:bottom w:w="60" w:type="dxa"/>
              <w:left w:w="80" w:type="dxa"/>
              <w:right w:w="80" w:type="dxa"/>
            </w:tcMar>
          </w:tcPr>
          <w:p>
            <w:pPr>
              <w:spacing w:after="20" w:before="20" w:line="252" w:lineRule="auto"/>
            </w:pPr>
            <w:r>
              <w:rPr>
                <w:sz w:val="19"/>
              </w:rPr>
              <w:t>26 đến 29</w:t>
            </w:r>
          </w:p>
        </w:tc>
        <w:tc>
          <w:tcPr>
            <w:tcW w:type="dxa" w:w="4802"/>
            <w:tcMar>
              <w:top w:w="60" w:type="dxa"/>
              <w:bottom w:w="60" w:type="dxa"/>
              <w:left w:w="80" w:type="dxa"/>
              <w:right w:w="80" w:type="dxa"/>
            </w:tcMar>
          </w:tcPr>
          <w:p>
            <w:pPr>
              <w:spacing w:after="20" w:before="20" w:line="252" w:lineRule="auto"/>
            </w:pPr>
            <w:r>
              <w:rPr>
                <w:sz w:val="19"/>
              </w:rPr>
              <w:t>6.5</w:t>
            </w:r>
          </w:p>
        </w:tc>
      </w:tr>
      <w:tr>
        <w:trPr>
          <w:cantSplit/>
        </w:trPr>
        <w:tc>
          <w:tcPr>
            <w:tcW w:type="dxa" w:w="4802"/>
            <w:tcMar>
              <w:top w:w="60" w:type="dxa"/>
              <w:bottom w:w="60" w:type="dxa"/>
              <w:left w:w="80" w:type="dxa"/>
              <w:right w:w="80" w:type="dxa"/>
            </w:tcMar>
            <w:shd w:fill="F9FBFD"/>
          </w:tcPr>
          <w:p>
            <w:pPr>
              <w:spacing w:after="20" w:before="20" w:line="252" w:lineRule="auto"/>
            </w:pPr>
            <w:r>
              <w:rPr>
                <w:sz w:val="19"/>
              </w:rPr>
              <w:t>23 đến 25</w:t>
            </w:r>
          </w:p>
        </w:tc>
        <w:tc>
          <w:tcPr>
            <w:tcW w:type="dxa" w:w="4802"/>
            <w:tcMar>
              <w:top w:w="60" w:type="dxa"/>
              <w:bottom w:w="60" w:type="dxa"/>
              <w:left w:w="80" w:type="dxa"/>
              <w:right w:w="80" w:type="dxa"/>
            </w:tcMar>
            <w:shd w:fill="F9FBFD"/>
          </w:tcPr>
          <w:p>
            <w:pPr>
              <w:spacing w:after="20" w:before="20" w:line="252" w:lineRule="auto"/>
            </w:pPr>
            <w:r>
              <w:rPr>
                <w:sz w:val="19"/>
              </w:rPr>
              <w:t>6.0</w:t>
            </w:r>
          </w:p>
        </w:tc>
      </w:tr>
      <w:tr>
        <w:trPr>
          <w:cantSplit/>
        </w:trPr>
        <w:tc>
          <w:tcPr>
            <w:tcW w:type="dxa" w:w="4802"/>
            <w:tcMar>
              <w:top w:w="60" w:type="dxa"/>
              <w:bottom w:w="60" w:type="dxa"/>
              <w:left w:w="80" w:type="dxa"/>
              <w:right w:w="80" w:type="dxa"/>
            </w:tcMar>
          </w:tcPr>
          <w:p>
            <w:pPr>
              <w:spacing w:after="20" w:before="20" w:line="252" w:lineRule="auto"/>
            </w:pPr>
            <w:r>
              <w:rPr>
                <w:sz w:val="19"/>
              </w:rPr>
              <w:t>18 đến 22</w:t>
            </w:r>
          </w:p>
        </w:tc>
        <w:tc>
          <w:tcPr>
            <w:tcW w:type="dxa" w:w="4802"/>
            <w:tcMar>
              <w:top w:w="60" w:type="dxa"/>
              <w:bottom w:w="60" w:type="dxa"/>
              <w:left w:w="80" w:type="dxa"/>
              <w:right w:w="80" w:type="dxa"/>
            </w:tcMar>
          </w:tcPr>
          <w:p>
            <w:pPr>
              <w:spacing w:after="20" w:before="20" w:line="252" w:lineRule="auto"/>
            </w:pPr>
            <w:r>
              <w:rPr>
                <w:sz w:val="19"/>
              </w:rPr>
              <w:t>5.5</w:t>
            </w:r>
          </w:p>
        </w:tc>
      </w:tr>
      <w:tr>
        <w:trPr>
          <w:cantSplit/>
        </w:trPr>
        <w:tc>
          <w:tcPr>
            <w:tcW w:type="dxa" w:w="4802"/>
            <w:tcMar>
              <w:top w:w="60" w:type="dxa"/>
              <w:bottom w:w="60" w:type="dxa"/>
              <w:left w:w="80" w:type="dxa"/>
              <w:right w:w="80" w:type="dxa"/>
            </w:tcMar>
            <w:shd w:fill="F9FBFD"/>
          </w:tcPr>
          <w:p>
            <w:pPr>
              <w:spacing w:after="20" w:before="20" w:line="252" w:lineRule="auto"/>
            </w:pPr>
            <w:r>
              <w:rPr>
                <w:sz w:val="19"/>
              </w:rPr>
              <w:t>16 đến 17</w:t>
            </w:r>
          </w:p>
        </w:tc>
        <w:tc>
          <w:tcPr>
            <w:tcW w:type="dxa" w:w="4802"/>
            <w:tcMar>
              <w:top w:w="60" w:type="dxa"/>
              <w:bottom w:w="60" w:type="dxa"/>
              <w:left w:w="80" w:type="dxa"/>
              <w:right w:w="80" w:type="dxa"/>
            </w:tcMar>
            <w:shd w:fill="F9FBFD"/>
          </w:tcPr>
          <w:p>
            <w:pPr>
              <w:spacing w:after="20" w:before="20" w:line="252" w:lineRule="auto"/>
            </w:pPr>
            <w:r>
              <w:rPr>
                <w:sz w:val="19"/>
              </w:rPr>
              <w:t>5.0</w:t>
            </w:r>
          </w:p>
        </w:tc>
      </w:tr>
      <w:tr>
        <w:trPr>
          <w:cantSplit/>
        </w:trPr>
        <w:tc>
          <w:tcPr>
            <w:tcW w:type="dxa" w:w="4802"/>
            <w:tcMar>
              <w:top w:w="60" w:type="dxa"/>
              <w:bottom w:w="60" w:type="dxa"/>
              <w:left w:w="80" w:type="dxa"/>
              <w:right w:w="80" w:type="dxa"/>
            </w:tcMar>
          </w:tcPr>
          <w:p>
            <w:pPr>
              <w:spacing w:after="20" w:before="20" w:line="252" w:lineRule="auto"/>
            </w:pPr>
            <w:r>
              <w:rPr>
                <w:sz w:val="19"/>
              </w:rPr>
              <w:t>13 đến 15</w:t>
            </w:r>
          </w:p>
        </w:tc>
        <w:tc>
          <w:tcPr>
            <w:tcW w:type="dxa" w:w="4802"/>
            <w:tcMar>
              <w:top w:w="60" w:type="dxa"/>
              <w:bottom w:w="60" w:type="dxa"/>
              <w:left w:w="80" w:type="dxa"/>
              <w:right w:w="80" w:type="dxa"/>
            </w:tcMar>
          </w:tcPr>
          <w:p>
            <w:pPr>
              <w:spacing w:after="20" w:before="20" w:line="252" w:lineRule="auto"/>
            </w:pPr>
            <w:r>
              <w:rPr>
                <w:sz w:val="19"/>
              </w:rPr>
              <w:t>4.5</w:t>
            </w:r>
          </w:p>
        </w:tc>
      </w:tr>
      <w:tr>
        <w:trPr>
          <w:cantSplit/>
        </w:trPr>
        <w:tc>
          <w:tcPr>
            <w:tcW w:type="dxa" w:w="4802"/>
            <w:tcMar>
              <w:top w:w="60" w:type="dxa"/>
              <w:bottom w:w="60" w:type="dxa"/>
              <w:left w:w="80" w:type="dxa"/>
              <w:right w:w="80" w:type="dxa"/>
            </w:tcMar>
            <w:shd w:fill="F9FBFD"/>
          </w:tcPr>
          <w:p>
            <w:pPr>
              <w:spacing w:after="20" w:before="20" w:line="252" w:lineRule="auto"/>
            </w:pPr>
            <w:r>
              <w:rPr>
                <w:sz w:val="19"/>
              </w:rPr>
              <w:t>10 đến 12</w:t>
            </w:r>
          </w:p>
        </w:tc>
        <w:tc>
          <w:tcPr>
            <w:tcW w:type="dxa" w:w="4802"/>
            <w:tcMar>
              <w:top w:w="60" w:type="dxa"/>
              <w:bottom w:w="60" w:type="dxa"/>
              <w:left w:w="80" w:type="dxa"/>
              <w:right w:w="80" w:type="dxa"/>
            </w:tcMar>
            <w:shd w:fill="F9FBFD"/>
          </w:tcPr>
          <w:p>
            <w:pPr>
              <w:spacing w:after="20" w:before="20" w:line="252" w:lineRule="auto"/>
            </w:pPr>
            <w:r>
              <w:rPr>
                <w:sz w:val="19"/>
              </w:rPr>
              <w:t>4.0</w:t>
            </w:r>
          </w:p>
        </w:tc>
      </w:tr>
    </w:tbl>
    <w:p>
      <w:pPr>
        <w:spacing w:after="160"/>
      </w:pPr>
    </w:p>
    <w:p>
      <w:pPr>
        <w:keepNext/>
        <w:spacing w:before="320" w:after="120"/>
      </w:pPr>
      <w:r>
        <w:rPr>
          <w:b/>
          <w:color w:val="00529B"/>
          <w:sz w:val="30"/>
        </w:rPr>
        <w:t>4. Cấu trúc đề thi Đọc - IELTS Reading (60 phút)</w:t>
      </w:r>
    </w:p>
    <w:p>
      <w:pPr>
        <w:spacing w:after="120" w:line="276" w:lineRule="auto"/>
      </w:pPr>
      <w:r>
        <w:t xml:space="preserve">Cấu trúc bài thi Đọc (IELTS Reading) kéo dài 60 phút với tổng cộng 40 câu hỏi chia đều cho 3 đoạn văn (Passages) dài. Bài thi Reading không có thời gian dành riêng để chuyển đáp án, vì vậy thí sinh phải tự phân bổ thời gian đọc, trả lời và điền đáp án trong đúng 60 phút này. </w:t>
      </w:r>
    </w:p>
    <w:p>
      <w:pPr>
        <w:keepNext/>
        <w:spacing w:before="240" w:after="80"/>
      </w:pPr>
      <w:r>
        <w:rPr>
          <w:b/>
          <w:color w:val="232D41"/>
          <w:sz w:val="26"/>
        </w:rPr>
        <w:t>Cấu trúc đề IELTS Reading</w:t>
      </w:r>
    </w:p>
    <w:p>
      <w:pPr>
        <w:spacing w:after="120" w:line="276" w:lineRule="auto"/>
      </w:pPr>
      <w:r>
        <w:rPr>
          <w:b/>
        </w:rPr>
        <w:t>Thời gian</w:t>
      </w:r>
      <w:r>
        <w:t>: 60 phút.</w:t>
      </w:r>
    </w:p>
    <w:p>
      <w:pPr>
        <w:spacing w:after="120" w:line="276" w:lineRule="auto"/>
      </w:pPr>
      <w:r>
        <w:rPr>
          <w:b/>
        </w:rPr>
        <w:t>Số lượng câu hỏi</w:t>
      </w:r>
      <w:r>
        <w:t>: 40 câu (mỗi câu đúng được 1 điểm).</w:t>
      </w:r>
    </w:p>
    <w:p>
      <w:pPr>
        <w:spacing w:after="120" w:line="276" w:lineRule="auto"/>
      </w:pPr>
      <w:r>
        <w:rPr>
          <w:b/>
        </w:rPr>
        <w:t>Số bài đọc</w:t>
      </w:r>
      <w:r>
        <w:t>: 3 đoạn văn (Passages).</w:t>
      </w:r>
    </w:p>
    <w:p>
      <w:pPr>
        <w:pStyle w:val="ListBullet"/>
        <w:spacing w:after="60" w:line="276" w:lineRule="auto"/>
      </w:pPr>
      <w:r>
        <w:t>Passage 1: Khoảng 12 - 13 câu hỏi.</w:t>
      </w:r>
    </w:p>
    <w:p>
      <w:pPr>
        <w:pStyle w:val="ListBullet"/>
        <w:spacing w:after="60" w:line="276" w:lineRule="auto"/>
      </w:pPr>
      <w:r>
        <w:t>Passage 2: Khoảng 12 - 13 câu hỏi.</w:t>
      </w:r>
    </w:p>
    <w:p>
      <w:pPr>
        <w:pStyle w:val="ListBullet"/>
        <w:spacing w:after="60" w:line="276" w:lineRule="auto"/>
      </w:pPr>
      <w:r>
        <w:t>Passage 3: Khoảng 13 - 14 câu hỏi.</w:t>
      </w:r>
    </w:p>
    <w:p>
      <w:pPr>
        <w:spacing w:after="120" w:line="276" w:lineRule="auto"/>
      </w:pPr>
      <w:r>
        <w:rPr>
          <w:color w:val="0066CC"/>
          <w:u w:val="single"/>
        </w:rPr>
        <w:t>Academic Reading</w:t>
      </w:r>
      <w:r>
        <w:t xml:space="preserve"> và </w:t>
      </w:r>
      <w:r>
        <w:rPr>
          <w:color w:val="0066CC"/>
          <w:u w:val="single"/>
        </w:rPr>
        <w:t>General Training Reading</w:t>
      </w:r>
      <w:r>
        <w:t xml:space="preserve"> cùng có 40 câu trong 60 phút, nhưng sử dụng văn bản khác nhau và có ngưỡng quy đổi điểm không hoàn toàn giống nhau. Chi tiết cấu trúc phân bổ như sau:</w:t>
        <w:br/>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4802"/>
        <w:gridCol w:w="4802"/>
      </w:tblGrid>
      <w:tr>
        <w:trPr>
          <w:cantSplit/>
          <w:tblHeader/>
        </w:trPr>
        <w:tc>
          <w:tcPr>
            <w:tcW w:type="dxa" w:w="4802"/>
            <w:tcMar>
              <w:top w:w="60" w:type="dxa"/>
              <w:bottom w:w="60" w:type="dxa"/>
              <w:left w:w="80" w:type="dxa"/>
              <w:right w:w="80" w:type="dxa"/>
            </w:tcMar>
            <w:shd w:fill="EBF3FA"/>
          </w:tcPr>
          <w:p>
            <w:pPr>
              <w:spacing w:after="20" w:before="20" w:line="252" w:lineRule="auto"/>
            </w:pPr>
            <w:r>
              <w:rPr>
                <w:b/>
                <w:color w:val="003366"/>
                <w:sz w:val="19"/>
              </w:rPr>
              <w:t>IELTS Academic Reading</w:t>
            </w:r>
          </w:p>
        </w:tc>
        <w:tc>
          <w:tcPr>
            <w:tcW w:type="dxa" w:w="4802"/>
            <w:tcMar>
              <w:top w:w="60" w:type="dxa"/>
              <w:bottom w:w="60" w:type="dxa"/>
              <w:left w:w="80" w:type="dxa"/>
              <w:right w:w="80" w:type="dxa"/>
            </w:tcMar>
            <w:shd w:fill="EBF3FA"/>
          </w:tcPr>
          <w:p>
            <w:pPr>
              <w:spacing w:after="20" w:before="20" w:line="252" w:lineRule="auto"/>
            </w:pPr>
            <w:r>
              <w:rPr>
                <w:b/>
                <w:color w:val="003366"/>
                <w:sz w:val="19"/>
              </w:rPr>
              <w:t>Bài thi gồm ba phần với các văn bản được trích từ nguồn như sách, tạp chí, báo và ấn phẩm có tính học thuật, với độ khó tăng dần. Nội dung hướng đến người đọc không chuyên nhưng có thể chứa lập luận phức tạp, thuật ngữ hoặc thông tin trực quan.</w:t>
            </w:r>
          </w:p>
        </w:tc>
      </w:tr>
      <w:tr>
        <w:trPr>
          <w:cantSplit/>
        </w:trPr>
        <w:tc>
          <w:tcPr>
            <w:tcW w:type="dxa" w:w="4802"/>
            <w:tcMar>
              <w:top w:w="60" w:type="dxa"/>
              <w:bottom w:w="60" w:type="dxa"/>
              <w:left w:w="80" w:type="dxa"/>
              <w:right w:w="80" w:type="dxa"/>
            </w:tcMar>
            <w:shd w:fill="F9FBFD"/>
          </w:tcPr>
          <w:p>
            <w:pPr>
              <w:spacing w:after="20" w:before="20" w:line="252" w:lineRule="auto"/>
            </w:pPr>
            <w:r>
              <w:rPr>
                <w:sz w:val="19"/>
              </w:rPr>
              <w:t>IELTS General Training Reading</w:t>
            </w:r>
          </w:p>
        </w:tc>
        <w:tc>
          <w:tcPr>
            <w:tcW w:type="dxa" w:w="4802"/>
            <w:tcMar>
              <w:top w:w="60" w:type="dxa"/>
              <w:bottom w:w="60" w:type="dxa"/>
              <w:left w:w="80" w:type="dxa"/>
              <w:right w:w="80" w:type="dxa"/>
            </w:tcMar>
            <w:shd w:fill="F9FBFD"/>
          </w:tcPr>
          <w:p>
            <w:pPr>
              <w:spacing w:after="20" w:before="20" w:line="252" w:lineRule="auto"/>
            </w:pPr>
            <w:r>
              <w:rPr>
                <w:sz w:val="19"/>
              </w:rPr>
              <w:t>Bài thi General Reading gồm 3 phần (Sections) được thiết kế theo cấp độ tăng dần:</w:t>
            </w:r>
            <w:r>
              <w:rPr>
                <w:sz w:val="19"/>
              </w:rPr>
              <w:t>Section 1 (Đời sống hàng ngày): 2-3 bài đọc ngắn chứa thông tin thực tế (tờ rơi quảng cáo, lịch trình xe, nội quy khách sạn).</w:t>
            </w:r>
            <w:r>
              <w:rPr>
                <w:sz w:val="19"/>
              </w:rPr>
              <w:t>Section 2 (Môi trường làm việc): 2 bài đọc tập trung vào ngữ cảnh công sở (mô tả công việc, hợp đồng lao động, quy trình đào tạo nhân viên).</w:t>
            </w:r>
            <w:r>
              <w:rPr>
                <w:sz w:val="19"/>
              </w:rPr>
              <w:t>Section 3 (Đọc hiểu văn bản): 1 bài đọc dài mang cấu trúc phức tạp hơn về một chủ đề xã hội hoặc khoa học đại chúng.</w:t>
            </w:r>
          </w:p>
        </w:tc>
      </w:tr>
    </w:tbl>
    <w:p>
      <w:pPr>
        <w:spacing w:after="160"/>
      </w:pPr>
    </w:p>
    <w:p>
      <w:pPr>
        <w:keepNext/>
        <w:spacing w:before="240" w:after="80"/>
      </w:pPr>
      <w:r>
        <w:rPr>
          <w:b/>
          <w:color w:val="232D41"/>
          <w:sz w:val="26"/>
        </w:rPr>
        <w:t>Các dạng câu hỏi IELTS Reading thường gặp</w:t>
      </w:r>
    </w:p>
    <w:p>
      <w:pPr>
        <w:pStyle w:val="ListBullet"/>
        <w:spacing w:after="60" w:line="276" w:lineRule="auto"/>
      </w:pPr>
      <w:r>
        <w:t>Dạng điền từ (Completion: Form, Note, Table, Flow-chart, Summary)</w:t>
      </w:r>
    </w:p>
    <w:p>
      <w:pPr>
        <w:pStyle w:val="ListBullet"/>
        <w:spacing w:after="60" w:line="276" w:lineRule="auto"/>
      </w:pPr>
      <w:r>
        <w:t>Dạng điền nhãn sơ đồ (Diagram Label Completion)</w:t>
      </w:r>
    </w:p>
    <w:p>
      <w:pPr>
        <w:pStyle w:val="ListBullet"/>
        <w:spacing w:after="60" w:line="276" w:lineRule="auto"/>
      </w:pPr>
      <w:r>
        <w:t>Dạng trắc nghiệm (Multiple Choice)</w:t>
      </w:r>
    </w:p>
    <w:p>
      <w:pPr>
        <w:pStyle w:val="ListBullet"/>
        <w:spacing w:after="60" w:line="276" w:lineRule="auto"/>
      </w:pPr>
      <w:r>
        <w:t>Dạng nối tiêu đề (Matching Headings)</w:t>
      </w:r>
    </w:p>
    <w:p>
      <w:pPr>
        <w:pStyle w:val="ListBullet"/>
        <w:spacing w:after="60" w:line="276" w:lineRule="auto"/>
      </w:pPr>
      <w:r>
        <w:t>Dạng nối thông tin (Matching Information)</w:t>
      </w:r>
    </w:p>
    <w:p>
      <w:pPr>
        <w:pStyle w:val="ListBullet"/>
        <w:spacing w:after="60" w:line="276" w:lineRule="auto"/>
      </w:pPr>
      <w:r>
        <w:t>Dạng nối đặc điểm (Matching Features)</w:t>
      </w:r>
    </w:p>
    <w:p>
      <w:pPr>
        <w:pStyle w:val="ListBullet"/>
        <w:spacing w:after="60" w:line="276" w:lineRule="auto"/>
      </w:pPr>
      <w:r>
        <w:t>Dạng nối vế câu (Matching Sentence Endings)</w:t>
      </w:r>
    </w:p>
    <w:p>
      <w:pPr>
        <w:pStyle w:val="ListBullet"/>
        <w:spacing w:after="60" w:line="276" w:lineRule="auto"/>
      </w:pPr>
      <w:r>
        <w:t>Dạng xác định thông tin (True/False/Not Given)</w:t>
      </w:r>
    </w:p>
    <w:p>
      <w:pPr>
        <w:pStyle w:val="ListBullet"/>
        <w:spacing w:after="60" w:line="276" w:lineRule="auto"/>
      </w:pPr>
      <w:r>
        <w:t>Dạng xác định quan điểm của tác giả (Yes/No/Not Given)</w:t>
      </w:r>
    </w:p>
    <w:p>
      <w:pPr>
        <w:pStyle w:val="ListBullet"/>
        <w:spacing w:after="60" w:line="276" w:lineRule="auto"/>
      </w:pPr>
      <w:r>
        <w:t>Dạng trả lời câu hỏi ngắn (Short-answer Questions)</w:t>
      </w:r>
    </w:p>
    <w:p>
      <w:pPr>
        <w:keepNext/>
        <w:spacing w:before="240" w:after="80"/>
      </w:pPr>
      <w:r>
        <w:rPr>
          <w:b/>
          <w:color w:val="232D41"/>
          <w:sz w:val="26"/>
        </w:rPr>
        <w:t>Thang điểm bài thi IELTS Reading</w:t>
      </w:r>
    </w:p>
    <w:p>
      <w:pPr>
        <w:spacing w:after="120" w:line="276" w:lineRule="auto"/>
      </w:pPr>
      <w:r>
        <w:t xml:space="preserve">Cấu trúc đề thi IELTS Reading có </w:t>
      </w:r>
      <w:r>
        <w:rPr>
          <w:color w:val="0066CC"/>
          <w:u w:val="single"/>
        </w:rPr>
        <w:t>thang điểm IELTS Reading</w:t>
      </w:r>
      <w:r>
        <w:t xml:space="preserve"> khác nhau tùy theo độ khó của bài đọc. Bài thi General Training đòi hỏi thí sinh phải đạt nhiều câu đúng hơn để có cùng band điểm với IELTS Academic.</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3202"/>
        <w:gridCol w:w="3202"/>
        <w:gridCol w:w="3202"/>
      </w:tblGrid>
      <w:tr>
        <w:trPr>
          <w:cantSplit/>
          <w:tblHeader/>
        </w:trPr>
        <w:tc>
          <w:tcPr>
            <w:tcW w:type="dxa" w:w="3202"/>
            <w:tcMar>
              <w:top w:w="60" w:type="dxa"/>
              <w:bottom w:w="60" w:type="dxa"/>
              <w:left w:w="80" w:type="dxa"/>
              <w:right w:w="80" w:type="dxa"/>
            </w:tcMar>
            <w:shd w:fill="EBF3FA"/>
          </w:tcPr>
          <w:p>
            <w:pPr>
              <w:spacing w:after="20" w:before="20" w:line="252" w:lineRule="auto"/>
            </w:pPr>
            <w:r>
              <w:rPr>
                <w:b/>
                <w:color w:val="003366"/>
                <w:sz w:val="19"/>
              </w:rPr>
              <w:t>Band điểm</w:t>
            </w:r>
          </w:p>
        </w:tc>
        <w:tc>
          <w:tcPr>
            <w:tcW w:type="dxa" w:w="3202"/>
            <w:tcMar>
              <w:top w:w="60" w:type="dxa"/>
              <w:bottom w:w="60" w:type="dxa"/>
              <w:left w:w="80" w:type="dxa"/>
              <w:right w:w="80" w:type="dxa"/>
            </w:tcMar>
            <w:shd w:fill="EBF3FA"/>
          </w:tcPr>
          <w:p>
            <w:pPr>
              <w:spacing w:after="20" w:before="20" w:line="252" w:lineRule="auto"/>
            </w:pPr>
            <w:r>
              <w:rPr>
                <w:b/>
                <w:color w:val="003366"/>
                <w:sz w:val="19"/>
              </w:rPr>
              <w:t>IELTS Academic Reading (Số câu đúng)</w:t>
            </w:r>
          </w:p>
        </w:tc>
        <w:tc>
          <w:tcPr>
            <w:tcW w:type="dxa" w:w="3202"/>
            <w:tcMar>
              <w:top w:w="60" w:type="dxa"/>
              <w:bottom w:w="60" w:type="dxa"/>
              <w:left w:w="80" w:type="dxa"/>
              <w:right w:w="80" w:type="dxa"/>
            </w:tcMar>
            <w:shd w:fill="EBF3FA"/>
          </w:tcPr>
          <w:p>
            <w:pPr>
              <w:spacing w:after="20" w:before="20" w:line="252" w:lineRule="auto"/>
            </w:pPr>
            <w:r>
              <w:rPr>
                <w:b/>
                <w:color w:val="003366"/>
                <w:sz w:val="19"/>
              </w:rPr>
              <w:t>IELTS General Training Reading (Số câu đúng)</w:t>
            </w:r>
          </w:p>
        </w:tc>
      </w:tr>
      <w:tr>
        <w:trPr>
          <w:cantSplit/>
        </w:trPr>
        <w:tc>
          <w:tcPr>
            <w:tcW w:type="dxa" w:w="3202"/>
            <w:tcMar>
              <w:top w:w="60" w:type="dxa"/>
              <w:bottom w:w="60" w:type="dxa"/>
              <w:left w:w="80" w:type="dxa"/>
              <w:right w:w="80" w:type="dxa"/>
            </w:tcMar>
            <w:shd w:fill="F9FBFD"/>
          </w:tcPr>
          <w:p>
            <w:pPr>
              <w:spacing w:after="20" w:before="20" w:line="252" w:lineRule="auto"/>
            </w:pPr>
            <w:r>
              <w:rPr>
                <w:sz w:val="19"/>
              </w:rPr>
              <w:t>9.0</w:t>
            </w:r>
          </w:p>
        </w:tc>
        <w:tc>
          <w:tcPr>
            <w:tcW w:type="dxa" w:w="3202"/>
            <w:tcMar>
              <w:top w:w="60" w:type="dxa"/>
              <w:bottom w:w="60" w:type="dxa"/>
              <w:left w:w="80" w:type="dxa"/>
              <w:right w:w="80" w:type="dxa"/>
            </w:tcMar>
            <w:shd w:fill="F9FBFD"/>
          </w:tcPr>
          <w:p>
            <w:pPr>
              <w:spacing w:after="20" w:before="20" w:line="252" w:lineRule="auto"/>
            </w:pPr>
            <w:r>
              <w:rPr>
                <w:sz w:val="19"/>
              </w:rPr>
              <w:t>39 - 40</w:t>
            </w:r>
          </w:p>
        </w:tc>
        <w:tc>
          <w:tcPr>
            <w:tcW w:type="dxa" w:w="3202"/>
            <w:tcMar>
              <w:top w:w="60" w:type="dxa"/>
              <w:bottom w:w="60" w:type="dxa"/>
              <w:left w:w="80" w:type="dxa"/>
              <w:right w:w="80" w:type="dxa"/>
            </w:tcMar>
            <w:shd w:fill="F9FBFD"/>
          </w:tcPr>
          <w:p>
            <w:pPr>
              <w:spacing w:after="20" w:before="20" w:line="252" w:lineRule="auto"/>
            </w:pPr>
            <w:r>
              <w:rPr>
                <w:sz w:val="19"/>
              </w:rPr>
              <w:t>40</w:t>
            </w:r>
          </w:p>
        </w:tc>
      </w:tr>
      <w:tr>
        <w:trPr>
          <w:cantSplit/>
        </w:trPr>
        <w:tc>
          <w:tcPr>
            <w:tcW w:type="dxa" w:w="3202"/>
            <w:tcMar>
              <w:top w:w="60" w:type="dxa"/>
              <w:bottom w:w="60" w:type="dxa"/>
              <w:left w:w="80" w:type="dxa"/>
              <w:right w:w="80" w:type="dxa"/>
            </w:tcMar>
          </w:tcPr>
          <w:p>
            <w:pPr>
              <w:spacing w:after="20" w:before="20" w:line="252" w:lineRule="auto"/>
            </w:pPr>
            <w:r>
              <w:rPr>
                <w:sz w:val="19"/>
              </w:rPr>
              <w:t>8.5</w:t>
            </w:r>
          </w:p>
        </w:tc>
        <w:tc>
          <w:tcPr>
            <w:tcW w:type="dxa" w:w="3202"/>
            <w:tcMar>
              <w:top w:w="60" w:type="dxa"/>
              <w:bottom w:w="60" w:type="dxa"/>
              <w:left w:w="80" w:type="dxa"/>
              <w:right w:w="80" w:type="dxa"/>
            </w:tcMar>
          </w:tcPr>
          <w:p>
            <w:pPr>
              <w:spacing w:after="20" w:before="20" w:line="252" w:lineRule="auto"/>
            </w:pPr>
            <w:r>
              <w:rPr>
                <w:sz w:val="19"/>
              </w:rPr>
              <w:t>37 - 38</w:t>
            </w:r>
          </w:p>
        </w:tc>
        <w:tc>
          <w:tcPr>
            <w:tcW w:type="dxa" w:w="3202"/>
            <w:tcMar>
              <w:top w:w="60" w:type="dxa"/>
              <w:bottom w:w="60" w:type="dxa"/>
              <w:left w:w="80" w:type="dxa"/>
              <w:right w:w="80" w:type="dxa"/>
            </w:tcMar>
          </w:tcPr>
          <w:p>
            <w:pPr>
              <w:spacing w:after="20" w:before="20" w:line="252" w:lineRule="auto"/>
            </w:pPr>
            <w:r>
              <w:rPr>
                <w:sz w:val="19"/>
              </w:rPr>
              <w:t>39</w:t>
            </w:r>
          </w:p>
        </w:tc>
      </w:tr>
      <w:tr>
        <w:trPr>
          <w:cantSplit/>
        </w:trPr>
        <w:tc>
          <w:tcPr>
            <w:tcW w:type="dxa" w:w="3202"/>
            <w:tcMar>
              <w:top w:w="60" w:type="dxa"/>
              <w:bottom w:w="60" w:type="dxa"/>
              <w:left w:w="80" w:type="dxa"/>
              <w:right w:w="80" w:type="dxa"/>
            </w:tcMar>
            <w:shd w:fill="F9FBFD"/>
          </w:tcPr>
          <w:p>
            <w:pPr>
              <w:spacing w:after="20" w:before="20" w:line="252" w:lineRule="auto"/>
            </w:pPr>
            <w:r>
              <w:rPr>
                <w:sz w:val="19"/>
              </w:rPr>
              <w:t>8.0</w:t>
            </w:r>
          </w:p>
        </w:tc>
        <w:tc>
          <w:tcPr>
            <w:tcW w:type="dxa" w:w="3202"/>
            <w:tcMar>
              <w:top w:w="60" w:type="dxa"/>
              <w:bottom w:w="60" w:type="dxa"/>
              <w:left w:w="80" w:type="dxa"/>
              <w:right w:w="80" w:type="dxa"/>
            </w:tcMar>
            <w:shd w:fill="F9FBFD"/>
          </w:tcPr>
          <w:p>
            <w:pPr>
              <w:spacing w:after="20" w:before="20" w:line="252" w:lineRule="auto"/>
            </w:pPr>
            <w:r>
              <w:rPr>
                <w:sz w:val="19"/>
              </w:rPr>
              <w:t>35 - 36</w:t>
            </w:r>
          </w:p>
        </w:tc>
        <w:tc>
          <w:tcPr>
            <w:tcW w:type="dxa" w:w="3202"/>
            <w:tcMar>
              <w:top w:w="60" w:type="dxa"/>
              <w:bottom w:w="60" w:type="dxa"/>
              <w:left w:w="80" w:type="dxa"/>
              <w:right w:w="80" w:type="dxa"/>
            </w:tcMar>
            <w:shd w:fill="F9FBFD"/>
          </w:tcPr>
          <w:p>
            <w:pPr>
              <w:spacing w:after="20" w:before="20" w:line="252" w:lineRule="auto"/>
            </w:pPr>
            <w:r>
              <w:rPr>
                <w:sz w:val="19"/>
              </w:rPr>
              <w:t>38</w:t>
            </w:r>
          </w:p>
        </w:tc>
      </w:tr>
      <w:tr>
        <w:trPr>
          <w:cantSplit/>
        </w:trPr>
        <w:tc>
          <w:tcPr>
            <w:tcW w:type="dxa" w:w="3202"/>
            <w:tcMar>
              <w:top w:w="60" w:type="dxa"/>
              <w:bottom w:w="60" w:type="dxa"/>
              <w:left w:w="80" w:type="dxa"/>
              <w:right w:w="80" w:type="dxa"/>
            </w:tcMar>
          </w:tcPr>
          <w:p>
            <w:pPr>
              <w:spacing w:after="20" w:before="20" w:line="252" w:lineRule="auto"/>
            </w:pPr>
            <w:r>
              <w:rPr>
                <w:sz w:val="19"/>
              </w:rPr>
              <w:t>7.5</w:t>
            </w:r>
          </w:p>
        </w:tc>
        <w:tc>
          <w:tcPr>
            <w:tcW w:type="dxa" w:w="3202"/>
            <w:tcMar>
              <w:top w:w="60" w:type="dxa"/>
              <w:bottom w:w="60" w:type="dxa"/>
              <w:left w:w="80" w:type="dxa"/>
              <w:right w:w="80" w:type="dxa"/>
            </w:tcMar>
          </w:tcPr>
          <w:p>
            <w:pPr>
              <w:spacing w:after="20" w:before="20" w:line="252" w:lineRule="auto"/>
            </w:pPr>
            <w:r>
              <w:rPr>
                <w:sz w:val="19"/>
              </w:rPr>
              <w:t>33 - 34</w:t>
            </w:r>
          </w:p>
        </w:tc>
        <w:tc>
          <w:tcPr>
            <w:tcW w:type="dxa" w:w="3202"/>
            <w:tcMar>
              <w:top w:w="60" w:type="dxa"/>
              <w:bottom w:w="60" w:type="dxa"/>
              <w:left w:w="80" w:type="dxa"/>
              <w:right w:w="80" w:type="dxa"/>
            </w:tcMar>
          </w:tcPr>
          <w:p>
            <w:pPr>
              <w:spacing w:after="20" w:before="20" w:line="252" w:lineRule="auto"/>
            </w:pPr>
            <w:r>
              <w:rPr>
                <w:sz w:val="19"/>
              </w:rPr>
              <w:t>36 - 37</w:t>
            </w:r>
          </w:p>
        </w:tc>
      </w:tr>
      <w:tr>
        <w:trPr>
          <w:cantSplit/>
        </w:trPr>
        <w:tc>
          <w:tcPr>
            <w:tcW w:type="dxa" w:w="3202"/>
            <w:tcMar>
              <w:top w:w="60" w:type="dxa"/>
              <w:bottom w:w="60" w:type="dxa"/>
              <w:left w:w="80" w:type="dxa"/>
              <w:right w:w="80" w:type="dxa"/>
            </w:tcMar>
            <w:shd w:fill="F9FBFD"/>
          </w:tcPr>
          <w:p>
            <w:pPr>
              <w:spacing w:after="20" w:before="20" w:line="252" w:lineRule="auto"/>
            </w:pPr>
            <w:r>
              <w:rPr>
                <w:sz w:val="19"/>
              </w:rPr>
              <w:t>7.0</w:t>
            </w:r>
          </w:p>
        </w:tc>
        <w:tc>
          <w:tcPr>
            <w:tcW w:type="dxa" w:w="3202"/>
            <w:tcMar>
              <w:top w:w="60" w:type="dxa"/>
              <w:bottom w:w="60" w:type="dxa"/>
              <w:left w:w="80" w:type="dxa"/>
              <w:right w:w="80" w:type="dxa"/>
            </w:tcMar>
            <w:shd w:fill="F9FBFD"/>
          </w:tcPr>
          <w:p>
            <w:pPr>
              <w:spacing w:after="20" w:before="20" w:line="252" w:lineRule="auto"/>
            </w:pPr>
            <w:r>
              <w:rPr>
                <w:sz w:val="19"/>
              </w:rPr>
              <w:t>30 - 32</w:t>
            </w:r>
          </w:p>
        </w:tc>
        <w:tc>
          <w:tcPr>
            <w:tcW w:type="dxa" w:w="3202"/>
            <w:tcMar>
              <w:top w:w="60" w:type="dxa"/>
              <w:bottom w:w="60" w:type="dxa"/>
              <w:left w:w="80" w:type="dxa"/>
              <w:right w:w="80" w:type="dxa"/>
            </w:tcMar>
            <w:shd w:fill="F9FBFD"/>
          </w:tcPr>
          <w:p>
            <w:pPr>
              <w:spacing w:after="20" w:before="20" w:line="252" w:lineRule="auto"/>
            </w:pPr>
            <w:r>
              <w:rPr>
                <w:sz w:val="19"/>
              </w:rPr>
              <w:t>34 - 35</w:t>
            </w:r>
          </w:p>
        </w:tc>
      </w:tr>
      <w:tr>
        <w:trPr>
          <w:cantSplit/>
        </w:trPr>
        <w:tc>
          <w:tcPr>
            <w:tcW w:type="dxa" w:w="3202"/>
            <w:tcMar>
              <w:top w:w="60" w:type="dxa"/>
              <w:bottom w:w="60" w:type="dxa"/>
              <w:left w:w="80" w:type="dxa"/>
              <w:right w:w="80" w:type="dxa"/>
            </w:tcMar>
          </w:tcPr>
          <w:p>
            <w:pPr>
              <w:spacing w:after="20" w:before="20" w:line="252" w:lineRule="auto"/>
            </w:pPr>
            <w:r>
              <w:rPr>
                <w:sz w:val="19"/>
              </w:rPr>
              <w:t>6.5</w:t>
            </w:r>
          </w:p>
        </w:tc>
        <w:tc>
          <w:tcPr>
            <w:tcW w:type="dxa" w:w="3202"/>
            <w:tcMar>
              <w:top w:w="60" w:type="dxa"/>
              <w:bottom w:w="60" w:type="dxa"/>
              <w:left w:w="80" w:type="dxa"/>
              <w:right w:w="80" w:type="dxa"/>
            </w:tcMar>
          </w:tcPr>
          <w:p>
            <w:pPr>
              <w:spacing w:after="20" w:before="20" w:line="252" w:lineRule="auto"/>
            </w:pPr>
            <w:r>
              <w:rPr>
                <w:sz w:val="19"/>
              </w:rPr>
              <w:t>27 - 29</w:t>
            </w:r>
          </w:p>
        </w:tc>
        <w:tc>
          <w:tcPr>
            <w:tcW w:type="dxa" w:w="3202"/>
            <w:tcMar>
              <w:top w:w="60" w:type="dxa"/>
              <w:bottom w:w="60" w:type="dxa"/>
              <w:left w:w="80" w:type="dxa"/>
              <w:right w:w="80" w:type="dxa"/>
            </w:tcMar>
          </w:tcPr>
          <w:p>
            <w:pPr>
              <w:spacing w:after="20" w:before="20" w:line="252" w:lineRule="auto"/>
            </w:pPr>
            <w:r>
              <w:rPr>
                <w:sz w:val="19"/>
              </w:rPr>
              <w:t>32 - 33</w:t>
            </w:r>
          </w:p>
        </w:tc>
      </w:tr>
      <w:tr>
        <w:trPr>
          <w:cantSplit/>
        </w:trPr>
        <w:tc>
          <w:tcPr>
            <w:tcW w:type="dxa" w:w="3202"/>
            <w:tcMar>
              <w:top w:w="60" w:type="dxa"/>
              <w:bottom w:w="60" w:type="dxa"/>
              <w:left w:w="80" w:type="dxa"/>
              <w:right w:w="80" w:type="dxa"/>
            </w:tcMar>
            <w:shd w:fill="F9FBFD"/>
          </w:tcPr>
          <w:p>
            <w:pPr>
              <w:spacing w:after="20" w:before="20" w:line="252" w:lineRule="auto"/>
            </w:pPr>
            <w:r>
              <w:rPr>
                <w:sz w:val="19"/>
              </w:rPr>
              <w:t>6.0</w:t>
            </w:r>
          </w:p>
        </w:tc>
        <w:tc>
          <w:tcPr>
            <w:tcW w:type="dxa" w:w="3202"/>
            <w:tcMar>
              <w:top w:w="60" w:type="dxa"/>
              <w:bottom w:w="60" w:type="dxa"/>
              <w:left w:w="80" w:type="dxa"/>
              <w:right w:w="80" w:type="dxa"/>
            </w:tcMar>
            <w:shd w:fill="F9FBFD"/>
          </w:tcPr>
          <w:p>
            <w:pPr>
              <w:spacing w:after="20" w:before="20" w:line="252" w:lineRule="auto"/>
            </w:pPr>
            <w:r>
              <w:rPr>
                <w:sz w:val="19"/>
              </w:rPr>
              <w:t>23 - 26</w:t>
            </w:r>
          </w:p>
        </w:tc>
        <w:tc>
          <w:tcPr>
            <w:tcW w:type="dxa" w:w="3202"/>
            <w:tcMar>
              <w:top w:w="60" w:type="dxa"/>
              <w:bottom w:w="60" w:type="dxa"/>
              <w:left w:w="80" w:type="dxa"/>
              <w:right w:w="80" w:type="dxa"/>
            </w:tcMar>
            <w:shd w:fill="F9FBFD"/>
          </w:tcPr>
          <w:p>
            <w:pPr>
              <w:spacing w:after="20" w:before="20" w:line="252" w:lineRule="auto"/>
            </w:pPr>
            <w:r>
              <w:rPr>
                <w:sz w:val="19"/>
              </w:rPr>
              <w:t>30 - 31</w:t>
            </w:r>
          </w:p>
        </w:tc>
      </w:tr>
      <w:tr>
        <w:trPr>
          <w:cantSplit/>
        </w:trPr>
        <w:tc>
          <w:tcPr>
            <w:tcW w:type="dxa" w:w="3202"/>
            <w:tcMar>
              <w:top w:w="60" w:type="dxa"/>
              <w:bottom w:w="60" w:type="dxa"/>
              <w:left w:w="80" w:type="dxa"/>
              <w:right w:w="80" w:type="dxa"/>
            </w:tcMar>
          </w:tcPr>
          <w:p>
            <w:pPr>
              <w:spacing w:after="20" w:before="20" w:line="252" w:lineRule="auto"/>
            </w:pPr>
            <w:r>
              <w:rPr>
                <w:sz w:val="19"/>
              </w:rPr>
              <w:t>5.5</w:t>
            </w:r>
          </w:p>
        </w:tc>
        <w:tc>
          <w:tcPr>
            <w:tcW w:type="dxa" w:w="3202"/>
            <w:tcMar>
              <w:top w:w="60" w:type="dxa"/>
              <w:bottom w:w="60" w:type="dxa"/>
              <w:left w:w="80" w:type="dxa"/>
              <w:right w:w="80" w:type="dxa"/>
            </w:tcMar>
          </w:tcPr>
          <w:p>
            <w:pPr>
              <w:spacing w:after="20" w:before="20" w:line="252" w:lineRule="auto"/>
            </w:pPr>
            <w:r>
              <w:rPr>
                <w:sz w:val="19"/>
              </w:rPr>
              <w:t>20 - 22</w:t>
            </w:r>
          </w:p>
        </w:tc>
        <w:tc>
          <w:tcPr>
            <w:tcW w:type="dxa" w:w="3202"/>
            <w:tcMar>
              <w:top w:w="60" w:type="dxa"/>
              <w:bottom w:w="60" w:type="dxa"/>
              <w:left w:w="80" w:type="dxa"/>
              <w:right w:w="80" w:type="dxa"/>
            </w:tcMar>
          </w:tcPr>
          <w:p>
            <w:pPr>
              <w:spacing w:after="20" w:before="20" w:line="252" w:lineRule="auto"/>
            </w:pPr>
            <w:r>
              <w:rPr>
                <w:sz w:val="19"/>
              </w:rPr>
              <w:t>27 - 29</w:t>
            </w:r>
          </w:p>
        </w:tc>
      </w:tr>
      <w:tr>
        <w:trPr>
          <w:cantSplit/>
        </w:trPr>
        <w:tc>
          <w:tcPr>
            <w:tcW w:type="dxa" w:w="3202"/>
            <w:tcMar>
              <w:top w:w="60" w:type="dxa"/>
              <w:bottom w:w="60" w:type="dxa"/>
              <w:left w:w="80" w:type="dxa"/>
              <w:right w:w="80" w:type="dxa"/>
            </w:tcMar>
            <w:shd w:fill="F9FBFD"/>
          </w:tcPr>
          <w:p>
            <w:pPr>
              <w:spacing w:after="20" w:before="20" w:line="252" w:lineRule="auto"/>
            </w:pPr>
            <w:r>
              <w:rPr>
                <w:sz w:val="19"/>
              </w:rPr>
              <w:t>5.0</w:t>
            </w:r>
          </w:p>
        </w:tc>
        <w:tc>
          <w:tcPr>
            <w:tcW w:type="dxa" w:w="3202"/>
            <w:tcMar>
              <w:top w:w="60" w:type="dxa"/>
              <w:bottom w:w="60" w:type="dxa"/>
              <w:left w:w="80" w:type="dxa"/>
              <w:right w:w="80" w:type="dxa"/>
            </w:tcMar>
            <w:shd w:fill="F9FBFD"/>
          </w:tcPr>
          <w:p>
            <w:pPr>
              <w:spacing w:after="20" w:before="20" w:line="252" w:lineRule="auto"/>
            </w:pPr>
            <w:r>
              <w:rPr>
                <w:sz w:val="19"/>
              </w:rPr>
              <w:t>16 - 19</w:t>
            </w:r>
          </w:p>
        </w:tc>
        <w:tc>
          <w:tcPr>
            <w:tcW w:type="dxa" w:w="3202"/>
            <w:tcMar>
              <w:top w:w="60" w:type="dxa"/>
              <w:bottom w:w="60" w:type="dxa"/>
              <w:left w:w="80" w:type="dxa"/>
              <w:right w:w="80" w:type="dxa"/>
            </w:tcMar>
            <w:shd w:fill="F9FBFD"/>
          </w:tcPr>
          <w:p>
            <w:pPr>
              <w:spacing w:after="20" w:before="20" w:line="252" w:lineRule="auto"/>
            </w:pPr>
            <w:r>
              <w:rPr>
                <w:sz w:val="19"/>
              </w:rPr>
              <w:t>23 - 26</w:t>
            </w:r>
          </w:p>
        </w:tc>
      </w:tr>
      <w:tr>
        <w:trPr>
          <w:cantSplit/>
        </w:trPr>
        <w:tc>
          <w:tcPr>
            <w:tcW w:type="dxa" w:w="3202"/>
            <w:tcMar>
              <w:top w:w="60" w:type="dxa"/>
              <w:bottom w:w="60" w:type="dxa"/>
              <w:left w:w="80" w:type="dxa"/>
              <w:right w:w="80" w:type="dxa"/>
            </w:tcMar>
          </w:tcPr>
          <w:p>
            <w:pPr>
              <w:spacing w:after="20" w:before="20" w:line="252" w:lineRule="auto"/>
            </w:pPr>
            <w:r>
              <w:rPr>
                <w:sz w:val="19"/>
              </w:rPr>
              <w:t>4.5</w:t>
            </w:r>
          </w:p>
        </w:tc>
        <w:tc>
          <w:tcPr>
            <w:tcW w:type="dxa" w:w="3202"/>
            <w:tcMar>
              <w:top w:w="60" w:type="dxa"/>
              <w:bottom w:w="60" w:type="dxa"/>
              <w:left w:w="80" w:type="dxa"/>
              <w:right w:w="80" w:type="dxa"/>
            </w:tcMar>
          </w:tcPr>
          <w:p>
            <w:pPr>
              <w:spacing w:after="20" w:before="20" w:line="252" w:lineRule="auto"/>
            </w:pPr>
            <w:r>
              <w:rPr>
                <w:sz w:val="19"/>
              </w:rPr>
              <w:t>13 - 15</w:t>
            </w:r>
          </w:p>
        </w:tc>
        <w:tc>
          <w:tcPr>
            <w:tcW w:type="dxa" w:w="3202"/>
            <w:tcMar>
              <w:top w:w="60" w:type="dxa"/>
              <w:bottom w:w="60" w:type="dxa"/>
              <w:left w:w="80" w:type="dxa"/>
              <w:right w:w="80" w:type="dxa"/>
            </w:tcMar>
          </w:tcPr>
          <w:p>
            <w:pPr>
              <w:spacing w:after="20" w:before="20" w:line="252" w:lineRule="auto"/>
            </w:pPr>
            <w:r>
              <w:rPr>
                <w:sz w:val="19"/>
              </w:rPr>
              <w:t>19 - 22</w:t>
            </w:r>
          </w:p>
        </w:tc>
      </w:tr>
      <w:tr>
        <w:trPr>
          <w:cantSplit/>
        </w:trPr>
        <w:tc>
          <w:tcPr>
            <w:tcW w:type="dxa" w:w="3202"/>
            <w:tcMar>
              <w:top w:w="60" w:type="dxa"/>
              <w:bottom w:w="60" w:type="dxa"/>
              <w:left w:w="80" w:type="dxa"/>
              <w:right w:w="80" w:type="dxa"/>
            </w:tcMar>
            <w:shd w:fill="F9FBFD"/>
          </w:tcPr>
          <w:p>
            <w:pPr>
              <w:spacing w:after="20" w:before="20" w:line="252" w:lineRule="auto"/>
            </w:pPr>
            <w:r>
              <w:rPr>
                <w:sz w:val="19"/>
              </w:rPr>
              <w:t>4.0</w:t>
            </w:r>
          </w:p>
        </w:tc>
        <w:tc>
          <w:tcPr>
            <w:tcW w:type="dxa" w:w="3202"/>
            <w:tcMar>
              <w:top w:w="60" w:type="dxa"/>
              <w:bottom w:w="60" w:type="dxa"/>
              <w:left w:w="80" w:type="dxa"/>
              <w:right w:w="80" w:type="dxa"/>
            </w:tcMar>
            <w:shd w:fill="F9FBFD"/>
          </w:tcPr>
          <w:p>
            <w:pPr>
              <w:spacing w:after="20" w:before="20" w:line="252" w:lineRule="auto"/>
            </w:pPr>
            <w:r>
              <w:rPr>
                <w:sz w:val="19"/>
              </w:rPr>
              <w:t>10 - 12</w:t>
            </w:r>
          </w:p>
        </w:tc>
        <w:tc>
          <w:tcPr>
            <w:tcW w:type="dxa" w:w="3202"/>
            <w:tcMar>
              <w:top w:w="60" w:type="dxa"/>
              <w:bottom w:w="60" w:type="dxa"/>
              <w:left w:w="80" w:type="dxa"/>
              <w:right w:w="80" w:type="dxa"/>
            </w:tcMar>
            <w:shd w:fill="F9FBFD"/>
          </w:tcPr>
          <w:p>
            <w:pPr>
              <w:spacing w:after="20" w:before="20" w:line="252" w:lineRule="auto"/>
            </w:pPr>
            <w:r>
              <w:rPr>
                <w:sz w:val="19"/>
              </w:rPr>
              <w:t>15 - 18</w:t>
            </w:r>
          </w:p>
        </w:tc>
      </w:tr>
      <w:tr>
        <w:trPr>
          <w:cantSplit/>
        </w:trPr>
        <w:tc>
          <w:tcPr>
            <w:tcW w:type="dxa" w:w="3202"/>
            <w:tcMar>
              <w:top w:w="60" w:type="dxa"/>
              <w:bottom w:w="60" w:type="dxa"/>
              <w:left w:w="80" w:type="dxa"/>
              <w:right w:w="80" w:type="dxa"/>
            </w:tcMar>
          </w:tcPr>
          <w:p>
            <w:pPr>
              <w:spacing w:after="20" w:before="20" w:line="252" w:lineRule="auto"/>
            </w:pPr>
            <w:r>
              <w:rPr>
                <w:sz w:val="19"/>
              </w:rPr>
              <w:t>3.5</w:t>
            </w:r>
          </w:p>
        </w:tc>
        <w:tc>
          <w:tcPr>
            <w:tcW w:type="dxa" w:w="3202"/>
            <w:tcMar>
              <w:top w:w="60" w:type="dxa"/>
              <w:bottom w:w="60" w:type="dxa"/>
              <w:left w:w="80" w:type="dxa"/>
              <w:right w:w="80" w:type="dxa"/>
            </w:tcMar>
          </w:tcPr>
          <w:p>
            <w:pPr>
              <w:spacing w:after="20" w:before="20" w:line="252" w:lineRule="auto"/>
            </w:pPr>
            <w:r>
              <w:rPr>
                <w:sz w:val="19"/>
              </w:rPr>
              <w:t>7 - 9</w:t>
            </w:r>
          </w:p>
        </w:tc>
        <w:tc>
          <w:tcPr>
            <w:tcW w:type="dxa" w:w="3202"/>
            <w:tcMar>
              <w:top w:w="60" w:type="dxa"/>
              <w:bottom w:w="60" w:type="dxa"/>
              <w:left w:w="80" w:type="dxa"/>
              <w:right w:w="80" w:type="dxa"/>
            </w:tcMar>
          </w:tcPr>
          <w:p>
            <w:pPr>
              <w:spacing w:after="20" w:before="20" w:line="252" w:lineRule="auto"/>
            </w:pPr>
            <w:r>
              <w:rPr>
                <w:sz w:val="19"/>
              </w:rPr>
              <w:t>12 - 14</w:t>
            </w:r>
          </w:p>
        </w:tc>
      </w:tr>
      <w:tr>
        <w:trPr>
          <w:cantSplit/>
        </w:trPr>
        <w:tc>
          <w:tcPr>
            <w:tcW w:type="dxa" w:w="3202"/>
            <w:tcMar>
              <w:top w:w="60" w:type="dxa"/>
              <w:bottom w:w="60" w:type="dxa"/>
              <w:left w:w="80" w:type="dxa"/>
              <w:right w:w="80" w:type="dxa"/>
            </w:tcMar>
            <w:shd w:fill="F9FBFD"/>
          </w:tcPr>
          <w:p>
            <w:pPr>
              <w:spacing w:after="20" w:before="20" w:line="252" w:lineRule="auto"/>
            </w:pPr>
            <w:r>
              <w:rPr>
                <w:sz w:val="19"/>
              </w:rPr>
              <w:t>3.0</w:t>
            </w:r>
          </w:p>
        </w:tc>
        <w:tc>
          <w:tcPr>
            <w:tcW w:type="dxa" w:w="3202"/>
            <w:tcMar>
              <w:top w:w="60" w:type="dxa"/>
              <w:bottom w:w="60" w:type="dxa"/>
              <w:left w:w="80" w:type="dxa"/>
              <w:right w:w="80" w:type="dxa"/>
            </w:tcMar>
            <w:shd w:fill="F9FBFD"/>
          </w:tcPr>
          <w:p>
            <w:pPr>
              <w:spacing w:after="20" w:before="20" w:line="252" w:lineRule="auto"/>
            </w:pPr>
            <w:r>
              <w:rPr>
                <w:sz w:val="19"/>
              </w:rPr>
              <w:t>5 - 6</w:t>
            </w:r>
          </w:p>
        </w:tc>
        <w:tc>
          <w:tcPr>
            <w:tcW w:type="dxa" w:w="3202"/>
            <w:tcMar>
              <w:top w:w="60" w:type="dxa"/>
              <w:bottom w:w="60" w:type="dxa"/>
              <w:left w:w="80" w:type="dxa"/>
              <w:right w:w="80" w:type="dxa"/>
            </w:tcMar>
            <w:shd w:fill="F9FBFD"/>
          </w:tcPr>
          <w:p>
            <w:pPr>
              <w:spacing w:after="20" w:before="20" w:line="252" w:lineRule="auto"/>
            </w:pPr>
            <w:r>
              <w:rPr>
                <w:sz w:val="19"/>
              </w:rPr>
              <w:t>8 - 11</w:t>
            </w:r>
          </w:p>
        </w:tc>
      </w:tr>
    </w:tbl>
    <w:p>
      <w:pPr>
        <w:spacing w:after="160"/>
      </w:pPr>
    </w:p>
    <w:p>
      <w:pPr>
        <w:keepNext/>
        <w:spacing w:before="320" w:after="120"/>
      </w:pPr>
      <w:r>
        <w:rPr>
          <w:b/>
          <w:color w:val="00529B"/>
          <w:sz w:val="30"/>
        </w:rPr>
        <w:t>5. Cấu trúc đề thi IELTS Writing (Bài thi Viết)</w:t>
      </w:r>
    </w:p>
    <w:p>
      <w:pPr>
        <w:spacing w:after="120" w:line="276" w:lineRule="auto"/>
      </w:pPr>
      <w:r>
        <w:t xml:space="preserve">Thi IELTS Writing bao nhiêu phút? Cả hai hình thức đều Thời gian 60 phút để hoàn thành 2 bài viết. </w:t>
      </w:r>
    </w:p>
    <w:p>
      <w:pPr>
        <w:pStyle w:val="ListBullet"/>
        <w:spacing w:after="60" w:line="276" w:lineRule="auto"/>
      </w:pPr>
      <w:r>
        <w:t xml:space="preserve">Thí sinh được khuyến nghị phân bổ khoảng 20 phút cho Task 1 và 40 phút cho Task 2, vì Task 2 chiếm trọng số điểm cao hơn. </w:t>
      </w:r>
    </w:p>
    <w:p>
      <w:pPr>
        <w:pStyle w:val="ListBullet"/>
        <w:spacing w:after="60" w:line="276" w:lineRule="auto"/>
      </w:pPr>
      <w:r>
        <w:t>Số chữ quy định Task 1 là tối thiểu 150 từ và task 2 là tối thiểu 250 từ.</w:t>
      </w:r>
    </w:p>
    <w:p>
      <w:pPr>
        <w:keepNext/>
        <w:spacing w:before="240" w:after="80"/>
      </w:pPr>
      <w:r>
        <w:rPr>
          <w:b/>
          <w:color w:val="232D41"/>
          <w:sz w:val="26"/>
        </w:rPr>
        <w:t>Cấu trúc đề IELTS Academic Writing</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4802"/>
        <w:gridCol w:w="4802"/>
      </w:tblGrid>
      <w:tr>
        <w:trPr>
          <w:cantSplit/>
          <w:tblHeader/>
        </w:trPr>
        <w:tc>
          <w:tcPr>
            <w:tcW w:type="dxa" w:w="4802"/>
            <w:tcMar>
              <w:top w:w="60" w:type="dxa"/>
              <w:bottom w:w="60" w:type="dxa"/>
              <w:left w:w="80" w:type="dxa"/>
              <w:right w:w="80" w:type="dxa"/>
            </w:tcMar>
            <w:shd w:fill="EBF3FA"/>
          </w:tcPr>
          <w:p>
            <w:pPr>
              <w:spacing w:after="20" w:before="20" w:line="252" w:lineRule="auto"/>
            </w:pPr>
            <w:r>
              <w:rPr>
                <w:b/>
                <w:color w:val="003366"/>
                <w:sz w:val="19"/>
              </w:rPr>
              <w:t>Dạng bài</w:t>
            </w:r>
          </w:p>
        </w:tc>
        <w:tc>
          <w:tcPr>
            <w:tcW w:type="dxa" w:w="4802"/>
            <w:tcMar>
              <w:top w:w="60" w:type="dxa"/>
              <w:bottom w:w="60" w:type="dxa"/>
              <w:left w:w="80" w:type="dxa"/>
              <w:right w:w="80" w:type="dxa"/>
            </w:tcMar>
            <w:shd w:fill="EBF3FA"/>
          </w:tcPr>
          <w:p>
            <w:pPr>
              <w:spacing w:after="20" w:before="20" w:line="252" w:lineRule="auto"/>
            </w:pPr>
            <w:r>
              <w:rPr>
                <w:b/>
                <w:color w:val="003366"/>
                <w:sz w:val="19"/>
              </w:rPr>
              <w:t>Các dạng bài thi thường gặp</w:t>
            </w:r>
          </w:p>
        </w:tc>
      </w:tr>
      <w:tr>
        <w:trPr>
          <w:cantSplit/>
        </w:trPr>
        <w:tc>
          <w:tcPr>
            <w:tcW w:type="dxa" w:w="4802"/>
            <w:tcMar>
              <w:top w:w="60" w:type="dxa"/>
              <w:bottom w:w="60" w:type="dxa"/>
              <w:left w:w="80" w:type="dxa"/>
              <w:right w:w="80" w:type="dxa"/>
            </w:tcMar>
            <w:shd w:fill="F9FBFD"/>
          </w:tcPr>
          <w:p>
            <w:pPr>
              <w:spacing w:after="20" w:before="20" w:line="252" w:lineRule="auto"/>
            </w:pPr>
            <w:r>
              <w:rPr>
                <w:sz w:val="19"/>
              </w:rPr>
              <w:t>Writing Task 1 (Báo cáo số liệu)</w:t>
            </w:r>
          </w:p>
        </w:tc>
        <w:tc>
          <w:tcPr>
            <w:tcW w:type="dxa" w:w="4802"/>
            <w:tcMar>
              <w:top w:w="60" w:type="dxa"/>
              <w:bottom w:w="60" w:type="dxa"/>
              <w:left w:w="80" w:type="dxa"/>
              <w:right w:w="80" w:type="dxa"/>
            </w:tcMar>
            <w:shd w:fill="F9FBFD"/>
          </w:tcPr>
          <w:p>
            <w:pPr>
              <w:spacing w:after="20" w:before="20" w:line="252" w:lineRule="auto"/>
            </w:pPr>
            <w:r>
              <w:rPr>
                <w:sz w:val="19"/>
              </w:rPr>
              <w:t>Thí sinh cần phân tích, tổng hợp và mô tả thông tin từ một hoặc nhiều biểu đồ (Line chart, Bar chart, Pie chart), bảng dữ liệu (Table), sơ đồ quy trình (Process) hoặc bản đồ (Map).</w:t>
            </w:r>
          </w:p>
        </w:tc>
      </w:tr>
      <w:tr>
        <w:trPr>
          <w:cantSplit/>
        </w:trPr>
        <w:tc>
          <w:tcPr>
            <w:tcW w:type="dxa" w:w="4802"/>
            <w:tcMar>
              <w:top w:w="60" w:type="dxa"/>
              <w:bottom w:w="60" w:type="dxa"/>
              <w:left w:w="80" w:type="dxa"/>
              <w:right w:w="80" w:type="dxa"/>
            </w:tcMar>
          </w:tcPr>
          <w:p>
            <w:pPr>
              <w:spacing w:after="20" w:before="20" w:line="252" w:lineRule="auto"/>
            </w:pPr>
            <w:r>
              <w:rPr>
                <w:sz w:val="19"/>
              </w:rPr>
              <w:t>Writing Task 2 (Bài luận nghị luận)</w:t>
            </w:r>
          </w:p>
        </w:tc>
        <w:tc>
          <w:tcPr>
            <w:tcW w:type="dxa" w:w="4802"/>
            <w:tcMar>
              <w:top w:w="60" w:type="dxa"/>
              <w:bottom w:w="60" w:type="dxa"/>
              <w:left w:w="80" w:type="dxa"/>
              <w:right w:w="80" w:type="dxa"/>
            </w:tcMar>
          </w:tcPr>
          <w:p>
            <w:pPr>
              <w:spacing w:after="20" w:before="20" w:line="252" w:lineRule="auto"/>
            </w:pPr>
            <w:r>
              <w:rPr>
                <w:sz w:val="19"/>
              </w:rPr>
              <w:t>Viết một bài luận học thuật phản hồi lại một quan điểm, lập luận hoặc một vấn đề xã hội. Thí sinh phải đưa ra góc nhìn rõ ràng, lập luận chặt chẽ và ví dụ minh họa.</w:t>
            </w:r>
          </w:p>
        </w:tc>
      </w:tr>
    </w:tbl>
    <w:p>
      <w:pPr>
        <w:spacing w:after="160"/>
      </w:pPr>
    </w:p>
    <w:p>
      <w:pPr>
        <w:keepNext/>
        <w:spacing w:before="240" w:after="80"/>
      </w:pPr>
      <w:r>
        <w:rPr>
          <w:b/>
          <w:color w:val="232D41"/>
          <w:sz w:val="26"/>
        </w:rPr>
        <w:t>Cấu trúc đề IELTS General Training Writing</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4802"/>
        <w:gridCol w:w="4802"/>
      </w:tblGrid>
      <w:tr>
        <w:trPr>
          <w:cantSplit/>
          <w:tblHeader/>
        </w:trPr>
        <w:tc>
          <w:tcPr>
            <w:tcW w:type="dxa" w:w="4802"/>
            <w:tcMar>
              <w:top w:w="60" w:type="dxa"/>
              <w:bottom w:w="60" w:type="dxa"/>
              <w:left w:w="80" w:type="dxa"/>
              <w:right w:w="80" w:type="dxa"/>
            </w:tcMar>
            <w:shd w:fill="EBF3FA"/>
          </w:tcPr>
          <w:p>
            <w:pPr>
              <w:spacing w:after="20" w:before="20" w:line="252" w:lineRule="auto"/>
            </w:pPr>
            <w:r>
              <w:rPr>
                <w:b/>
                <w:color w:val="003366"/>
                <w:sz w:val="19"/>
              </w:rPr>
              <w:t>Dạng bài</w:t>
            </w:r>
          </w:p>
        </w:tc>
        <w:tc>
          <w:tcPr>
            <w:tcW w:type="dxa" w:w="4802"/>
            <w:tcMar>
              <w:top w:w="60" w:type="dxa"/>
              <w:bottom w:w="60" w:type="dxa"/>
              <w:left w:w="80" w:type="dxa"/>
              <w:right w:w="80" w:type="dxa"/>
            </w:tcMar>
            <w:shd w:fill="EBF3FA"/>
          </w:tcPr>
          <w:p>
            <w:pPr>
              <w:spacing w:after="20" w:before="20" w:line="252" w:lineRule="auto"/>
            </w:pPr>
            <w:r>
              <w:rPr>
                <w:b/>
                <w:color w:val="003366"/>
                <w:sz w:val="19"/>
              </w:rPr>
              <w:t>Các dạng bài thi thường gặp</w:t>
            </w:r>
          </w:p>
        </w:tc>
      </w:tr>
      <w:tr>
        <w:trPr>
          <w:cantSplit/>
        </w:trPr>
        <w:tc>
          <w:tcPr>
            <w:tcW w:type="dxa" w:w="4802"/>
            <w:tcMar>
              <w:top w:w="60" w:type="dxa"/>
              <w:bottom w:w="60" w:type="dxa"/>
              <w:left w:w="80" w:type="dxa"/>
              <w:right w:w="80" w:type="dxa"/>
            </w:tcMar>
            <w:shd w:fill="F9FBFD"/>
          </w:tcPr>
          <w:p>
            <w:pPr>
              <w:spacing w:after="20" w:before="20" w:line="252" w:lineRule="auto"/>
            </w:pPr>
            <w:r>
              <w:rPr>
                <w:sz w:val="19"/>
              </w:rPr>
              <w:t>Writing Task 1 (Viết thư)</w:t>
            </w:r>
          </w:p>
        </w:tc>
        <w:tc>
          <w:tcPr>
            <w:tcW w:type="dxa" w:w="4802"/>
            <w:tcMar>
              <w:top w:w="60" w:type="dxa"/>
              <w:bottom w:w="60" w:type="dxa"/>
              <w:left w:w="80" w:type="dxa"/>
              <w:right w:w="80" w:type="dxa"/>
            </w:tcMar>
            <w:shd w:fill="F9FBFD"/>
          </w:tcPr>
          <w:p>
            <w:pPr>
              <w:spacing w:after="20" w:before="20" w:line="252" w:lineRule="auto"/>
            </w:pPr>
            <w:r>
              <w:rPr>
                <w:sz w:val="19"/>
              </w:rPr>
              <w:t>Viết một bức thư để giải quyết một tình huống thực tế trong đời sống (như khiếu nại dịch vụ, xin nghỉ phép, gửi lời cảm ơn hoặc hỏi thông tin). Thư có thể theo văn phong Trang trọng (Formal), Bán trang trọng (Semi-formal) hoặc Thân mật (Informal).</w:t>
            </w:r>
          </w:p>
        </w:tc>
      </w:tr>
      <w:tr>
        <w:trPr>
          <w:cantSplit/>
        </w:trPr>
        <w:tc>
          <w:tcPr>
            <w:tcW w:type="dxa" w:w="4802"/>
            <w:tcMar>
              <w:top w:w="60" w:type="dxa"/>
              <w:bottom w:w="60" w:type="dxa"/>
              <w:left w:w="80" w:type="dxa"/>
              <w:right w:w="80" w:type="dxa"/>
            </w:tcMar>
          </w:tcPr>
          <w:p>
            <w:pPr>
              <w:spacing w:after="20" w:before="20" w:line="252" w:lineRule="auto"/>
            </w:pPr>
            <w:r>
              <w:rPr>
                <w:sz w:val="19"/>
              </w:rPr>
              <w:t>Writing Task 2 (Bài luận xã hội)</w:t>
            </w:r>
          </w:p>
        </w:tc>
        <w:tc>
          <w:tcPr>
            <w:tcW w:type="dxa" w:w="4802"/>
            <w:tcMar>
              <w:top w:w="60" w:type="dxa"/>
              <w:bottom w:w="60" w:type="dxa"/>
              <w:left w:w="80" w:type="dxa"/>
              <w:right w:w="80" w:type="dxa"/>
            </w:tcMar>
          </w:tcPr>
          <w:p>
            <w:pPr>
              <w:spacing w:after="20" w:before="20" w:line="252" w:lineRule="auto"/>
            </w:pPr>
            <w:r>
              <w:rPr>
                <w:sz w:val="19"/>
              </w:rPr>
              <w:t>Viết một bài luận nghị luận về một chủ đề đời sống chung.</w:t>
            </w:r>
          </w:p>
        </w:tc>
      </w:tr>
    </w:tbl>
    <w:p>
      <w:pPr>
        <w:spacing w:after="160"/>
      </w:pPr>
    </w:p>
    <w:p>
      <w:pPr>
        <w:keepNext/>
        <w:spacing w:before="240" w:after="80"/>
      </w:pPr>
      <w:r>
        <w:rPr>
          <w:b/>
          <w:color w:val="232D41"/>
          <w:sz w:val="26"/>
        </w:rPr>
        <w:t>Tiêu chí chấm điểm IELTS Writing</w:t>
      </w:r>
    </w:p>
    <w:p>
      <w:pPr>
        <w:spacing w:after="120" w:line="276" w:lineRule="auto"/>
      </w:pPr>
      <w:r>
        <w:t>Bài thi Writing được giám khảo chấm dựa trên 4 tiêu chí, mỗi tiêu chí chiếm 25% tổng điểm:</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4802"/>
        <w:gridCol w:w="4802"/>
      </w:tblGrid>
      <w:tr>
        <w:trPr>
          <w:cantSplit/>
          <w:tblHeader/>
        </w:trPr>
        <w:tc>
          <w:tcPr>
            <w:tcW w:type="dxa" w:w="4802"/>
            <w:tcMar>
              <w:top w:w="60" w:type="dxa"/>
              <w:bottom w:w="60" w:type="dxa"/>
              <w:left w:w="80" w:type="dxa"/>
              <w:right w:w="80" w:type="dxa"/>
            </w:tcMar>
            <w:shd w:fill="EBF3FA"/>
          </w:tcPr>
          <w:p>
            <w:pPr>
              <w:spacing w:after="20" w:before="20" w:line="252" w:lineRule="auto"/>
            </w:pPr>
            <w:r>
              <w:rPr>
                <w:b/>
                <w:color w:val="003366"/>
                <w:sz w:val="19"/>
              </w:rPr>
              <w:t>Tiêu chí</w:t>
            </w:r>
          </w:p>
        </w:tc>
        <w:tc>
          <w:tcPr>
            <w:tcW w:type="dxa" w:w="4802"/>
            <w:tcMar>
              <w:top w:w="60" w:type="dxa"/>
              <w:bottom w:w="60" w:type="dxa"/>
              <w:left w:w="80" w:type="dxa"/>
              <w:right w:w="80" w:type="dxa"/>
            </w:tcMar>
            <w:shd w:fill="EBF3FA"/>
          </w:tcPr>
          <w:p>
            <w:pPr>
              <w:spacing w:after="20" w:before="20" w:line="252" w:lineRule="auto"/>
            </w:pPr>
            <w:r>
              <w:rPr>
                <w:b/>
                <w:color w:val="003366"/>
                <w:sz w:val="19"/>
              </w:rPr>
              <w:t>Nội dung đánh giá</w:t>
            </w:r>
          </w:p>
        </w:tc>
      </w:tr>
      <w:tr>
        <w:trPr>
          <w:cantSplit/>
        </w:trPr>
        <w:tc>
          <w:tcPr>
            <w:tcW w:type="dxa" w:w="4802"/>
            <w:tcMar>
              <w:top w:w="60" w:type="dxa"/>
              <w:bottom w:w="60" w:type="dxa"/>
              <w:left w:w="80" w:type="dxa"/>
              <w:right w:w="80" w:type="dxa"/>
            </w:tcMar>
            <w:shd w:fill="F9FBFD"/>
          </w:tcPr>
          <w:p>
            <w:pPr>
              <w:spacing w:after="20" w:before="20" w:line="252" w:lineRule="auto"/>
            </w:pPr>
            <w:r>
              <w:rPr>
                <w:sz w:val="19"/>
              </w:rPr>
              <w:t>Task Achievement / Task Response</w:t>
            </w:r>
          </w:p>
        </w:tc>
        <w:tc>
          <w:tcPr>
            <w:tcW w:type="dxa" w:w="4802"/>
            <w:tcMar>
              <w:top w:w="60" w:type="dxa"/>
              <w:bottom w:w="60" w:type="dxa"/>
              <w:left w:w="80" w:type="dxa"/>
              <w:right w:w="80" w:type="dxa"/>
            </w:tcMar>
            <w:shd w:fill="F9FBFD"/>
          </w:tcPr>
          <w:p>
            <w:pPr>
              <w:spacing w:after="20" w:before="20" w:line="252" w:lineRule="auto"/>
            </w:pPr>
            <w:r>
              <w:rPr>
                <w:sz w:val="19"/>
              </w:rPr>
              <w:t>Trả lời đầy đủ các yêu cầu đề bài. Đưa ra quan điểm rõ ràng xuyên suốt bài và triển khai ý tưởng sâu sắc.</w:t>
            </w:r>
          </w:p>
        </w:tc>
      </w:tr>
      <w:tr>
        <w:trPr>
          <w:cantSplit/>
        </w:trPr>
        <w:tc>
          <w:tcPr>
            <w:tcW w:type="dxa" w:w="4802"/>
            <w:tcMar>
              <w:top w:w="60" w:type="dxa"/>
              <w:bottom w:w="60" w:type="dxa"/>
              <w:left w:w="80" w:type="dxa"/>
              <w:right w:w="80" w:type="dxa"/>
            </w:tcMar>
          </w:tcPr>
          <w:p>
            <w:pPr>
              <w:spacing w:after="20" w:before="20" w:line="252" w:lineRule="auto"/>
            </w:pPr>
            <w:r>
              <w:rPr>
                <w:sz w:val="19"/>
              </w:rPr>
              <w:t>Coherence and Cohesion</w:t>
            </w:r>
          </w:p>
        </w:tc>
        <w:tc>
          <w:tcPr>
            <w:tcW w:type="dxa" w:w="4802"/>
            <w:tcMar>
              <w:top w:w="60" w:type="dxa"/>
              <w:bottom w:w="60" w:type="dxa"/>
              <w:left w:w="80" w:type="dxa"/>
              <w:right w:w="80" w:type="dxa"/>
            </w:tcMar>
          </w:tcPr>
          <w:p>
            <w:pPr>
              <w:spacing w:after="20" w:before="20" w:line="252" w:lineRule="auto"/>
            </w:pPr>
            <w:r>
              <w:rPr>
                <w:sz w:val="19"/>
              </w:rPr>
              <w:t>Khả năng sắp xếp ý tưởng logic, phân đoạn rõ ràng; sử dụng từ nối (cohesive devices) tự nhiên.</w:t>
            </w:r>
          </w:p>
        </w:tc>
      </w:tr>
      <w:tr>
        <w:trPr>
          <w:cantSplit/>
        </w:trPr>
        <w:tc>
          <w:tcPr>
            <w:tcW w:type="dxa" w:w="4802"/>
            <w:tcMar>
              <w:top w:w="60" w:type="dxa"/>
              <w:bottom w:w="60" w:type="dxa"/>
              <w:left w:w="80" w:type="dxa"/>
              <w:right w:w="80" w:type="dxa"/>
            </w:tcMar>
            <w:shd w:fill="F9FBFD"/>
          </w:tcPr>
          <w:p>
            <w:pPr>
              <w:spacing w:after="20" w:before="20" w:line="252" w:lineRule="auto"/>
            </w:pPr>
            <w:r>
              <w:rPr>
                <w:sz w:val="19"/>
              </w:rPr>
              <w:t>Lexical Resource</w:t>
            </w:r>
          </w:p>
        </w:tc>
        <w:tc>
          <w:tcPr>
            <w:tcW w:type="dxa" w:w="4802"/>
            <w:tcMar>
              <w:top w:w="60" w:type="dxa"/>
              <w:bottom w:w="60" w:type="dxa"/>
              <w:left w:w="80" w:type="dxa"/>
              <w:right w:w="80" w:type="dxa"/>
            </w:tcMar>
            <w:shd w:fill="F9FBFD"/>
          </w:tcPr>
          <w:p>
            <w:pPr>
              <w:spacing w:after="20" w:before="20" w:line="252" w:lineRule="auto"/>
            </w:pPr>
            <w:r>
              <w:rPr>
                <w:sz w:val="19"/>
              </w:rPr>
              <w:t>Sử dụng từ vựng đa dạng, chính xác ngữ cảnh; linh hoạt trong paraphrase; kiểm soát tốt chính tả.</w:t>
            </w:r>
          </w:p>
        </w:tc>
      </w:tr>
      <w:tr>
        <w:trPr>
          <w:cantSplit/>
        </w:trPr>
        <w:tc>
          <w:tcPr>
            <w:tcW w:type="dxa" w:w="4802"/>
            <w:tcMar>
              <w:top w:w="60" w:type="dxa"/>
              <w:bottom w:w="60" w:type="dxa"/>
              <w:left w:w="80" w:type="dxa"/>
              <w:right w:w="80" w:type="dxa"/>
            </w:tcMar>
          </w:tcPr>
          <w:p>
            <w:pPr>
              <w:spacing w:after="20" w:before="20" w:line="252" w:lineRule="auto"/>
            </w:pPr>
            <w:r>
              <w:rPr>
                <w:sz w:val="19"/>
              </w:rPr>
              <w:t>Grammatical Range and Accuracy</w:t>
            </w:r>
          </w:p>
        </w:tc>
        <w:tc>
          <w:tcPr>
            <w:tcW w:type="dxa" w:w="4802"/>
            <w:tcMar>
              <w:top w:w="60" w:type="dxa"/>
              <w:bottom w:w="60" w:type="dxa"/>
              <w:left w:w="80" w:type="dxa"/>
              <w:right w:w="80" w:type="dxa"/>
            </w:tcMar>
          </w:tcPr>
          <w:p>
            <w:pPr>
              <w:spacing w:after="20" w:before="20" w:line="252" w:lineRule="auto"/>
            </w:pPr>
            <w:r>
              <w:rPr>
                <w:sz w:val="19"/>
              </w:rPr>
              <w:t>Sử dụng kết hợp các cấu trúc câu đơn và câu phức linh hoạt; kiểm soát tốt ngữ pháp và dấu câu.</w:t>
            </w:r>
          </w:p>
        </w:tc>
      </w:tr>
    </w:tbl>
    <w:p>
      <w:pPr>
        <w:spacing w:after="160"/>
      </w:pPr>
    </w:p>
    <w:p>
      <w:pPr>
        <w:spacing w:after="120" w:line="276" w:lineRule="auto"/>
      </w:pPr>
      <w:r>
        <w:t xml:space="preserve">Xem thêm: </w:t>
      </w:r>
      <w:r>
        <w:rPr>
          <w:color w:val="0066CC"/>
          <w:u w:val="single"/>
        </w:rPr>
        <w:t>IELTS Writing band descriptors - Tiêu chí chấm IELTS Writing</w:t>
      </w:r>
      <w:r>
        <w:t xml:space="preserve"> </w:t>
      </w:r>
    </w:p>
    <w:p>
      <w:pPr>
        <w:keepNext/>
        <w:spacing w:before="320" w:after="120"/>
      </w:pPr>
      <w:r>
        <w:rPr>
          <w:b/>
          <w:color w:val="00529B"/>
          <w:sz w:val="30"/>
        </w:rPr>
        <w:t>6. Cấu trúc đề thi IELTS Speaking (Bài thi Nói)</w:t>
      </w:r>
    </w:p>
    <w:p>
      <w:pPr>
        <w:spacing w:after="120" w:line="276" w:lineRule="auto"/>
      </w:pPr>
      <w:r>
        <w:t xml:space="preserve">(Thời gian: tầm 15 phút) Bài thi </w:t>
      </w:r>
      <w:r>
        <w:rPr>
          <w:b/>
        </w:rPr>
        <w:t>IELTS Speaking kéo dài khoảng 11–14 phút</w:t>
      </w:r>
      <w:r>
        <w:t xml:space="preserve"> và là kỹ năng duy nhất được thực hiện dưới hình thức trao đổi 1-1 với giám khảo, trực tiếp tại phòng thi hoặc qua video call tại địa điểm thi. Cấu trúc, thời lượng và tiêu chí chấm Speaking hoàn toàn giống nhau đối với IELTS Academic và IELTS General Training. </w:t>
      </w:r>
    </w:p>
    <w:p>
      <w:pPr>
        <w:spacing w:before="160" w:after="80"/>
        <w:jc w:val="center"/>
      </w:pPr>
      <w:r>
        <w:drawing>
          <wp:inline xmlns:a="http://schemas.openxmlformats.org/drawingml/2006/main" xmlns:pic="http://schemas.openxmlformats.org/drawingml/2006/picture">
            <wp:extent cx="5669280" cy="365800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3658005"/>
                    </a:xfrm>
                    <a:prstGeom prst="rect"/>
                  </pic:spPr>
                </pic:pic>
              </a:graphicData>
            </a:graphic>
          </wp:inline>
        </w:drawing>
      </w:r>
    </w:p>
    <w:p>
      <w:pPr>
        <w:spacing w:after="200"/>
        <w:jc w:val="center"/>
      </w:pPr>
      <w:r>
        <w:rPr>
          <w:i/>
          <w:color w:val="6E6E6E"/>
          <w:sz w:val="18"/>
        </w:rPr>
        <w:t>Hình: Speaking test sections in IELTS test</w:t>
      </w:r>
    </w:p>
    <w:p>
      <w:pPr>
        <w:keepNext/>
        <w:spacing w:before="240" w:after="80"/>
      </w:pPr>
      <w:r>
        <w:rPr>
          <w:b/>
          <w:color w:val="232D41"/>
          <w:sz w:val="26"/>
        </w:rPr>
        <w:t>Cấu trúc bài thi IELTS Speaking</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3202"/>
        <w:gridCol w:w="3202"/>
        <w:gridCol w:w="3202"/>
      </w:tblGrid>
      <w:tr>
        <w:trPr>
          <w:cantSplit/>
          <w:tblHeader/>
        </w:trPr>
        <w:tc>
          <w:tcPr>
            <w:tcW w:type="dxa" w:w="3202"/>
            <w:tcMar>
              <w:top w:w="60" w:type="dxa"/>
              <w:bottom w:w="60" w:type="dxa"/>
              <w:left w:w="80" w:type="dxa"/>
              <w:right w:w="80" w:type="dxa"/>
            </w:tcMar>
            <w:shd w:fill="EBF3FA"/>
          </w:tcPr>
          <w:p>
            <w:pPr>
              <w:spacing w:after="20" w:before="20" w:line="252" w:lineRule="auto"/>
            </w:pPr>
            <w:r>
              <w:rPr>
                <w:b/>
                <w:color w:val="003366"/>
                <w:sz w:val="19"/>
              </w:rPr>
              <w:t>Part</w:t>
            </w:r>
          </w:p>
        </w:tc>
        <w:tc>
          <w:tcPr>
            <w:tcW w:type="dxa" w:w="3202"/>
            <w:tcMar>
              <w:top w:w="60" w:type="dxa"/>
              <w:bottom w:w="60" w:type="dxa"/>
              <w:left w:w="80" w:type="dxa"/>
              <w:right w:w="80" w:type="dxa"/>
            </w:tcMar>
            <w:shd w:fill="EBF3FA"/>
          </w:tcPr>
          <w:p>
            <w:pPr>
              <w:spacing w:after="20" w:before="20" w:line="252" w:lineRule="auto"/>
            </w:pPr>
            <w:r>
              <w:rPr>
                <w:b/>
                <w:color w:val="003366"/>
                <w:sz w:val="19"/>
              </w:rPr>
              <w:t>Thời gian</w:t>
            </w:r>
          </w:p>
        </w:tc>
        <w:tc>
          <w:tcPr>
            <w:tcW w:type="dxa" w:w="3202"/>
            <w:tcMar>
              <w:top w:w="60" w:type="dxa"/>
              <w:bottom w:w="60" w:type="dxa"/>
              <w:left w:w="80" w:type="dxa"/>
              <w:right w:w="80" w:type="dxa"/>
            </w:tcMar>
            <w:shd w:fill="EBF3FA"/>
          </w:tcPr>
          <w:p>
            <w:pPr>
              <w:spacing w:after="20" w:before="20" w:line="252" w:lineRule="auto"/>
            </w:pPr>
            <w:r>
              <w:rPr>
                <w:b/>
                <w:color w:val="003366"/>
                <w:sz w:val="19"/>
              </w:rPr>
              <w:t>Nội dung và format bài thi</w:t>
            </w:r>
          </w:p>
        </w:tc>
      </w:tr>
      <w:tr>
        <w:trPr>
          <w:cantSplit/>
        </w:trPr>
        <w:tc>
          <w:tcPr>
            <w:tcW w:type="dxa" w:w="3202"/>
            <w:tcMar>
              <w:top w:w="60" w:type="dxa"/>
              <w:bottom w:w="60" w:type="dxa"/>
              <w:left w:w="80" w:type="dxa"/>
              <w:right w:w="80" w:type="dxa"/>
            </w:tcMar>
            <w:shd w:fill="F9FBFD"/>
          </w:tcPr>
          <w:p>
            <w:pPr>
              <w:spacing w:after="20" w:before="20" w:line="252" w:lineRule="auto"/>
            </w:pPr>
            <w:r>
              <w:rPr>
                <w:sz w:val="19"/>
              </w:rPr>
              <w:t>Speaking Part 1: Introduction &amp; Interview</w:t>
            </w:r>
          </w:p>
        </w:tc>
        <w:tc>
          <w:tcPr>
            <w:tcW w:type="dxa" w:w="3202"/>
            <w:tcMar>
              <w:top w:w="60" w:type="dxa"/>
              <w:bottom w:w="60" w:type="dxa"/>
              <w:left w:w="80" w:type="dxa"/>
              <w:right w:w="80" w:type="dxa"/>
            </w:tcMar>
            <w:shd w:fill="F9FBFD"/>
          </w:tcPr>
          <w:p>
            <w:pPr>
              <w:spacing w:after="20" w:before="20" w:line="252" w:lineRule="auto"/>
            </w:pPr>
            <w:r>
              <w:rPr>
                <w:sz w:val="19"/>
              </w:rPr>
              <w:t>4 – 5 phút</w:t>
            </w:r>
          </w:p>
        </w:tc>
        <w:tc>
          <w:tcPr>
            <w:tcW w:type="dxa" w:w="3202"/>
            <w:tcMar>
              <w:top w:w="60" w:type="dxa"/>
              <w:bottom w:w="60" w:type="dxa"/>
              <w:left w:w="80" w:type="dxa"/>
              <w:right w:w="80" w:type="dxa"/>
            </w:tcMar>
            <w:shd w:fill="F9FBFD"/>
          </w:tcPr>
          <w:p>
            <w:pPr>
              <w:spacing w:after="20" w:before="20" w:line="252" w:lineRule="auto"/>
            </w:pPr>
            <w:r>
              <w:rPr>
                <w:sz w:val="19"/>
              </w:rPr>
              <w:t>Câu hỏi về bản thân và chủ đề quen thuộc hàng ngày như gia đình, công việc, học tập, sở thích, quê hương.</w:t>
            </w:r>
          </w:p>
        </w:tc>
      </w:tr>
      <w:tr>
        <w:trPr>
          <w:cantSplit/>
        </w:trPr>
        <w:tc>
          <w:tcPr>
            <w:tcW w:type="dxa" w:w="3202"/>
            <w:tcMar>
              <w:top w:w="60" w:type="dxa"/>
              <w:bottom w:w="60" w:type="dxa"/>
              <w:left w:w="80" w:type="dxa"/>
              <w:right w:w="80" w:type="dxa"/>
            </w:tcMar>
          </w:tcPr>
          <w:p>
            <w:pPr>
              <w:spacing w:after="20" w:before="20" w:line="252" w:lineRule="auto"/>
            </w:pPr>
            <w:r>
              <w:rPr>
                <w:sz w:val="19"/>
              </w:rPr>
              <w:t>Speaking Part 2: Individual Long Turn</w:t>
            </w:r>
          </w:p>
        </w:tc>
        <w:tc>
          <w:tcPr>
            <w:tcW w:type="dxa" w:w="3202"/>
            <w:tcMar>
              <w:top w:w="60" w:type="dxa"/>
              <w:bottom w:w="60" w:type="dxa"/>
              <w:left w:w="80" w:type="dxa"/>
              <w:right w:w="80" w:type="dxa"/>
            </w:tcMar>
          </w:tcPr>
          <w:p>
            <w:pPr>
              <w:spacing w:after="20" w:before="20" w:line="252" w:lineRule="auto"/>
            </w:pPr>
            <w:r>
              <w:rPr>
                <w:sz w:val="19"/>
              </w:rPr>
              <w:t>3 – 4 phút (gồm thời gian chuẩn bị)</w:t>
            </w:r>
          </w:p>
        </w:tc>
        <w:tc>
          <w:tcPr>
            <w:tcW w:type="dxa" w:w="3202"/>
            <w:tcMar>
              <w:top w:w="60" w:type="dxa"/>
              <w:bottom w:w="60" w:type="dxa"/>
              <w:left w:w="80" w:type="dxa"/>
              <w:right w:w="80" w:type="dxa"/>
            </w:tcMar>
          </w:tcPr>
          <w:p>
            <w:pPr>
              <w:spacing w:after="20" w:before="20" w:line="252" w:lineRule="auto"/>
            </w:pPr>
            <w:r>
              <w:rPr>
                <w:sz w:val="19"/>
              </w:rPr>
              <w:t>Thí sinh nhận một thẻ gợi ý (Cue Card) yêu cầu miêu tả một trải nghiệm, người, vật hoặc sự kiện. Thí sinh có 1 phút chuẩn bị và viết nháp, sau đó trình bày liên tục trong 1-2 phút.</w:t>
            </w:r>
          </w:p>
        </w:tc>
      </w:tr>
      <w:tr>
        <w:trPr>
          <w:cantSplit/>
        </w:trPr>
        <w:tc>
          <w:tcPr>
            <w:tcW w:type="dxa" w:w="3202"/>
            <w:tcMar>
              <w:top w:w="60" w:type="dxa"/>
              <w:bottom w:w="60" w:type="dxa"/>
              <w:left w:w="80" w:type="dxa"/>
              <w:right w:w="80" w:type="dxa"/>
            </w:tcMar>
            <w:shd w:fill="F9FBFD"/>
          </w:tcPr>
          <w:p>
            <w:pPr>
              <w:spacing w:after="20" w:before="20" w:line="252" w:lineRule="auto"/>
            </w:pPr>
            <w:r>
              <w:rPr>
                <w:sz w:val="19"/>
              </w:rPr>
              <w:t>Speaking Part 3: Two-way Discussion</w:t>
            </w:r>
          </w:p>
        </w:tc>
        <w:tc>
          <w:tcPr>
            <w:tcW w:type="dxa" w:w="3202"/>
            <w:tcMar>
              <w:top w:w="60" w:type="dxa"/>
              <w:bottom w:w="60" w:type="dxa"/>
              <w:left w:w="80" w:type="dxa"/>
              <w:right w:w="80" w:type="dxa"/>
            </w:tcMar>
            <w:shd w:fill="F9FBFD"/>
          </w:tcPr>
          <w:p>
            <w:pPr>
              <w:spacing w:after="20" w:before="20" w:line="252" w:lineRule="auto"/>
            </w:pPr>
            <w:r>
              <w:rPr>
                <w:sz w:val="19"/>
              </w:rPr>
              <w:t>4 – 5 phút</w:t>
            </w:r>
          </w:p>
        </w:tc>
        <w:tc>
          <w:tcPr>
            <w:tcW w:type="dxa" w:w="3202"/>
            <w:tcMar>
              <w:top w:w="60" w:type="dxa"/>
              <w:bottom w:w="60" w:type="dxa"/>
              <w:left w:w="80" w:type="dxa"/>
              <w:right w:w="80" w:type="dxa"/>
            </w:tcMar>
            <w:shd w:fill="F9FBFD"/>
          </w:tcPr>
          <w:p>
            <w:pPr>
              <w:spacing w:after="20" w:before="20" w:line="252" w:lineRule="auto"/>
            </w:pPr>
            <w:r>
              <w:rPr>
                <w:sz w:val="19"/>
              </w:rPr>
              <w:t>Giám khảo và thí sinh cùng thảo luận chuyên sâu về các vấn đề mang tính trừu tượng liên quan đến chủ đề ở Part 2. Yêu cầu thí sinh thể hiện tư duy phân tích, so sánh, dự đoán.</w:t>
            </w:r>
          </w:p>
        </w:tc>
      </w:tr>
    </w:tbl>
    <w:p>
      <w:pPr>
        <w:spacing w:after="160"/>
      </w:pPr>
    </w:p>
    <w:p>
      <w:pPr>
        <w:keepNext/>
        <w:spacing w:before="240" w:after="80"/>
      </w:pPr>
      <w:r>
        <w:rPr>
          <w:b/>
          <w:color w:val="232D41"/>
          <w:sz w:val="26"/>
        </w:rPr>
        <w:t>Tiêu chí chấm điểm IELTS Speaking</w:t>
      </w:r>
    </w:p>
    <w:p>
      <w:pPr>
        <w:spacing w:after="120" w:line="276" w:lineRule="auto"/>
      </w:pPr>
      <w:r>
        <w:t>Bài thi IELTS Speaking được đánh giá dựa trên bốn tiêu chí, mỗi tiêu chí chiếm 25% tổng điểm</w:t>
      </w:r>
    </w:p>
    <w:p>
      <w:pPr>
        <w:pStyle w:val="ListBullet"/>
        <w:spacing w:after="60" w:line="276" w:lineRule="auto"/>
      </w:pPr>
      <w:r>
        <w:rPr>
          <w:b/>
        </w:rPr>
        <w:t>Fluency and Coherence – Độ trôi chảy và mạch lạc:</w:t>
      </w:r>
      <w:r>
        <w:t xml:space="preserve"> Khả năng duy trì câu trả lời, sắp xếp ý hợp lý và sử dụng từ nối tự nhiên. Việc ngập ngừng để suy nghĩ vẫn được chấp nhận, miễn không làm gián đoạn mạch nói quá nhiều.</w:t>
      </w:r>
    </w:p>
    <w:p>
      <w:pPr>
        <w:pStyle w:val="ListBullet"/>
        <w:spacing w:after="60" w:line="276" w:lineRule="auto"/>
      </w:pPr>
      <w:r>
        <w:rPr>
          <w:b/>
        </w:rPr>
        <w:t>Lexical Resource – Vốn từ vựng:</w:t>
      </w:r>
      <w:r>
        <w:t xml:space="preserve"> Khả năng sử dụng từ vựng đa dạng, đúng nghĩa và phù hợp với ngữ cảnh. Thí sinh cũng cần biết diễn đạt lại ý khi không nhớ chính xác một từ; không bắt buộc phải dùng nhiều thành ngữ nếu chưa chắc cách dùng.</w:t>
      </w:r>
    </w:p>
    <w:p>
      <w:pPr>
        <w:pStyle w:val="ListBullet"/>
        <w:spacing w:after="60" w:line="276" w:lineRule="auto"/>
      </w:pPr>
      <w:r>
        <w:rPr>
          <w:b/>
        </w:rPr>
        <w:t>Grammatical Range and Accuracy – Độ đa dạng và chính xác của ngữ pháp:</w:t>
      </w:r>
      <w:r>
        <w:t xml:space="preserve"> Khả năng kết hợp câu đơn, câu ghép và câu phức, đồng thời kiểm soát tốt thì, cấu trúc câu và các lỗi ngữ pháp.</w:t>
      </w:r>
    </w:p>
    <w:p>
      <w:pPr>
        <w:pStyle w:val="ListBullet"/>
        <w:spacing w:after="60" w:line="276" w:lineRule="auto"/>
      </w:pPr>
      <w:r>
        <w:rPr>
          <w:b/>
        </w:rPr>
        <w:t>Pronunciation – Phát âm:</w:t>
      </w:r>
      <w:r>
        <w:t xml:space="preserve"> Khả năng phát âm rõ ràng để người nghe dễ hiểu, bao gồm âm cuối, trọng âm từ, trọng âm câu, ngữ điệu và cách nối âm. Thí sinh không cần nói theo một giọng bản xứ cụ thể.</w:t>
      </w:r>
    </w:p>
    <w:p>
      <w:pPr>
        <w:spacing w:after="120" w:line="276" w:lineRule="auto"/>
      </w:pPr>
      <w:r>
        <w:t xml:space="preserve">Xem thêm: </w:t>
      </w:r>
      <w:r>
        <w:rPr>
          <w:color w:val="0066CC"/>
          <w:u w:val="single"/>
        </w:rPr>
        <w:t>IELTS Speaking band descriptors - Tiêu chí chấm IELTS Speaking</w:t>
      </w:r>
      <w:r>
        <w:t xml:space="preserve"> </w:t>
      </w:r>
    </w:p>
    <w:p>
      <w:pPr>
        <w:keepNext/>
        <w:spacing w:before="320" w:after="120"/>
      </w:pPr>
      <w:r>
        <w:rPr>
          <w:b/>
          <w:color w:val="00529B"/>
          <w:sz w:val="30"/>
        </w:rPr>
        <w:t>Nắm rõ cấu trúc đề thi IELTS để ôn tập đúng trọng tâm</w:t>
      </w:r>
    </w:p>
    <w:p>
      <w:pPr>
        <w:spacing w:after="120" w:line="276" w:lineRule="auto"/>
      </w:pPr>
      <w:r>
        <w:t xml:space="preserve">Nắm vững </w:t>
      </w:r>
      <w:r>
        <w:rPr>
          <w:b/>
        </w:rPr>
        <w:t>cấu trúc bài thi IELTS</w:t>
      </w:r>
      <w:r>
        <w:t xml:space="preserve"> giúp bạn hiểu rõ yêu cầu của từng kỹ năng, phân bổ thời gian hợp lý và tránh ôn lệch trọng tâm. Khi biết mình sẽ gặp những dạng câu hỏi nào trong Listening, Reading, Writing và Speaking, bạn có thể xây dựng kế hoạch luyện tập sát hơn với mục tiêu band điểm.</w:t>
      </w:r>
    </w:p>
    <w:p>
      <w:pPr>
        <w:spacing w:after="120" w:line="276" w:lineRule="auto"/>
      </w:pPr>
      <w:r>
        <w:t>Để chuẩn bị hiệu quả, hãy kết hợp luyện đề, xem lại tiêu chí chấm điểm và trải nghiệm thi thử IELTS để làm quen với áp lực thời gian trước kỳ thi chính thức.</w:t>
      </w:r>
    </w:p>
    <w:p>
      <w:pPr>
        <w:spacing w:after="120" w:line="276" w:lineRule="auto"/>
      </w:pPr>
      <w:r>
        <w:t xml:space="preserve">Để tham khảo tài liệu luyện thi IELTS, vui lòng xem </w:t>
      </w:r>
      <w:r>
        <w:rPr>
          <w:color w:val="0066CC"/>
          <w:u w:val="single"/>
        </w:rPr>
        <w:t>tại đây</w:t>
      </w:r>
      <w:r>
        <w:t>.</w:t>
      </w:r>
    </w:p>
    <w:p>
      <w:pPr>
        <w:spacing w:after="120" w:line="276" w:lineRule="auto"/>
      </w:pPr>
      <w:r>
        <w:t>Bài viết cùng chủ đề:</w:t>
      </w:r>
    </w:p>
    <w:p>
      <w:pPr>
        <w:pStyle w:val="ListBullet"/>
        <w:spacing w:after="60" w:line="276" w:lineRule="auto"/>
      </w:pPr>
      <w:r>
        <w:rPr>
          <w:color w:val="0066CC"/>
          <w:u w:val="single"/>
        </w:rPr>
        <w:t>Đăng ký thi IELTS</w:t>
      </w:r>
    </w:p>
    <w:p>
      <w:pPr>
        <w:pStyle w:val="ListBullet"/>
        <w:spacing w:after="60" w:line="276" w:lineRule="auto"/>
      </w:pPr>
      <w:r>
        <w:rPr>
          <w:color w:val="0066CC"/>
          <w:u w:val="single"/>
        </w:rPr>
        <w:t>Cách tính điểm IELTS 4 kỹ năng</w:t>
      </w:r>
    </w:p>
    <w:p>
      <w:pPr>
        <w:pStyle w:val="ListBullet"/>
        <w:spacing w:after="60" w:line="276" w:lineRule="auto"/>
      </w:pPr>
      <w:r>
        <w:rPr>
          <w:color w:val="0066CC"/>
          <w:u w:val="single"/>
        </w:rPr>
        <w:t>IELTS One Skill Retake - Thi lại 1 kỹ năng tối ưu điểm</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