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aps/>
          <w:color w:val="1A1A1A"/>
          <w:sz w:val="40"/>
          <w:szCs w:val="40"/>
        </w:rPr>
        <w:t xml:space="preserve">RELATÓRIO EXECUTIVO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Panorama Competitivo do Mercado Financeiro Brasileiro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Período: 2024T1 – 2025T4  |  Fonte: IF.data / Banco Central do Brasil</w:t>
      </w:r>
    </w:p>
    <w:p>
      <w:pPr>
        <w:pBdr>
          <w:bottom w:val="single" w:color="333333" w:sz="6" w:space="1"/>
        </w:pBdr>
        <w:spacing w:after="120" w:before="120"/>
      </w:pPr>
      <w: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Elaborado por: Carlos Armando Munhoz Vilela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linkedin.com/in/carlos-armando-munhoz-vilela-3bba22357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github.com/MunhozAR/panorama-financeiro-br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Maio de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Sumário Executivo</w:t>
      </w:r>
    </w:p>
    <w:p>
      <w:pPr>
        <w:pBdr>
          <w:bottom w:val="single" w:color="333333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relatório analisa o desempenho competitivo de 10 instituições financeiras brasileiras ao longo de 8 trimestres (2024T1–2025T4), com base em dados públicos do Banco Central do Brasil (IF.data). As instituições foram segmentadas em três grupos: bancos tradicionais (Itaú, Bradesco, Banco do Brasil, Santander), bancos digitais (Nubank, C6 Bank, Inter) e fintechs de pagamento (PagBank, Mercado Pago, PicPay).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achados revelam uma transformação estrutural em curso: bancos digitais superam os tradicionais em eficiência de capital e ritmo de crescimento, enquanto os bancões ainda dominam em escala absoluta. Fintechs de pagamento crescem rapidamente mas ainda buscam rentabilidade estrutural.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Contexto de Mercado</w:t>
      </w:r>
    </w:p>
    <w:p>
      <w:pPr>
        <w:pBdr>
          <w:bottom w:val="single" w:color="333333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financeiro brasileiro passou por transformação acelerada desde 2018, quando o Banco Central ampliou o acesso a licenças bancárias para instituições digitais e lançou o PIX. Entre 2020 e 2025, o número de contas digitais no Brasil cresceu de 15 milhões para mais de 80 milhões. Nesse cenário, o Nubank se tornou o maior banco digital do mundo por número de clientes, e o C6 Bank e o Inter consolidaram posições relevantes no mercado de pessoa física e PME.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bancões tradicionais responderam com investimentos massivos em tecnologia e aquisições — mas os dados mostram que a eficiência operacional ainda é vantagem estrutural dos digitais.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Insight 1 — Eficiência de Capital: Digitais Lideram com Consistência</w:t>
      </w:r>
    </w:p>
    <w:p>
      <w:pPr>
        <w:pBdr>
          <w:bottom w:val="single" w:color="333333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ROE (Return on Equity) mede quanto lucro uma instituição gera para cada real de patrimônio investido. Bancos digitais, sem agências físicas e com infraestrutura enxuta, apresentam ROE sistematicamente superior aos tradicionais ao longo de todos os 8 trimestres analisados.</w:t>
      </w:r>
    </w:p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156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ROE Médio (%)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ROE Mín.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ROE Máx.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Nubank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120,7%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68,2%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183,0%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C6 Bank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76,0%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45,1%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111,2%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Mercado Pago (Pgto.)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Fintech Pgto.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42,9%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99,2%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Itaú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Tradicional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31,2%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19,1%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46,9%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Santander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Tradicional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23,7%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14,0%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34,5%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Banco do Brasil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Tradicional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23,4%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42,1%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Bradesco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Tradicional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19,0%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28,6%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32,2%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PagBank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Fintech Pgto.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-4,9%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19,0%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PicPay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Fintech Pgto.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-11,6%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-59,1%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47,5%</w:t>
            </w:r>
          </w:p>
        </w:tc>
      </w:tr>
    </w:tbl>
    <w:p>
      <w:pPr>
        <w:spacing w:after="80" w:before="1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Nubank manteve ROE acima de 68% em todos os 8 trimestres analisados — não é resultado de um trimestre excepcional, mas eficiência estrutural consistente. A comparação direta no T4 2025 ilustra o contraste: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Itaú: R$ 205 bilhões de patrimônio para gerar R$ 24 bilhões em lucro (ROE 46,9%)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Nubank: R$ 13 bilhões de patrimônio para gerar R$ 5,7 bilhões em lucro (ROE 176,5%)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Nubank é 3,7x mais rentável sobre o patrimônio que o maior banco do Brasil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Insight 2 — Crescimento Assimétrico: Digitais Dobram, Bancões Estabilizam</w:t>
      </w:r>
    </w:p>
    <w:p>
      <w:pPr>
        <w:pBdr>
          <w:bottom w:val="single" w:color="333333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 8 trimestres, os bancos digitais apresentaram crescimento de ativos em ritmo 5 a 10 vezes superior aos tradicionais. Destaque para o crescimento do Mercado Pago, que lidera em percentual, e do Nubank, que quase dobrou de tamanho.</w:t>
      </w:r>
    </w:p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Ativo T4 2025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Crescimento (2 anos)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Mercado Pago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Fintech Pgto.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R$ 88 bi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+140,7%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Nubank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R$ 253 bi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+98,1%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C6 Bank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R$ 150 bi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+93,3%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PicPay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Fintech Pgto.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R$ 4 bi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+49,7%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R$ 100 bi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+57,1%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PagBank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Fintech Pgto.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R$ 5 bi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+42,0%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Bradesco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Tradicional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R$ 1,94 tri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+16,9%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Itaú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Tradicional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R$ 2,74 tri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+8,4%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Banco do Brasil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Tradicional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R$ 2,45 tri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+7,5%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Santander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Tradicional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R$ 1,28 tri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+7,6%</w:t>
            </w:r>
          </w:p>
        </w:tc>
      </w:tr>
    </w:tbl>
    <w:p>
      <w:pPr>
        <w:spacing w:after="80" w:before="1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Itaú e Santander apresentaram contração de ativos no comparativo anual (T4 2024 vs T4 2025: -0,9% e -6,4%, respectivamente). Em escala absoluta, os tradicionais ainda dominam (R$ 8,4 tri vs R$ 0,5 tri dos digitais), mas a trajetória é clara e consistente.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Insight 3 — Fintechs de Pagamento: Crescimento sem Rentabilidade Estável</w:t>
      </w:r>
    </w:p>
    <w:p>
      <w:pPr>
        <w:pBdr>
          <w:bottom w:val="single" w:color="333333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PicPay registrou ROE médio negativo de -11,6% ao longo dos 5 trimestres analisados, com pior resultado no T4 2025 (-59,1%). O modelo de pagamentos enfrenta pressão de margens, custos de aquisição de clientes elevados e concorrência direta do PIX — que reduziu receitas de transação para todo o setor.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Mercado Pago apresenta perfil diferente: ROE médio de 42,9% mas com alta volatilidade (mín. 1,9% / máx. 99,2%), sugerindo modelo ainda em maturação. Em 2025T4, o Mercado Pago criou uma nova entidade financeira (IP - FINANCEIRO), sinalizando movimento estratégico para serviços bancários mais completos — um movimento relevante para monitorar nos próximos trimestres.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PagBank mantém ROE médio positivo de 8,3%, mas ainda abaixo do custo de capital típico do setor financeiro brasileiro (estimado entre 12% e 15%).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Validação das Hipóteses de Pesquisa</w:t>
      </w:r>
    </w:p>
    <w:p>
      <w:pPr>
        <w:pBdr>
          <w:bottom w:val="single" w:color="333333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H1 — Crescimento e rentabilidade caminham juntos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PARCIALMENTE CONFIRMADA. Nubank e C6 Bank apresentam simultaneamente alto crescimento (+93–98%) e alta rentabilidade (ROE 76–121%). Porém, PicPay e PagBank crescem sem rentabilidade equivalente, refutando a hipótese para fintechs de pagamento.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H2 — Eficiência operacional impacta rentabilidade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CONFIRMADA. Bancos sem agências físicas (Nubank, C6) têm ROE sistematicamente superior aos que mantêm estrutura física extensa. A correlação entre modelo operacional enxuto e ROE alto é consistente ao longo de todos os 8 trimestres analisados.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H3 — Experiência do cliente reflete performance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NÃO TESTADA COMPLETAMENTE. O ranking de reclamações do Bacen não foi incluído nesta versão por limitação de escopo. Fica como prioridade para versão futura do projeto.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Recomendação Estratégica</w:t>
      </w:r>
    </w:p>
    <w:p>
      <w:pPr>
        <w:pBdr>
          <w:bottom w:val="single" w:color="333333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instituições tradicionais, a ameaça dos digitais não está no tamanho atual (R$ 0,5 tri vs R$ 8,4 tri em ativos), mas na trajetória. Com crescimento de ~95% a cada 2 anos, os digitais podem alcançar paridade de escala em menos de uma década. A resposta deve ser aceleração digital estrutural com foco em três frentes:</w:t>
      </w:r>
    </w:p>
    <w:p>
      <w:pPr>
        <w:spacing w:after="6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Eficiência operacional: </w:t>
      </w:r>
      <w:r>
        <w:rPr>
          <w:rFonts w:ascii="Arial" w:cs="Arial" w:eastAsia="Arial" w:hAnsi="Arial"/>
          <w:sz w:val="22"/>
          <w:szCs w:val="22"/>
        </w:rPr>
        <w:t xml:space="preserve">redução de estrutura física e automação de processos para aproximar o índice de eficiência dos bancos digitais nativos.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Experiência do cliente: </w:t>
      </w:r>
      <w:r>
        <w:rPr>
          <w:rFonts w:ascii="Arial" w:cs="Arial" w:eastAsia="Arial" w:hAnsi="Arial"/>
          <w:sz w:val="22"/>
          <w:szCs w:val="22"/>
        </w:rPr>
        <w:t xml:space="preserve">investimento em UX e jornada digital para competir com a experiência dos bancos digitais nativos, especialmente em produto e onboarding.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Monetização de dados: </w:t>
      </w:r>
      <w:r>
        <w:rPr>
          <w:rFonts w:ascii="Arial" w:cs="Arial" w:eastAsia="Arial" w:hAnsi="Arial"/>
          <w:sz w:val="22"/>
          <w:szCs w:val="22"/>
        </w:rPr>
        <w:t xml:space="preserve">utilização da vantagem em volume de dados históricos para personalização de ofertas e precificação de risco mais precisa que os digitais ainda não possuem.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Limitações e Estudos Futuros</w:t>
      </w:r>
    </w:p>
    <w:p>
      <w:pPr>
        <w:pBdr>
          <w:bottom w:val="single" w:color="333333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Limitações desta análise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Carteira de Crédito disponível apenas para 2025T1–2025T4 (divergência de nomenclatura no IF.data)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Inter e Mercado Pago passaram por transições de razão social no período analisado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ROE anualizado calculado por projeção trimestral (lucro × 4) — pode não refletir sazonalidade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Análise baseada em dados consolidados — sem segmentação por produto ou região geográfica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H3 não testada: ranking de reclamações do Bacen não incluído nesta versão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Estudos futuros sugeridos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Incluir ranking de reclamações do Bacen para validação da Hipótese H3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Adicionar dados de inadimplência (NPL) e Índice de Basileia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Expandir para série histórica de 5 anos (2020–2025)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Incluir análise por segmento de produto (crédito, investimentos, seguros)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Comparar com benchmarks internacionais (Revolut, Chime, N26)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Metodologia e Fontes</w:t>
      </w:r>
    </w:p>
    <w:p>
      <w:pPr>
        <w:pBdr>
          <w:bottom w:val="single" w:color="333333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Fonte de dados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IF.data — Banco Central do Brasil (www3.bcb.gov.br/ifdata)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Seção "Dados a partir de 2025": trimestres 2025T1–2025T4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Seção "Dados de 2000 a 2024": trimestres 2024T1–2024T4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Tipo de instituição: Conglomerados Financeiros e Instituições Independentes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Relatório: Resumo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Ferramentas utilizadas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Python 3.x + pandas 2.3.3 — ETL, limpeza e análise exploratória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DuckDB — queries SQL analíticas documentadas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Power BI Desktop — dashboard interativo com 3 páginas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Matplotlib + Seaborn — visualizações estáticas para relatório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Repositório e contato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Repositório completo: github.com/MunhozAR/panorama-financeiro-br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LinkedIn: linkedin.com/in/carlos-armando-munhoz-vilela-3bba22357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Elaborado por: Carlos Armando Munhoz Vilela | Maio de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Panorama Competitivo do Mercado Financeiro Brasileiro  |  Carlos Armando Munhoz Vilela  |  Maio de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2026-05-15T13:00:33.270Z</dcterms:created>
  <dcterms:modified xsi:type="dcterms:W3CDTF">2026-05-15T13:00:33.289Z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