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CLAUSE COMPLIANCE ANALYSIS REPORT</w:t>
      </w:r>
    </w:p>
    <w:p>
      <w:pPr>
        <w:jc w:val="center"/>
      </w:pPr>
      <w:r>
        <w:rPr>
          <w:color w:val="6C757D"/>
          <w:sz w:val="18"/>
        </w:rPr>
        <w:t>Generated on 24 February 2026, 04:24 UTC</w:t>
      </w:r>
    </w:p>
    <w:p>
      <w:r>
        <w:t>________________________________________________________________________________</w:t>
      </w:r>
    </w:p>
    <w:p>
      <w:pPr>
        <w:pStyle w:val="Heading1"/>
      </w:pPr>
      <w:r>
        <w:t>Summary</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Total</w:t>
            </w:r>
          </w:p>
        </w:tc>
        <w:tc>
          <w:tcPr>
            <w:tcW w:type="dxa" w:w="2160"/>
          </w:tcPr>
          <w:p>
            <w:pPr>
              <w:jc w:val="center"/>
            </w:pPr>
            <w:r>
              <w:rPr>
                <w:b/>
                <w:sz w:val="18"/>
              </w:rPr>
              <w:t>Match</w:t>
            </w:r>
          </w:p>
        </w:tc>
        <w:tc>
          <w:tcPr>
            <w:tcW w:type="dxa" w:w="2160"/>
          </w:tcPr>
          <w:p>
            <w:pPr>
              <w:jc w:val="center"/>
            </w:pPr>
            <w:r>
              <w:rPr>
                <w:b/>
                <w:sz w:val="18"/>
              </w:rPr>
              <w:t>Violation</w:t>
            </w:r>
          </w:p>
        </w:tc>
        <w:tc>
          <w:tcPr>
            <w:tcW w:type="dxa" w:w="2160"/>
          </w:tcPr>
          <w:p>
            <w:pPr>
              <w:jc w:val="center"/>
            </w:pPr>
            <w:r>
              <w:rPr>
                <w:b/>
                <w:sz w:val="18"/>
              </w:rPr>
              <w:t>Not Found</w:t>
            </w:r>
          </w:p>
        </w:tc>
      </w:tr>
      <w:tr>
        <w:tc>
          <w:tcPr>
            <w:tcW w:type="dxa" w:w="2160"/>
          </w:tcPr>
          <w:p>
            <w:pPr>
              <w:jc w:val="center"/>
            </w:pPr>
            <w:r>
              <w:rPr>
                <w:b/>
                <w:sz w:val="20"/>
              </w:rPr>
              <w:t>20</w:t>
            </w:r>
          </w:p>
        </w:tc>
        <w:tc>
          <w:tcPr>
            <w:tcW w:type="dxa" w:w="2160"/>
          </w:tcPr>
          <w:p>
            <w:pPr>
              <w:jc w:val="center"/>
            </w:pPr>
            <w:r>
              <w:rPr>
                <w:b/>
                <w:color w:val="28A745"/>
                <w:sz w:val="20"/>
              </w:rPr>
              <w:t>5</w:t>
            </w:r>
          </w:p>
        </w:tc>
        <w:tc>
          <w:tcPr>
            <w:tcW w:type="dxa" w:w="2160"/>
          </w:tcPr>
          <w:p>
            <w:pPr>
              <w:jc w:val="center"/>
            </w:pPr>
            <w:r>
              <w:rPr>
                <w:b/>
                <w:color w:val="DC3545"/>
                <w:sz w:val="20"/>
              </w:rPr>
              <w:t>12</w:t>
            </w:r>
          </w:p>
        </w:tc>
        <w:tc>
          <w:tcPr>
            <w:tcW w:type="dxa" w:w="2160"/>
          </w:tcPr>
          <w:p>
            <w:pPr>
              <w:jc w:val="center"/>
            </w:pPr>
            <w:r>
              <w:rPr>
                <w:b/>
                <w:color w:val="FD7E14"/>
                <w:sz w:val="20"/>
              </w:rPr>
              <w:t>3</w:t>
            </w:r>
          </w:p>
        </w:tc>
      </w:tr>
    </w:tbl>
    <w:p>
      <w:pPr>
        <w:jc w:val="center"/>
      </w:pPr>
      <w:r>
        <w:rPr>
          <w:b/>
          <w:color w:val="DC3545"/>
          <w:sz w:val="28"/>
        </w:rPr>
        <w:br/>
        <w:t>Overall Compliance Score: 25% — Critical</w:t>
      </w:r>
    </w:p>
    <w:p>
      <w:pPr>
        <w:pStyle w:val="Heading1"/>
      </w:pPr>
      <w:r>
        <w:t>Risk Category Breakdown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val="clear"/>
          </w:tcPr>
          <w:p>
            <w:pPr>
              <w:jc w:val="center"/>
            </w:pPr>
            <w:r>
              <w:rPr>
                <w:b/>
                <w:color w:val="FFFFFF"/>
                <w:sz w:val="18"/>
              </w:rPr>
              <w:t>Category</w:t>
            </w:r>
          </w:p>
        </w:tc>
        <w:tc>
          <w:tcPr>
            <w:tcW w:type="dxa" w:w="1728"/>
            <w:shd w:fill="1a1a2e" w:val="clear"/>
          </w:tcPr>
          <w:p>
            <w:pPr>
              <w:jc w:val="center"/>
            </w:pPr>
            <w:r>
              <w:rPr>
                <w:b/>
                <w:color w:val="FFFFFF"/>
                <w:sz w:val="18"/>
              </w:rPr>
              <w:t>Risk Level</w:t>
            </w:r>
          </w:p>
        </w:tc>
        <w:tc>
          <w:tcPr>
            <w:tcW w:type="dxa" w:w="1728"/>
            <w:shd w:fill="1a1a2e" w:val="clear"/>
          </w:tcPr>
          <w:p>
            <w:pPr>
              <w:jc w:val="center"/>
            </w:pPr>
            <w:r>
              <w:rPr>
                <w:b/>
                <w:color w:val="FFFFFF"/>
                <w:sz w:val="18"/>
              </w:rPr>
              <w:t>Total</w:t>
            </w:r>
          </w:p>
        </w:tc>
        <w:tc>
          <w:tcPr>
            <w:tcW w:type="dxa" w:w="1728"/>
            <w:shd w:fill="1a1a2e" w:val="clear"/>
          </w:tcPr>
          <w:p>
            <w:pPr>
              <w:jc w:val="center"/>
            </w:pPr>
            <w:r>
              <w:rPr>
                <w:b/>
                <w:color w:val="FFFFFF"/>
                <w:sz w:val="18"/>
              </w:rPr>
              <w:t>Compliant</w:t>
            </w:r>
          </w:p>
        </w:tc>
        <w:tc>
          <w:tcPr>
            <w:tcW w:type="dxa" w:w="1728"/>
            <w:shd w:fill="1a1a2e" w:val="clear"/>
          </w:tcPr>
          <w:p>
            <w:pPr>
              <w:jc w:val="center"/>
            </w:pPr>
            <w:r>
              <w:rPr>
                <w:b/>
                <w:color w:val="FFFFFF"/>
                <w:sz w:val="18"/>
              </w:rPr>
              <w:t>Issues</w:t>
            </w:r>
          </w:p>
        </w:tc>
      </w:tr>
      <w:tr>
        <w:tc>
          <w:tcPr>
            <w:tcW w:type="dxa" w:w="1728"/>
          </w:tcPr>
          <w:p>
            <w:pPr>
              <w:jc w:val="center"/>
            </w:pPr>
            <w:r>
              <w:rPr>
                <w:sz w:val="18"/>
              </w:rPr>
              <w:t>Legal Risk</w:t>
            </w:r>
          </w:p>
        </w:tc>
        <w:tc>
          <w:tcPr>
            <w:tcW w:type="dxa" w:w="1728"/>
          </w:tcPr>
          <w:p>
            <w:pPr>
              <w:jc w:val="center"/>
            </w:pPr>
            <w:r/>
            <w:r>
              <w:rPr>
                <w:b/>
                <w:color w:val="DC3545"/>
                <w:sz w:val="18"/>
              </w:rPr>
              <w:t>HIGH</w:t>
            </w:r>
          </w:p>
        </w:tc>
        <w:tc>
          <w:tcPr>
            <w:tcW w:type="dxa" w:w="1728"/>
          </w:tcPr>
          <w:p>
            <w:pPr>
              <w:jc w:val="center"/>
            </w:pPr>
            <w:r>
              <w:rPr>
                <w:sz w:val="18"/>
              </w:rPr>
              <w:t>6</w:t>
            </w:r>
          </w:p>
        </w:tc>
        <w:tc>
          <w:tcPr>
            <w:tcW w:type="dxa" w:w="1728"/>
          </w:tcPr>
          <w:p>
            <w:pPr>
              <w:jc w:val="center"/>
            </w:pPr>
            <w:r>
              <w:rPr>
                <w:sz w:val="18"/>
              </w:rPr>
              <w:t>2</w:t>
            </w:r>
          </w:p>
        </w:tc>
        <w:tc>
          <w:tcPr>
            <w:tcW w:type="dxa" w:w="1728"/>
          </w:tcPr>
          <w:p>
            <w:pPr>
              <w:jc w:val="center"/>
            </w:pPr>
            <w:r>
              <w:rPr>
                <w:sz w:val="18"/>
              </w:rPr>
              <w:t>4</w:t>
            </w:r>
          </w:p>
        </w:tc>
      </w:tr>
      <w:tr>
        <w:tc>
          <w:tcPr>
            <w:tcW w:type="dxa" w:w="1728"/>
          </w:tcPr>
          <w:p>
            <w:pPr>
              <w:jc w:val="center"/>
            </w:pPr>
            <w:r>
              <w:rPr>
                <w:sz w:val="18"/>
              </w:rPr>
              <w:t>Operational Risk</w:t>
            </w:r>
          </w:p>
        </w:tc>
        <w:tc>
          <w:tcPr>
            <w:tcW w:type="dxa" w:w="1728"/>
          </w:tcPr>
          <w:p>
            <w:pPr>
              <w:jc w:val="center"/>
            </w:pPr>
            <w:r/>
            <w:r>
              <w:rPr>
                <w:b/>
                <w:color w:val="FD7E14"/>
                <w:sz w:val="18"/>
              </w:rPr>
              <w:t>MEDIUM</w:t>
            </w:r>
          </w:p>
        </w:tc>
        <w:tc>
          <w:tcPr>
            <w:tcW w:type="dxa" w:w="1728"/>
          </w:tcPr>
          <w:p>
            <w:pPr>
              <w:jc w:val="center"/>
            </w:pPr>
            <w:r>
              <w:rPr>
                <w:sz w:val="18"/>
              </w:rPr>
              <w:t>8</w:t>
            </w:r>
          </w:p>
        </w:tc>
        <w:tc>
          <w:tcPr>
            <w:tcW w:type="dxa" w:w="1728"/>
          </w:tcPr>
          <w:p>
            <w:pPr>
              <w:jc w:val="center"/>
            </w:pPr>
            <w:r>
              <w:rPr>
                <w:sz w:val="18"/>
              </w:rPr>
              <w:t>2</w:t>
            </w:r>
          </w:p>
        </w:tc>
        <w:tc>
          <w:tcPr>
            <w:tcW w:type="dxa" w:w="1728"/>
          </w:tcPr>
          <w:p>
            <w:pPr>
              <w:jc w:val="center"/>
            </w:pPr>
            <w:r>
              <w:rPr>
                <w:sz w:val="18"/>
              </w:rPr>
              <w:t>6</w:t>
            </w:r>
          </w:p>
        </w:tc>
      </w:tr>
      <w:tr>
        <w:tc>
          <w:tcPr>
            <w:tcW w:type="dxa" w:w="1728"/>
          </w:tcPr>
          <w:p>
            <w:pPr>
              <w:jc w:val="center"/>
            </w:pPr>
            <w:r>
              <w:rPr>
                <w:sz w:val="18"/>
              </w:rPr>
              <w:t>Process Risk</w:t>
            </w:r>
          </w:p>
        </w:tc>
        <w:tc>
          <w:tcPr>
            <w:tcW w:type="dxa" w:w="1728"/>
          </w:tcPr>
          <w:p>
            <w:pPr>
              <w:jc w:val="center"/>
            </w:pPr>
            <w:r/>
            <w:r>
              <w:rPr>
                <w:b/>
                <w:color w:val="28A745"/>
                <w:sz w:val="18"/>
              </w:rPr>
              <w:t>LOW</w:t>
            </w:r>
          </w:p>
        </w:tc>
        <w:tc>
          <w:tcPr>
            <w:tcW w:type="dxa" w:w="1728"/>
          </w:tcPr>
          <w:p>
            <w:pPr>
              <w:jc w:val="center"/>
            </w:pPr>
            <w:r>
              <w:rPr>
                <w:sz w:val="18"/>
              </w:rPr>
              <w:t>3</w:t>
            </w:r>
          </w:p>
        </w:tc>
        <w:tc>
          <w:tcPr>
            <w:tcW w:type="dxa" w:w="1728"/>
          </w:tcPr>
          <w:p>
            <w:pPr>
              <w:jc w:val="center"/>
            </w:pPr>
            <w:r>
              <w:rPr>
                <w:sz w:val="18"/>
              </w:rPr>
              <w:t>0</w:t>
            </w:r>
          </w:p>
        </w:tc>
        <w:tc>
          <w:tcPr>
            <w:tcW w:type="dxa" w:w="1728"/>
          </w:tcPr>
          <w:p>
            <w:pPr>
              <w:jc w:val="center"/>
            </w:pPr>
            <w:r>
              <w:rPr>
                <w:sz w:val="18"/>
              </w:rPr>
              <w:t>3</w:t>
            </w:r>
          </w:p>
        </w:tc>
      </w:tr>
      <w:tr>
        <w:tc>
          <w:tcPr>
            <w:tcW w:type="dxa" w:w="1728"/>
          </w:tcPr>
          <w:p>
            <w:pPr>
              <w:jc w:val="center"/>
            </w:pPr>
            <w:r>
              <w:rPr>
                <w:sz w:val="18"/>
              </w:rPr>
              <w:t>General</w:t>
            </w:r>
          </w:p>
        </w:tc>
        <w:tc>
          <w:tcPr>
            <w:tcW w:type="dxa" w:w="1728"/>
          </w:tcPr>
          <w:p>
            <w:pPr>
              <w:jc w:val="center"/>
            </w:pPr>
            <w:r/>
            <w:r>
              <w:rPr>
                <w:b/>
                <w:color w:val="FD7E14"/>
                <w:sz w:val="18"/>
              </w:rPr>
              <w:t>MEDIUM</w:t>
            </w:r>
          </w:p>
        </w:tc>
        <w:tc>
          <w:tcPr>
            <w:tcW w:type="dxa" w:w="1728"/>
          </w:tcPr>
          <w:p>
            <w:pPr>
              <w:jc w:val="center"/>
            </w:pPr>
            <w:r>
              <w:rPr>
                <w:sz w:val="18"/>
              </w:rPr>
              <w:t>3</w:t>
            </w:r>
          </w:p>
        </w:tc>
        <w:tc>
          <w:tcPr>
            <w:tcW w:type="dxa" w:w="1728"/>
          </w:tcPr>
          <w:p>
            <w:pPr>
              <w:jc w:val="center"/>
            </w:pPr>
            <w:r>
              <w:rPr>
                <w:sz w:val="18"/>
              </w:rPr>
              <w:t>1</w:t>
            </w:r>
          </w:p>
        </w:tc>
        <w:tc>
          <w:tcPr>
            <w:tcW w:type="dxa" w:w="1728"/>
          </w:tcPr>
          <w:p>
            <w:pPr>
              <w:jc w:val="center"/>
            </w:pPr>
            <w:r>
              <w:rPr>
                <w:sz w:val="18"/>
              </w:rPr>
              <w:t>2</w:t>
            </w:r>
          </w:p>
        </w:tc>
      </w:tr>
    </w:tbl>
    <w:p>
      <w:pPr>
        <w:pStyle w:val="Heading1"/>
      </w:pPr>
      <w:r>
        <w:t>Clause Details</w:t>
      </w:r>
    </w:p>
    <w:p>
      <w:r>
        <w:rPr>
          <w:b/>
          <w:sz w:val="22"/>
        </w:rPr>
        <w:t xml:space="preserve">1. Lease Term  </w:t>
      </w:r>
      <w:r>
        <w:rPr>
          <w:b/>
          <w:color w:val="FD7E14"/>
          <w:sz w:val="18"/>
        </w:rPr>
        <w:t xml:space="preserve">[MEDIUM RISK]  </w:t>
      </w:r>
      <w:r>
        <w:rPr>
          <w:b/>
          <w:color w:val="DC3545"/>
          <w:sz w:val="18"/>
        </w:rPr>
        <w:t>[VIOLATION]</w:t>
      </w:r>
    </w:p>
    <w:p>
      <w:r>
        <w:rPr>
          <w:color w:val="6C757D"/>
          <w:sz w:val="18"/>
        </w:rPr>
        <w:t>ID: lease_term    Category: Operational Risk</w:t>
      </w:r>
    </w:p>
    <w:p>
      <w:pPr>
        <w:shd w:val="clear" w:color="auto" w:fill="fde8e8"/>
      </w:pPr>
      <w:r>
        <w:rPr>
          <w:b/>
          <w:sz w:val="20"/>
        </w:rPr>
        <w:t xml:space="preserve">Clause: </w:t>
      </w:r>
      <w:r>
        <w:rPr>
          <w:sz w:val="20"/>
        </w:rPr>
        <w:t>36 months starting from 01 April 2026</w:t>
      </w:r>
    </w:p>
    <w:p>
      <w:r>
        <w:rPr>
          <w:b/>
          <w:color w:val="1A1A2E"/>
          <w:sz w:val="20"/>
        </w:rPr>
        <w:t xml:space="preserve">Reason: </w:t>
      </w:r>
      <w:r>
        <w:rPr>
          <w:i/>
          <w:sz w:val="20"/>
        </w:rPr>
        <w:t>The Lease Term clause is present but does not specify the required start date of 01 April 2026; it only mentions a 36‑month period from the commencement date.</w:t>
      </w:r>
    </w:p>
    <w:p>
      <w:pPr>
        <w:shd w:val="clear" w:color="auto" w:fill="d4edda"/>
      </w:pPr>
      <w:r>
        <w:rPr>
          <w:b/>
          <w:color w:val="DC3545"/>
          <w:sz w:val="20"/>
        </w:rPr>
        <w:t xml:space="preserve">Corrective Action: </w:t>
      </w:r>
      <w:r>
        <w:rPr>
          <w:i/>
          <w:sz w:val="20"/>
        </w:rPr>
        <w:t>Lease Term: The lease shall be for a period of 36 months commencing on 01 April 2026 and ending on 31 March 2029.</w:t>
      </w:r>
    </w:p>
    <w:p>
      <w:r>
        <w:t>________________________________________________________________________________</w:t>
      </w:r>
    </w:p>
    <w:p>
      <w:r>
        <w:rPr>
          <w:b/>
          <w:sz w:val="22"/>
        </w:rPr>
        <w:t xml:space="preserve">2. Monthly Rent  </w:t>
      </w:r>
      <w:r>
        <w:rPr>
          <w:b/>
          <w:color w:val="FD7E14"/>
          <w:sz w:val="18"/>
        </w:rPr>
        <w:t xml:space="preserve">[MEDIUM RISK]  </w:t>
      </w:r>
      <w:r>
        <w:rPr>
          <w:b/>
          <w:color w:val="DC3545"/>
          <w:sz w:val="18"/>
        </w:rPr>
        <w:t>[VIOLATION]</w:t>
      </w:r>
    </w:p>
    <w:p>
      <w:r>
        <w:rPr>
          <w:color w:val="6C757D"/>
          <w:sz w:val="18"/>
        </w:rPr>
        <w:t>ID: rent_payment    Category: Operational Risk</w:t>
      </w:r>
    </w:p>
    <w:p>
      <w:pPr>
        <w:shd w:val="clear" w:color="auto" w:fill="fde8e8"/>
      </w:pPr>
      <w:r>
        <w:rPr>
          <w:b/>
          <w:sz w:val="20"/>
        </w:rPr>
        <w:t xml:space="preserve">Clause: </w:t>
      </w:r>
      <w:r>
        <w:rPr>
          <w:sz w:val="20"/>
        </w:rPr>
        <w:t>Rs. 2,25,000 payable on or before 5th of every month</w:t>
      </w:r>
    </w:p>
    <w:p>
      <w:r>
        <w:rPr>
          <w:b/>
          <w:color w:val="1A1A2E"/>
          <w:sz w:val="20"/>
        </w:rPr>
        <w:t xml:space="preserve">Reason: </w:t>
      </w:r>
      <w:r>
        <w:rPr>
          <w:i/>
          <w:sz w:val="20"/>
        </w:rPr>
        <w:t>The document includes a Monthly Rent clause, but the amount (Rs. 150,000) and lack of a specified due date differ from the required Rs. 2,25,000 payable on or before the 5th of each month.</w:t>
      </w:r>
    </w:p>
    <w:p>
      <w:pPr>
        <w:shd w:val="clear" w:color="auto" w:fill="d4edda"/>
      </w:pPr>
      <w:r>
        <w:rPr>
          <w:b/>
          <w:color w:val="DC3545"/>
          <w:sz w:val="20"/>
        </w:rPr>
        <w:t xml:space="preserve">Corrective Action: </w:t>
      </w:r>
      <w:r>
        <w:rPr>
          <w:i/>
          <w:sz w:val="20"/>
        </w:rPr>
        <w:t>Monthly Rent: Rs. 2,25,000 payable on or before the 5th of every month.</w:t>
      </w:r>
    </w:p>
    <w:p>
      <w:r>
        <w:t>________________________________________________________________________________</w:t>
      </w:r>
    </w:p>
    <w:p>
      <w:r>
        <w:rPr>
          <w:b/>
          <w:sz w:val="22"/>
        </w:rPr>
        <w:t xml:space="preserve">3. Rent Escalation  </w:t>
      </w:r>
      <w:r>
        <w:rPr>
          <w:b/>
          <w:color w:val="FD7E14"/>
          <w:sz w:val="18"/>
        </w:rPr>
        <w:t xml:space="preserve">[MEDIUM RISK]  </w:t>
      </w:r>
      <w:r>
        <w:rPr>
          <w:b/>
          <w:color w:val="FD7E14"/>
          <w:sz w:val="18"/>
        </w:rPr>
        <w:t>[NOT FOUND]</w:t>
      </w:r>
    </w:p>
    <w:p>
      <w:r>
        <w:rPr>
          <w:color w:val="6C757D"/>
          <w:sz w:val="18"/>
        </w:rPr>
        <w:t>ID: rent_escalation    Category: Operational Risk</w:t>
      </w:r>
    </w:p>
    <w:p>
      <w:r>
        <w:rPr>
          <w:b/>
          <w:sz w:val="20"/>
        </w:rPr>
        <w:t xml:space="preserve">Clause: </w:t>
      </w:r>
      <w:r>
        <w:rPr>
          <w:sz w:val="20"/>
        </w:rPr>
        <w:t>8% increase after every 12 months</w:t>
      </w:r>
    </w:p>
    <w:p>
      <w:r>
        <w:rPr>
          <w:b/>
          <w:color w:val="1A1A2E"/>
          <w:sz w:val="20"/>
        </w:rPr>
        <w:t xml:space="preserve">Reason: </w:t>
      </w:r>
      <w:r>
        <w:rPr>
          <w:i/>
          <w:sz w:val="20"/>
        </w:rPr>
        <w:t>The agreement does not contain any provision regarding rent escalation or periodic rent increase.</w:t>
      </w:r>
    </w:p>
    <w:p>
      <w:pPr>
        <w:shd w:val="clear" w:color="auto" w:fill="fff3cd"/>
      </w:pPr>
      <w:r>
        <w:rPr>
          <w:b/>
          <w:color w:val="FD7E14"/>
          <w:sz w:val="20"/>
        </w:rPr>
        <w:t xml:space="preserve">Recommended Addition: </w:t>
      </w:r>
      <w:r>
        <w:rPr>
          <w:i/>
          <w:sz w:val="20"/>
        </w:rPr>
        <w:t>Rent Escalation: The monthly rent shall increase by 8% after each completed 12‑month period of the lease term.</w:t>
      </w:r>
    </w:p>
    <w:p>
      <w:r>
        <w:t>________________________________________________________________________________</w:t>
      </w:r>
    </w:p>
    <w:p>
      <w:r>
        <w:rPr>
          <w:b/>
          <w:sz w:val="22"/>
        </w:rPr>
        <w:t xml:space="preserve">4. Security Deposit  </w:t>
      </w:r>
      <w:r>
        <w:rPr>
          <w:b/>
          <w:color w:val="FD7E14"/>
          <w:sz w:val="18"/>
        </w:rPr>
        <w:t xml:space="preserve">[MEDIUM RISK]  </w:t>
      </w:r>
      <w:r>
        <w:rPr>
          <w:b/>
          <w:color w:val="DC3545"/>
          <w:sz w:val="18"/>
        </w:rPr>
        <w:t>[VIOLATION]</w:t>
      </w:r>
    </w:p>
    <w:p>
      <w:r>
        <w:rPr>
          <w:color w:val="6C757D"/>
          <w:sz w:val="18"/>
        </w:rPr>
        <w:t>ID: security_deposit    Category: Operational Risk</w:t>
      </w:r>
    </w:p>
    <w:p>
      <w:pPr>
        <w:shd w:val="clear" w:color="auto" w:fill="fde8e8"/>
      </w:pPr>
      <w:r>
        <w:rPr>
          <w:b/>
          <w:sz w:val="20"/>
        </w:rPr>
        <w:t xml:space="preserve">Clause: </w:t>
      </w:r>
      <w:r>
        <w:rPr>
          <w:sz w:val="20"/>
        </w:rPr>
        <w:t>Rs. 13,50,000 refundable upon termination</w:t>
      </w:r>
    </w:p>
    <w:p>
      <w:r>
        <w:rPr>
          <w:b/>
          <w:color w:val="1A1A2E"/>
          <w:sz w:val="20"/>
        </w:rPr>
        <w:t xml:space="preserve">Reason: </w:t>
      </w:r>
      <w:r>
        <w:rPr>
          <w:i/>
          <w:sz w:val="20"/>
        </w:rPr>
        <w:t>The document specifies a security deposit of Rs. 900,000, which does not match the required amount of Rs. 13,50,000.</w:t>
      </w:r>
    </w:p>
    <w:p>
      <w:pPr>
        <w:shd w:val="clear" w:color="auto" w:fill="d4edda"/>
      </w:pPr>
      <w:r>
        <w:rPr>
          <w:b/>
          <w:color w:val="DC3545"/>
          <w:sz w:val="20"/>
        </w:rPr>
        <w:t xml:space="preserve">Corrective Action: </w:t>
      </w:r>
      <w:r>
        <w:rPr>
          <w:i/>
          <w:sz w:val="20"/>
        </w:rPr>
        <w:t>Security Deposit: Tenant shall deposit Rs. 13,50,000 refundable upon termination.</w:t>
      </w:r>
    </w:p>
    <w:p>
      <w:r>
        <w:t>________________________________________________________________________________</w:t>
      </w:r>
    </w:p>
    <w:p>
      <w:r>
        <w:rPr>
          <w:b/>
          <w:sz w:val="22"/>
        </w:rPr>
        <w:t xml:space="preserve">5. Lock-in Period  </w:t>
      </w:r>
      <w:r>
        <w:rPr>
          <w:b/>
          <w:color w:val="FD7E14"/>
          <w:sz w:val="18"/>
        </w:rPr>
        <w:t xml:space="preserve">[MEDIUM RISK]  </w:t>
      </w:r>
      <w:r>
        <w:rPr>
          <w:b/>
          <w:color w:val="28A745"/>
          <w:sz w:val="18"/>
        </w:rPr>
        <w:t>[MATCH]</w:t>
      </w:r>
    </w:p>
    <w:p>
      <w:r>
        <w:rPr>
          <w:color w:val="6C757D"/>
          <w:sz w:val="18"/>
        </w:rPr>
        <w:t>ID: lock_in_period    Category: General</w:t>
      </w:r>
    </w:p>
    <w:p>
      <w:r>
        <w:rPr>
          <w:b/>
          <w:sz w:val="20"/>
        </w:rPr>
        <w:t xml:space="preserve">Clause: </w:t>
      </w:r>
      <w:r>
        <w:rPr>
          <w:sz w:val="20"/>
        </w:rPr>
        <w:t>12 months from commencement date</w:t>
      </w:r>
    </w:p>
    <w:p>
      <w:r>
        <w:rPr>
          <w:b/>
          <w:color w:val="1A1A2E"/>
          <w:sz w:val="20"/>
        </w:rPr>
        <w:t xml:space="preserve">Reason: </w:t>
      </w:r>
      <w:r>
        <w:rPr>
          <w:i/>
          <w:sz w:val="20"/>
        </w:rPr>
        <w:t>The document includes a Lock-in Period clause specifying a mandatory 12‑month period from the commencement date, which aligns with the required content.</w:t>
      </w:r>
    </w:p>
    <w:p>
      <w:r>
        <w:t>________________________________________________________________________________</w:t>
      </w:r>
    </w:p>
    <w:p>
      <w:r>
        <w:rPr>
          <w:b/>
          <w:sz w:val="22"/>
        </w:rPr>
        <w:t xml:space="preserve">6. Late Payment Penalty  </w:t>
      </w:r>
      <w:r>
        <w:rPr>
          <w:b/>
          <w:color w:val="FD7E14"/>
          <w:sz w:val="18"/>
        </w:rPr>
        <w:t xml:space="preserve">[MEDIUM RISK]  </w:t>
      </w:r>
      <w:r>
        <w:rPr>
          <w:b/>
          <w:color w:val="DC3545"/>
          <w:sz w:val="18"/>
        </w:rPr>
        <w:t>[VIOLATION]</w:t>
      </w:r>
    </w:p>
    <w:p>
      <w:r>
        <w:rPr>
          <w:color w:val="6C757D"/>
          <w:sz w:val="18"/>
        </w:rPr>
        <w:t>ID: late_payment_penalty    Category: Operational Risk</w:t>
      </w:r>
    </w:p>
    <w:p>
      <w:pPr>
        <w:shd w:val="clear" w:color="auto" w:fill="fde8e8"/>
      </w:pPr>
      <w:r>
        <w:rPr>
          <w:b/>
          <w:sz w:val="20"/>
        </w:rPr>
        <w:t xml:space="preserve">Clause: </w:t>
      </w:r>
      <w:r>
        <w:rPr>
          <w:sz w:val="20"/>
        </w:rPr>
        <w:t>Rs. 10,000 after 7 days grace period</w:t>
      </w:r>
    </w:p>
    <w:p>
      <w:r>
        <w:rPr>
          <w:b/>
          <w:color w:val="1A1A2E"/>
          <w:sz w:val="20"/>
        </w:rPr>
        <w:t xml:space="preserve">Reason: </w:t>
      </w:r>
      <w:r>
        <w:rPr>
          <w:i/>
          <w:sz w:val="20"/>
        </w:rPr>
        <w:t>The document includes a Late Payment Penalty clause, but the penalty amount and grace period do not match the required Rs. 10,000 after a 7‑day grace period.</w:t>
      </w:r>
    </w:p>
    <w:p>
      <w:pPr>
        <w:shd w:val="clear" w:color="auto" w:fill="d4edda"/>
      </w:pPr>
      <w:r>
        <w:rPr>
          <w:b/>
          <w:color w:val="DC3545"/>
          <w:sz w:val="20"/>
        </w:rPr>
        <w:t xml:space="preserve">Corrective Action: </w:t>
      </w:r>
      <w:r>
        <w:rPr>
          <w:i/>
          <w:sz w:val="20"/>
        </w:rPr>
        <w:t>Late Payment Penalty: If payment is not made within a 7‑day grace period after the due date, a penalty of Rs. 10,000 shall be payable.</w:t>
      </w:r>
    </w:p>
    <w:p>
      <w:r>
        <w:t>________________________________________________________________________________</w:t>
      </w:r>
    </w:p>
    <w:p>
      <w:r>
        <w:rPr>
          <w:b/>
          <w:sz w:val="22"/>
        </w:rPr>
        <w:t xml:space="preserve">7. Permitted Use  </w:t>
      </w:r>
      <w:r>
        <w:rPr>
          <w:b/>
          <w:color w:val="DC3545"/>
          <w:sz w:val="18"/>
        </w:rPr>
        <w:t xml:space="preserve">[HIGH RISK]  </w:t>
      </w:r>
      <w:r>
        <w:rPr>
          <w:b/>
          <w:color w:val="DC3545"/>
          <w:sz w:val="18"/>
        </w:rPr>
        <w:t>[VIOLATION]</w:t>
      </w:r>
    </w:p>
    <w:p>
      <w:r>
        <w:rPr>
          <w:color w:val="6C757D"/>
          <w:sz w:val="18"/>
        </w:rPr>
        <w:t>ID: permitted_use    Category: Legal Risk</w:t>
      </w:r>
    </w:p>
    <w:p>
      <w:pPr>
        <w:shd w:val="clear" w:color="auto" w:fill="fde8e8"/>
      </w:pPr>
      <w:r>
        <w:rPr>
          <w:b/>
          <w:sz w:val="20"/>
        </w:rPr>
        <w:t xml:space="preserve">Clause: </w:t>
      </w:r>
      <w:r>
        <w:rPr>
          <w:sz w:val="20"/>
        </w:rPr>
        <w:t>IT and Software Development Office only</w:t>
      </w:r>
    </w:p>
    <w:p>
      <w:r>
        <w:rPr>
          <w:b/>
          <w:color w:val="1A1A2E"/>
          <w:sz w:val="20"/>
        </w:rPr>
        <w:t xml:space="preserve">Reason: </w:t>
      </w:r>
      <w:r>
        <w:rPr>
          <w:i/>
          <w:sz w:val="20"/>
        </w:rPr>
        <w:t>The document contains a generic 'Usage' clause allowing any commercial/business purpose, which does not restrict use to 'IT and Software Development Office only' as required.</w:t>
      </w:r>
    </w:p>
    <w:p>
      <w:pPr>
        <w:shd w:val="clear" w:color="auto" w:fill="d4edda"/>
      </w:pPr>
      <w:r>
        <w:rPr>
          <w:b/>
          <w:color w:val="DC3545"/>
          <w:sz w:val="20"/>
        </w:rPr>
        <w:t xml:space="preserve">Corrective Action: </w:t>
      </w:r>
      <w:r>
        <w:rPr>
          <w:i/>
          <w:sz w:val="20"/>
        </w:rPr>
        <w:t>Permitted Use: The premises shall be used solely for an IT and Software Development Office and no other purpose.</w:t>
      </w:r>
    </w:p>
    <w:p>
      <w:r>
        <w:t>________________________________________________________________________________</w:t>
      </w:r>
    </w:p>
    <w:p>
      <w:r>
        <w:rPr>
          <w:b/>
          <w:sz w:val="22"/>
        </w:rPr>
        <w:t xml:space="preserve">8. Maintenance &amp; Repairs  </w:t>
      </w:r>
      <w:r>
        <w:rPr>
          <w:b/>
          <w:color w:val="FD7E14"/>
          <w:sz w:val="18"/>
        </w:rPr>
        <w:t xml:space="preserve">[MEDIUM RISK]  </w:t>
      </w:r>
      <w:r>
        <w:rPr>
          <w:b/>
          <w:color w:val="28A745"/>
          <w:sz w:val="18"/>
        </w:rPr>
        <w:t>[MATCH]</w:t>
      </w:r>
    </w:p>
    <w:p>
      <w:r>
        <w:rPr>
          <w:color w:val="6C757D"/>
          <w:sz w:val="18"/>
        </w:rPr>
        <w:t>ID: maintenance    Category: Operational Risk</w:t>
      </w:r>
    </w:p>
    <w:p>
      <w:r>
        <w:rPr>
          <w:b/>
          <w:sz w:val="20"/>
        </w:rPr>
        <w:t xml:space="preserve">Clause: </w:t>
      </w:r>
      <w:r>
        <w:rPr>
          <w:sz w:val="20"/>
        </w:rPr>
        <w:t>Interior maintenance by Tenant; structural repairs by Landlord</w:t>
      </w:r>
    </w:p>
    <w:p>
      <w:r>
        <w:rPr>
          <w:b/>
          <w:color w:val="1A1A2E"/>
          <w:sz w:val="20"/>
        </w:rPr>
        <w:t xml:space="preserve">Reason: </w:t>
      </w:r>
      <w:r>
        <w:rPr>
          <w:i/>
          <w:sz w:val="20"/>
        </w:rPr>
        <w:t>The document includes a Maintenance &amp; Repairs clause that specifies interior maintenance by the Tenant and structural repairs by the Landlord, exactly as required.</w:t>
      </w:r>
    </w:p>
    <w:p>
      <w:r>
        <w:t>________________________________________________________________________________</w:t>
      </w:r>
    </w:p>
    <w:p>
      <w:r>
        <w:rPr>
          <w:b/>
          <w:sz w:val="22"/>
        </w:rPr>
        <w:t xml:space="preserve">9. Utilities &amp; Charges  </w:t>
      </w:r>
      <w:r>
        <w:rPr>
          <w:b/>
          <w:color w:val="FD7E14"/>
          <w:sz w:val="18"/>
        </w:rPr>
        <w:t xml:space="preserve">[MEDIUM RISK]  </w:t>
      </w:r>
      <w:r>
        <w:rPr>
          <w:b/>
          <w:color w:val="28A745"/>
          <w:sz w:val="18"/>
        </w:rPr>
        <w:t>[MATCH]</w:t>
      </w:r>
    </w:p>
    <w:p>
      <w:r>
        <w:rPr>
          <w:color w:val="6C757D"/>
          <w:sz w:val="18"/>
        </w:rPr>
        <w:t>ID: utilities    Category: Operational Risk</w:t>
      </w:r>
    </w:p>
    <w:p>
      <w:r>
        <w:rPr>
          <w:b/>
          <w:sz w:val="20"/>
        </w:rPr>
        <w:t xml:space="preserve">Clause: </w:t>
      </w:r>
      <w:r>
        <w:rPr>
          <w:sz w:val="20"/>
        </w:rPr>
        <w:t>Electricity, water, GST, and municipal charges borne by Tenant</w:t>
      </w:r>
    </w:p>
    <w:p>
      <w:r>
        <w:rPr>
          <w:b/>
          <w:color w:val="1A1A2E"/>
          <w:sz w:val="20"/>
        </w:rPr>
        <w:t xml:space="preserve">Reason: </w:t>
      </w:r>
      <w:r>
        <w:rPr>
          <w:i/>
          <w:sz w:val="20"/>
        </w:rPr>
        <w:t>The document contains a Utilities clause stating the tenant bears electricity, water, GST, and other statutory charges, aligning with the required content.</w:t>
      </w:r>
    </w:p>
    <w:p>
      <w:r>
        <w:t>________________________________________________________________________________</w:t>
      </w:r>
    </w:p>
    <w:p>
      <w:r>
        <w:rPr>
          <w:b/>
          <w:sz w:val="22"/>
        </w:rPr>
        <w:t xml:space="preserve">10. Insurance  </w:t>
      </w:r>
      <w:r>
        <w:rPr>
          <w:b/>
          <w:color w:val="FD7E14"/>
          <w:sz w:val="18"/>
        </w:rPr>
        <w:t xml:space="preserve">[MEDIUM RISK]  </w:t>
      </w:r>
      <w:r>
        <w:rPr>
          <w:b/>
          <w:color w:val="DC3545"/>
          <w:sz w:val="18"/>
        </w:rPr>
        <w:t>[VIOLATION]</w:t>
      </w:r>
    </w:p>
    <w:p>
      <w:r>
        <w:rPr>
          <w:color w:val="6C757D"/>
          <w:sz w:val="18"/>
        </w:rPr>
        <w:t>ID: insurance    Category: Operational Risk</w:t>
      </w:r>
    </w:p>
    <w:p>
      <w:pPr>
        <w:shd w:val="clear" w:color="auto" w:fill="fde8e8"/>
      </w:pPr>
      <w:r>
        <w:rPr>
          <w:b/>
          <w:sz w:val="20"/>
        </w:rPr>
        <w:t xml:space="preserve">Clause: </w:t>
      </w:r>
      <w:r>
        <w:rPr>
          <w:sz w:val="20"/>
        </w:rPr>
        <w:t>Tenant shall maintain fire and liability insurance worth Rs. 50,00,000</w:t>
      </w:r>
    </w:p>
    <w:p>
      <w:r>
        <w:rPr>
          <w:b/>
          <w:color w:val="1A1A2E"/>
          <w:sz w:val="20"/>
        </w:rPr>
        <w:t xml:space="preserve">Reason: </w:t>
      </w:r>
      <w:r>
        <w:rPr>
          <w:i/>
          <w:sz w:val="20"/>
        </w:rPr>
        <w:t>The document includes an insurance clause, but it only requires the tenant to maintain "appropriate commercial insurance coverage" without specifying fire and liability insurance worth Rs. 50,00,000 as required.</w:t>
      </w:r>
    </w:p>
    <w:p>
      <w:pPr>
        <w:shd w:val="clear" w:color="auto" w:fill="d4edda"/>
      </w:pPr>
      <w:r>
        <w:rPr>
          <w:b/>
          <w:color w:val="DC3545"/>
          <w:sz w:val="20"/>
        </w:rPr>
        <w:t xml:space="preserve">Corrective Action: </w:t>
      </w:r>
      <w:r>
        <w:rPr>
          <w:i/>
          <w:sz w:val="20"/>
        </w:rPr>
        <w:t>Insurance: Tenant shall maintain fire and liability insurance with a minimum coverage of Rs. 50,00,000.</w:t>
      </w:r>
    </w:p>
    <w:p>
      <w:r>
        <w:t>________________________________________________________________________________</w:t>
      </w:r>
    </w:p>
    <w:p>
      <w:r>
        <w:rPr>
          <w:b/>
          <w:sz w:val="22"/>
        </w:rPr>
        <w:t xml:space="preserve">11. Subletting Restriction  </w:t>
      </w:r>
      <w:r>
        <w:rPr>
          <w:b/>
          <w:color w:val="DC3545"/>
          <w:sz w:val="18"/>
        </w:rPr>
        <w:t xml:space="preserve">[HIGH RISK]  </w:t>
      </w:r>
      <w:r>
        <w:rPr>
          <w:b/>
          <w:color w:val="28A745"/>
          <w:sz w:val="18"/>
        </w:rPr>
        <w:t>[MATCH]</w:t>
      </w:r>
    </w:p>
    <w:p>
      <w:r>
        <w:rPr>
          <w:color w:val="6C757D"/>
          <w:sz w:val="18"/>
        </w:rPr>
        <w:t>ID: subletting    Category: Legal Risk</w:t>
      </w:r>
    </w:p>
    <w:p>
      <w:r>
        <w:rPr>
          <w:b/>
          <w:sz w:val="20"/>
        </w:rPr>
        <w:t xml:space="preserve">Clause: </w:t>
      </w:r>
      <w:r>
        <w:rPr>
          <w:sz w:val="20"/>
        </w:rPr>
        <w:t>Not permitted without prior written consent of Landlord</w:t>
      </w:r>
    </w:p>
    <w:p>
      <w:r>
        <w:rPr>
          <w:b/>
          <w:color w:val="1A1A2E"/>
          <w:sz w:val="20"/>
        </w:rPr>
        <w:t xml:space="preserve">Reason: </w:t>
      </w:r>
      <w:r>
        <w:rPr>
          <w:i/>
          <w:sz w:val="20"/>
        </w:rPr>
        <w:t>The document contains a subletting restriction that aligns with the required clause content.</w:t>
      </w:r>
    </w:p>
    <w:p>
      <w:r>
        <w:t>________________________________________________________________________________</w:t>
      </w:r>
    </w:p>
    <w:p>
      <w:r>
        <w:rPr>
          <w:b/>
          <w:sz w:val="22"/>
        </w:rPr>
        <w:t xml:space="preserve">12. Indemnity  </w:t>
      </w:r>
      <w:r>
        <w:rPr>
          <w:b/>
          <w:color w:val="FD7E14"/>
          <w:sz w:val="18"/>
        </w:rPr>
        <w:t xml:space="preserve">[MEDIUM RISK]  </w:t>
      </w:r>
      <w:r>
        <w:rPr>
          <w:b/>
          <w:color w:val="DC3545"/>
          <w:sz w:val="18"/>
        </w:rPr>
        <w:t>[VIOLATION]</w:t>
      </w:r>
    </w:p>
    <w:p>
      <w:r>
        <w:rPr>
          <w:color w:val="6C757D"/>
          <w:sz w:val="18"/>
        </w:rPr>
        <w:t>ID: indemnity    Category: General</w:t>
      </w:r>
    </w:p>
    <w:p>
      <w:pPr>
        <w:shd w:val="clear" w:color="auto" w:fill="fde8e8"/>
      </w:pPr>
      <w:r>
        <w:rPr>
          <w:b/>
          <w:sz w:val="20"/>
        </w:rPr>
        <w:t xml:space="preserve">Clause: </w:t>
      </w:r>
      <w:r>
        <w:rPr>
          <w:sz w:val="20"/>
        </w:rPr>
        <w:t>Tenant indemnifies Landlord against damages, misuse, and legal liabilities</w:t>
      </w:r>
    </w:p>
    <w:p>
      <w:r>
        <w:rPr>
          <w:b/>
          <w:color w:val="1A1A2E"/>
          <w:sz w:val="20"/>
        </w:rPr>
        <w:t xml:space="preserve">Reason: </w:t>
      </w:r>
      <w:r>
        <w:rPr>
          <w:i/>
          <w:sz w:val="20"/>
        </w:rPr>
        <w:t>The indemnity clause is present but only covers losses from misuse of the premises; it does not explicitly indemnify the Landlord against damages and legal liabilities as required.</w:t>
      </w:r>
    </w:p>
    <w:p>
      <w:pPr>
        <w:shd w:val="clear" w:color="auto" w:fill="d4edda"/>
      </w:pPr>
      <w:r>
        <w:rPr>
          <w:b/>
          <w:color w:val="DC3545"/>
          <w:sz w:val="20"/>
        </w:rPr>
        <w:t xml:space="preserve">Corrective Action: </w:t>
      </w:r>
      <w:r>
        <w:rPr>
          <w:i/>
          <w:sz w:val="20"/>
        </w:rPr>
        <w:t>Indemnity: The Tenant shall indemnify, defend, and hold harmless the Landlord from and against any and all damages, losses, costs, expenses, claims, liabilities, and legal actions arising out of or in connection with the Tenant's use of the premises, including but not limited to misuse, negligence, breach of this Agreement, and any third‑party claims.</w:t>
      </w:r>
    </w:p>
    <w:p>
      <w:r>
        <w:t>________________________________________________________________________________</w:t>
      </w:r>
    </w:p>
    <w:p>
      <w:r>
        <w:rPr>
          <w:b/>
          <w:sz w:val="22"/>
        </w:rPr>
        <w:t xml:space="preserve">13. Termination Notice  </w:t>
      </w:r>
      <w:r>
        <w:rPr>
          <w:b/>
          <w:color w:val="DC3545"/>
          <w:sz w:val="18"/>
        </w:rPr>
        <w:t xml:space="preserve">[HIGH RISK]  </w:t>
      </w:r>
      <w:r>
        <w:rPr>
          <w:b/>
          <w:color w:val="28A745"/>
          <w:sz w:val="18"/>
        </w:rPr>
        <w:t>[MATCH]</w:t>
      </w:r>
    </w:p>
    <w:p>
      <w:r>
        <w:rPr>
          <w:color w:val="6C757D"/>
          <w:sz w:val="18"/>
        </w:rPr>
        <w:t>ID: termination_notice    Category: Legal Risk</w:t>
      </w:r>
    </w:p>
    <w:p>
      <w:r>
        <w:rPr>
          <w:b/>
          <w:sz w:val="20"/>
        </w:rPr>
        <w:t xml:space="preserve">Clause: </w:t>
      </w:r>
      <w:r>
        <w:rPr>
          <w:sz w:val="20"/>
        </w:rPr>
        <w:t>90 days written notice by either party</w:t>
      </w:r>
    </w:p>
    <w:p>
      <w:r>
        <w:rPr>
          <w:b/>
          <w:color w:val="1A1A2E"/>
          <w:sz w:val="20"/>
        </w:rPr>
        <w:t xml:space="preserve">Reason: </w:t>
      </w:r>
      <w:r>
        <w:rPr>
          <w:i/>
          <w:sz w:val="20"/>
        </w:rPr>
        <w:t>The document includes a termination clause specifying that either party may terminate by giving 90 days written notice, which aligns with the required clause content.</w:t>
      </w:r>
    </w:p>
    <w:p>
      <w:r>
        <w:t>________________________________________________________________________________</w:t>
      </w:r>
    </w:p>
    <w:p>
      <w:r>
        <w:rPr>
          <w:b/>
          <w:sz w:val="22"/>
        </w:rPr>
        <w:t xml:space="preserve">14. Force Majeure  </w:t>
      </w:r>
      <w:r>
        <w:rPr>
          <w:b/>
          <w:color w:val="DC3545"/>
          <w:sz w:val="18"/>
        </w:rPr>
        <w:t xml:space="preserve">[HIGH RISK]  </w:t>
      </w:r>
      <w:r>
        <w:rPr>
          <w:b/>
          <w:color w:val="DC3545"/>
          <w:sz w:val="18"/>
        </w:rPr>
        <w:t>[VIOLATION]</w:t>
      </w:r>
    </w:p>
    <w:p>
      <w:r>
        <w:rPr>
          <w:color w:val="6C757D"/>
          <w:sz w:val="18"/>
        </w:rPr>
        <w:t>ID: force_majeure    Category: Legal Risk</w:t>
      </w:r>
    </w:p>
    <w:p>
      <w:pPr>
        <w:shd w:val="clear" w:color="auto" w:fill="fde8e8"/>
      </w:pPr>
      <w:r>
        <w:rPr>
          <w:b/>
          <w:sz w:val="20"/>
        </w:rPr>
        <w:t xml:space="preserve">Clause: </w:t>
      </w:r>
      <w:r>
        <w:rPr>
          <w:sz w:val="20"/>
        </w:rPr>
        <w:t>Applicable for natural calamities, government restrictions, or unforeseen events</w:t>
      </w:r>
    </w:p>
    <w:p>
      <w:r>
        <w:rPr>
          <w:b/>
          <w:color w:val="1A1A2E"/>
          <w:sz w:val="20"/>
        </w:rPr>
        <w:t xml:space="preserve">Reason: </w:t>
      </w:r>
      <w:r>
        <w:rPr>
          <w:i/>
          <w:sz w:val="20"/>
        </w:rPr>
        <w:t>The Force Majeure clause mentions natural calamities and events beyond control, but does not explicitly include government restrictions as required.</w:t>
      </w:r>
    </w:p>
    <w:p>
      <w:pPr>
        <w:shd w:val="clear" w:color="auto" w:fill="d4edda"/>
      </w:pPr>
      <w:r>
        <w:rPr>
          <w:b/>
          <w:color w:val="DC3545"/>
          <w:sz w:val="20"/>
        </w:rPr>
        <w:t xml:space="preserve">Corrective Action: </w:t>
      </w:r>
      <w:r>
        <w:rPr>
          <w:i/>
          <w:sz w:val="20"/>
        </w:rPr>
        <w:t>Force Majeure: Neither party shall be liable for delays or failures to perform arising from natural calamities, government restrictions, or any other unforeseen events beyond the reasonable control of the parties.</w:t>
      </w:r>
    </w:p>
    <w:p>
      <w:r>
        <w:t>________________________________________________________________________________</w:t>
      </w:r>
    </w:p>
    <w:p>
      <w:r>
        <w:rPr>
          <w:b/>
          <w:sz w:val="22"/>
        </w:rPr>
        <w:t xml:space="preserve">15. Dispute Resolution  </w:t>
      </w:r>
      <w:r>
        <w:rPr>
          <w:b/>
          <w:color w:val="DC3545"/>
          <w:sz w:val="18"/>
        </w:rPr>
        <w:t xml:space="preserve">[HIGH RISK]  </w:t>
      </w:r>
      <w:r>
        <w:rPr>
          <w:b/>
          <w:color w:val="DC3545"/>
          <w:sz w:val="18"/>
        </w:rPr>
        <w:t>[VIOLATION]</w:t>
      </w:r>
    </w:p>
    <w:p>
      <w:r>
        <w:rPr>
          <w:color w:val="6C757D"/>
          <w:sz w:val="18"/>
        </w:rPr>
        <w:t>ID: dispute_resolution    Category: Legal Risk</w:t>
      </w:r>
    </w:p>
    <w:p>
      <w:pPr>
        <w:shd w:val="clear" w:color="auto" w:fill="fde8e8"/>
      </w:pPr>
      <w:r>
        <w:rPr>
          <w:b/>
          <w:sz w:val="20"/>
        </w:rPr>
        <w:t xml:space="preserve">Clause: </w:t>
      </w:r>
      <w:r>
        <w:rPr>
          <w:sz w:val="20"/>
        </w:rPr>
        <w:t>Arbitration in Hyderabad under Arbitration and Conciliation Act, 1996</w:t>
      </w:r>
    </w:p>
    <w:p>
      <w:r>
        <w:rPr>
          <w:b/>
          <w:color w:val="1A1A2E"/>
          <w:sz w:val="20"/>
        </w:rPr>
        <w:t xml:space="preserve">Reason: </w:t>
      </w:r>
      <w:r>
        <w:rPr>
          <w:i/>
          <w:sz w:val="20"/>
        </w:rPr>
        <w:t>The document includes a Dispute Resolution clause referencing arbitration under the Arbitration and Conciliation Act, 1996, but it does not specify that arbitration must be conducted in Hyderabad as required by the clause content.</w:t>
      </w:r>
    </w:p>
    <w:p>
      <w:pPr>
        <w:shd w:val="clear" w:color="auto" w:fill="d4edda"/>
      </w:pPr>
      <w:r>
        <w:rPr>
          <w:b/>
          <w:color w:val="DC3545"/>
          <w:sz w:val="20"/>
        </w:rPr>
        <w:t xml:space="preserve">Corrective Action: </w:t>
      </w:r>
      <w:r>
        <w:rPr>
          <w:i/>
          <w:sz w:val="20"/>
        </w:rPr>
        <w:t>Dispute Resolution: Disputes shall be resolved by arbitration in Hyderabad under the Arbitration and Conciliation Act, 1996.</w:t>
      </w:r>
    </w:p>
    <w:p>
      <w:r>
        <w:t>________________________________________________________________________________</w:t>
      </w:r>
    </w:p>
    <w:p>
      <w:r>
        <w:rPr>
          <w:b/>
          <w:sz w:val="22"/>
        </w:rPr>
        <w:t xml:space="preserve">16. Governing Law  </w:t>
      </w:r>
      <w:r>
        <w:rPr>
          <w:b/>
          <w:color w:val="DC3545"/>
          <w:sz w:val="18"/>
        </w:rPr>
        <w:t xml:space="preserve">[HIGH RISK]  </w:t>
      </w:r>
      <w:r>
        <w:rPr>
          <w:b/>
          <w:color w:val="FD7E14"/>
          <w:sz w:val="18"/>
        </w:rPr>
        <w:t>[NOT FOUND]</w:t>
      </w:r>
    </w:p>
    <w:p>
      <w:r>
        <w:rPr>
          <w:color w:val="6C757D"/>
          <w:sz w:val="18"/>
        </w:rPr>
        <w:t>ID: governing_law    Category: Legal Risk</w:t>
      </w:r>
    </w:p>
    <w:p>
      <w:r>
        <w:rPr>
          <w:b/>
          <w:sz w:val="20"/>
        </w:rPr>
        <w:t xml:space="preserve">Clause: </w:t>
      </w:r>
      <w:r>
        <w:rPr>
          <w:sz w:val="20"/>
        </w:rPr>
        <w:t>Laws of India</w:t>
      </w:r>
    </w:p>
    <w:p>
      <w:r>
        <w:rPr>
          <w:b/>
          <w:color w:val="1A1A2E"/>
          <w:sz w:val="20"/>
        </w:rPr>
        <w:t xml:space="preserve">Reason: </w:t>
      </w:r>
      <w:r>
        <w:rPr>
          <w:i/>
          <w:sz w:val="20"/>
        </w:rPr>
        <w:t>The document does not contain a specific Governing Law clause stating that the agreement is governed by the laws of India.</w:t>
      </w:r>
    </w:p>
    <w:p>
      <w:pPr>
        <w:shd w:val="clear" w:color="auto" w:fill="fff3cd"/>
      </w:pPr>
      <w:r>
        <w:rPr>
          <w:b/>
          <w:color w:val="FD7E14"/>
          <w:sz w:val="20"/>
        </w:rPr>
        <w:t xml:space="preserve">Recommended Addition: </w:t>
      </w:r>
      <w:r>
        <w:rPr>
          <w:i/>
          <w:sz w:val="20"/>
        </w:rPr>
        <w:t>Governing Law: This Agreement shall be governed by and construed in accordance with the laws of India.</w:t>
      </w:r>
    </w:p>
    <w:p>
      <w:r>
        <w:t>________________________________________________________________________________</w:t>
      </w:r>
    </w:p>
    <w:p>
      <w:r>
        <w:rPr>
          <w:b/>
          <w:sz w:val="22"/>
        </w:rPr>
        <w:t xml:space="preserve">17. Stamp Duty  </w:t>
      </w:r>
      <w:r>
        <w:rPr>
          <w:b/>
          <w:color w:val="28A745"/>
          <w:sz w:val="18"/>
        </w:rPr>
        <w:t xml:space="preserve">[LOW RISK]  </w:t>
      </w:r>
      <w:r>
        <w:rPr>
          <w:b/>
          <w:color w:val="DC3545"/>
          <w:sz w:val="18"/>
        </w:rPr>
        <w:t>[VIOLATION]</w:t>
      </w:r>
    </w:p>
    <w:p>
      <w:r>
        <w:rPr>
          <w:color w:val="6C757D"/>
          <w:sz w:val="18"/>
        </w:rPr>
        <w:t>ID: stamp_duty    Category: Process Risk</w:t>
      </w:r>
    </w:p>
    <w:p>
      <w:pPr>
        <w:shd w:val="clear" w:color="auto" w:fill="fde8e8"/>
      </w:pPr>
      <w:r>
        <w:rPr>
          <w:b/>
          <w:sz w:val="20"/>
        </w:rPr>
        <w:t xml:space="preserve">Clause: </w:t>
      </w:r>
      <w:r>
        <w:rPr>
          <w:sz w:val="20"/>
        </w:rPr>
        <w:t>Stamp duty borne by Tenant as per Telangana Stamp Act</w:t>
      </w:r>
    </w:p>
    <w:p>
      <w:r>
        <w:rPr>
          <w:b/>
          <w:color w:val="1A1A2E"/>
          <w:sz w:val="20"/>
        </w:rPr>
        <w:t xml:space="preserve">Reason: </w:t>
      </w:r>
      <w:r>
        <w:rPr>
          <w:i/>
          <w:sz w:val="20"/>
        </w:rPr>
        <w:t>The clause on stamp duty is present but references the Indian Stamp Act instead of the required Telangana Stamp Act.</w:t>
      </w:r>
    </w:p>
    <w:p>
      <w:pPr>
        <w:shd w:val="clear" w:color="auto" w:fill="d4edda"/>
      </w:pPr>
      <w:r>
        <w:rPr>
          <w:b/>
          <w:color w:val="DC3545"/>
          <w:sz w:val="20"/>
        </w:rPr>
        <w:t xml:space="preserve">Corrective Action: </w:t>
      </w:r>
      <w:r>
        <w:rPr>
          <w:i/>
          <w:sz w:val="20"/>
        </w:rPr>
        <w:t>Stamp Duty: Applicable stamp duty shall be borne by the Tenant as per Telangana Stamp Act.</w:t>
      </w:r>
    </w:p>
    <w:p>
      <w:r>
        <w:t>________________________________________________________________________________</w:t>
      </w:r>
    </w:p>
    <w:p>
      <w:r>
        <w:rPr>
          <w:b/>
          <w:sz w:val="22"/>
        </w:rPr>
        <w:t xml:space="preserve">18. Registration  </w:t>
      </w:r>
      <w:r>
        <w:rPr>
          <w:b/>
          <w:color w:val="28A745"/>
          <w:sz w:val="18"/>
        </w:rPr>
        <w:t xml:space="preserve">[LOW RISK]  </w:t>
      </w:r>
      <w:r>
        <w:rPr>
          <w:b/>
          <w:color w:val="DC3545"/>
          <w:sz w:val="18"/>
        </w:rPr>
        <w:t>[VIOLATION]</w:t>
      </w:r>
    </w:p>
    <w:p>
      <w:r>
        <w:rPr>
          <w:color w:val="6C757D"/>
          <w:sz w:val="18"/>
        </w:rPr>
        <w:t>ID: registration    Category: Process Risk</w:t>
      </w:r>
    </w:p>
    <w:p>
      <w:pPr>
        <w:shd w:val="clear" w:color="auto" w:fill="fde8e8"/>
      </w:pPr>
      <w:r>
        <w:rPr>
          <w:b/>
          <w:sz w:val="20"/>
        </w:rPr>
        <w:t xml:space="preserve">Clause: </w:t>
      </w:r>
      <w:r>
        <w:rPr>
          <w:sz w:val="20"/>
        </w:rPr>
        <w:t>Agreement shall be registered at Hyderabad Sub-Registrar Office</w:t>
      </w:r>
    </w:p>
    <w:p>
      <w:r>
        <w:rPr>
          <w:b/>
          <w:color w:val="1A1A2E"/>
          <w:sz w:val="20"/>
        </w:rPr>
        <w:t xml:space="preserve">Reason: </w:t>
      </w:r>
      <w:r>
        <w:rPr>
          <w:i/>
          <w:sz w:val="20"/>
        </w:rPr>
        <w:t>The document includes a registration clause, but it specifies registration in Bengaluru, not at the Hyderabad Sub-Registrar Office as required.</w:t>
      </w:r>
    </w:p>
    <w:p>
      <w:pPr>
        <w:shd w:val="clear" w:color="auto" w:fill="d4edda"/>
      </w:pPr>
      <w:r>
        <w:rPr>
          <w:b/>
          <w:color w:val="DC3545"/>
          <w:sz w:val="20"/>
        </w:rPr>
        <w:t xml:space="preserve">Corrective Action: </w:t>
      </w:r>
      <w:r>
        <w:rPr>
          <w:i/>
          <w:sz w:val="20"/>
        </w:rPr>
        <w:t>This Agreement shall be registered at Hyderabad Sub-Registrar Office.</w:t>
      </w:r>
    </w:p>
    <w:p>
      <w:r>
        <w:t>________________________________________________________________________________</w:t>
      </w:r>
    </w:p>
    <w:p>
      <w:r>
        <w:rPr>
          <w:b/>
          <w:sz w:val="22"/>
        </w:rPr>
        <w:t xml:space="preserve">19. Notary Clause  </w:t>
      </w:r>
      <w:r>
        <w:rPr>
          <w:b/>
          <w:color w:val="FD7E14"/>
          <w:sz w:val="18"/>
        </w:rPr>
        <w:t xml:space="preserve">[MEDIUM RISK]  </w:t>
      </w:r>
      <w:r>
        <w:rPr>
          <w:b/>
          <w:color w:val="FD7E14"/>
          <w:sz w:val="18"/>
        </w:rPr>
        <w:t>[NOT FOUND]</w:t>
      </w:r>
    </w:p>
    <w:p>
      <w:r>
        <w:rPr>
          <w:color w:val="6C757D"/>
          <w:sz w:val="18"/>
        </w:rPr>
        <w:t>ID: notary_clause    Category: General</w:t>
      </w:r>
    </w:p>
    <w:p>
      <w:r>
        <w:rPr>
          <w:b/>
          <w:sz w:val="20"/>
        </w:rPr>
        <w:t xml:space="preserve">Clause: </w:t>
      </w:r>
      <w:r>
        <w:rPr>
          <w:sz w:val="20"/>
        </w:rPr>
        <w:t>Agreement shall be notarized before a registered Notary Public</w:t>
      </w:r>
    </w:p>
    <w:p>
      <w:r>
        <w:rPr>
          <w:b/>
          <w:color w:val="1A1A2E"/>
          <w:sz w:val="20"/>
        </w:rPr>
        <w:t xml:space="preserve">Reason: </w:t>
      </w:r>
      <w:r>
        <w:rPr>
          <w:i/>
          <w:sz w:val="20"/>
        </w:rPr>
        <w:t>AI response could not be parsed</w:t>
      </w:r>
    </w:p>
    <w:p>
      <w:pPr>
        <w:shd w:val="clear" w:color="auto" w:fill="fff3cd"/>
      </w:pPr>
      <w:r>
        <w:rPr>
          <w:b/>
          <w:color w:val="FD7E14"/>
          <w:sz w:val="20"/>
        </w:rPr>
        <w:t xml:space="preserve">Recommended Addition: </w:t>
      </w:r>
      <w:r>
        <w:rPr>
          <w:i/>
          <w:sz w:val="20"/>
        </w:rPr>
        <w:t>Clause 'Notary Clause' could not be analyzed. Manual review recommended.</w:t>
      </w:r>
    </w:p>
    <w:p>
      <w:r>
        <w:t>________________________________________________________________________________</w:t>
      </w:r>
    </w:p>
    <w:p>
      <w:r>
        <w:rPr>
          <w:b/>
          <w:sz w:val="22"/>
        </w:rPr>
        <w:t xml:space="preserve">20. Witness Clause  </w:t>
      </w:r>
      <w:r>
        <w:rPr>
          <w:b/>
          <w:color w:val="28A745"/>
          <w:sz w:val="18"/>
        </w:rPr>
        <w:t xml:space="preserve">[LOW RISK]  </w:t>
      </w:r>
      <w:r>
        <w:rPr>
          <w:b/>
          <w:color w:val="DC3545"/>
          <w:sz w:val="18"/>
        </w:rPr>
        <w:t>[VIOLATION]</w:t>
      </w:r>
    </w:p>
    <w:p>
      <w:r>
        <w:rPr>
          <w:color w:val="6C757D"/>
          <w:sz w:val="18"/>
        </w:rPr>
        <w:t>ID: witness_clause    Category: Process Risk</w:t>
      </w:r>
    </w:p>
    <w:p>
      <w:pPr>
        <w:shd w:val="clear" w:color="auto" w:fill="fde8e8"/>
      </w:pPr>
      <w:r>
        <w:rPr>
          <w:b/>
          <w:sz w:val="20"/>
        </w:rPr>
        <w:t xml:space="preserve">Clause: </w:t>
      </w:r>
      <w:r>
        <w:rPr>
          <w:sz w:val="20"/>
        </w:rPr>
        <w:t>Signed in presence of two witnesses with valid ID proof</w:t>
      </w:r>
    </w:p>
    <w:p>
      <w:r>
        <w:rPr>
          <w:b/>
          <w:color w:val="1A1A2E"/>
          <w:sz w:val="20"/>
        </w:rPr>
        <w:t xml:space="preserve">Reason: </w:t>
      </w:r>
      <w:r>
        <w:rPr>
          <w:i/>
          <w:sz w:val="20"/>
        </w:rPr>
        <w:t>The document includes a witness clause with two witnesses, but it does not require the witnesses to present valid ID proof as stipulated.</w:t>
      </w:r>
    </w:p>
    <w:p>
      <w:pPr>
        <w:shd w:val="clear" w:color="auto" w:fill="d4edda"/>
      </w:pPr>
      <w:r>
        <w:rPr>
          <w:b/>
          <w:color w:val="DC3545"/>
          <w:sz w:val="20"/>
        </w:rPr>
        <w:t xml:space="preserve">Corrective Action: </w:t>
      </w:r>
      <w:r>
        <w:rPr>
          <w:i/>
          <w:sz w:val="20"/>
        </w:rPr>
        <w:t>Witness Clause: The Agreement shall be signed in the presence of two independent witnesses, each of whom must present a valid government‑issued ID proof (e.g., Aadhaar card, PAN card, passport) at the time of signing. Witnesses shall sign and print their names below, and attach a copy of their ID proof to the Agreement.</w:t>
      </w:r>
    </w:p>
    <w:p>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