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791993" w14:textId="77777777" w:rsidR="009872E4" w:rsidRDefault="009872E4" w:rsidP="00616E02">
      <w:pPr>
        <w:pStyle w:val="Heading2"/>
        <w:numPr>
          <w:ilvl w:val="0"/>
          <w:numId w:val="0"/>
        </w:numPr>
        <w:spacing w:before="0"/>
        <w:rPr>
          <w:lang w:val="en-GB"/>
        </w:rPr>
      </w:pPr>
      <w:r w:rsidRPr="006A5C7F">
        <w:rPr>
          <w:lang w:val="en-GB"/>
        </w:rPr>
        <w:t>Testamentary traces of contested design knowledge: mobilising the Royal College of Art’s Department of Design Research archive</w:t>
      </w:r>
    </w:p>
    <w:p w14:paraId="6A2FF629" w14:textId="77777777" w:rsidR="00947E21" w:rsidRPr="00947E21" w:rsidRDefault="00947E21" w:rsidP="00947E21">
      <w:pPr>
        <w:pStyle w:val="Heading4"/>
        <w:spacing w:before="0"/>
        <w:rPr>
          <w:b w:val="0"/>
          <w:bCs w:val="0"/>
          <w:i w:val="0"/>
          <w:iCs w:val="0"/>
        </w:rPr>
      </w:pPr>
      <w:r w:rsidRPr="00947E21">
        <w:rPr>
          <w:b w:val="0"/>
          <w:bCs w:val="0"/>
          <w:i w:val="0"/>
          <w:iCs w:val="0"/>
        </w:rPr>
        <w:t>Graham Newman</w:t>
      </w:r>
    </w:p>
    <w:p w14:paraId="1A50D1A3" w14:textId="08644188" w:rsidR="00B54A07" w:rsidRDefault="00AF6BA4" w:rsidP="00947E21">
      <w:pPr>
        <w:pStyle w:val="Heading4"/>
        <w:spacing w:before="0"/>
        <w:rPr>
          <w:b w:val="0"/>
          <w:bCs w:val="0"/>
          <w:i w:val="0"/>
          <w:iCs w:val="0"/>
          <w:lang w:val="en-GB"/>
        </w:rPr>
      </w:pPr>
      <w:r w:rsidRPr="006A5C7F">
        <w:rPr>
          <w:b w:val="0"/>
          <w:bCs w:val="0"/>
          <w:i w:val="0"/>
          <w:iCs w:val="0"/>
          <w:lang w:val="en-GB"/>
        </w:rPr>
        <w:t>Expanded a</w:t>
      </w:r>
      <w:r w:rsidR="00234774" w:rsidRPr="006A5C7F">
        <w:rPr>
          <w:b w:val="0"/>
          <w:bCs w:val="0"/>
          <w:i w:val="0"/>
          <w:iCs w:val="0"/>
          <w:lang w:val="en-GB"/>
        </w:rPr>
        <w:t>bstract</w:t>
      </w:r>
      <w:r w:rsidR="001F757F">
        <w:rPr>
          <w:b w:val="0"/>
          <w:bCs w:val="0"/>
          <w:i w:val="0"/>
          <w:iCs w:val="0"/>
          <w:lang w:val="en-GB"/>
        </w:rPr>
        <w:t>. Word count: 98</w:t>
      </w:r>
      <w:r w:rsidR="00947E21">
        <w:rPr>
          <w:b w:val="0"/>
          <w:bCs w:val="0"/>
          <w:i w:val="0"/>
          <w:iCs w:val="0"/>
          <w:lang w:val="en-GB"/>
        </w:rPr>
        <w:t>8</w:t>
      </w:r>
    </w:p>
    <w:p w14:paraId="7704B21C" w14:textId="77777777" w:rsidR="00947E21" w:rsidRPr="00947E21" w:rsidRDefault="00947E21" w:rsidP="00947E21">
      <w:pPr>
        <w:rPr>
          <w:lang w:val="en-GB"/>
        </w:rPr>
      </w:pPr>
    </w:p>
    <w:p w14:paraId="457DC917" w14:textId="01DFFC86" w:rsidR="00616E02" w:rsidRPr="00616E02" w:rsidRDefault="00616E02" w:rsidP="00616E02">
      <w:pPr>
        <w:rPr>
          <w:lang w:val="en-GB"/>
        </w:rPr>
      </w:pPr>
      <w:r w:rsidRPr="00616E02">
        <w:rPr>
          <w:lang w:val="en-GB"/>
        </w:rPr>
        <w:t>Between 1965 and 1985</w:t>
      </w:r>
      <w:r w:rsidR="006E71F1">
        <w:rPr>
          <w:lang w:val="en-GB"/>
        </w:rPr>
        <w:t>,</w:t>
      </w:r>
      <w:r w:rsidR="000338BE" w:rsidRPr="006A5C7F">
        <w:rPr>
          <w:lang w:val="en-GB"/>
        </w:rPr>
        <w:t xml:space="preserve"> </w:t>
      </w:r>
      <w:r w:rsidRPr="00616E02">
        <w:rPr>
          <w:lang w:val="en-GB"/>
        </w:rPr>
        <w:t xml:space="preserve">the Royal College of Art’s Department of Design Research (DDR) was central to the formation of British design research. Under the direction of </w:t>
      </w:r>
      <w:r w:rsidR="001F757F">
        <w:rPr>
          <w:lang w:val="en-GB"/>
        </w:rPr>
        <w:t xml:space="preserve">Professor </w:t>
      </w:r>
      <w:r w:rsidRPr="00616E02">
        <w:rPr>
          <w:lang w:val="en-GB"/>
        </w:rPr>
        <w:t xml:space="preserve">Bruce Archer, the department brought together researchers including Kenneth Agnew, George Mallen, Gillian Patterson, Ken Baynes and Richard Langdon to </w:t>
      </w:r>
      <w:r w:rsidR="001F757F">
        <w:rPr>
          <w:lang w:val="en-GB"/>
        </w:rPr>
        <w:t>cultivate</w:t>
      </w:r>
      <w:r w:rsidRPr="00616E02">
        <w:rPr>
          <w:lang w:val="en-GB"/>
        </w:rPr>
        <w:t xml:space="preserve"> what design research might be, </w:t>
      </w:r>
      <w:r w:rsidR="00052A81" w:rsidRPr="006A5C7F">
        <w:rPr>
          <w:lang w:val="en-GB"/>
        </w:rPr>
        <w:t>where it might operate and what knowledge it could produce</w:t>
      </w:r>
      <w:r w:rsidRPr="00616E02">
        <w:rPr>
          <w:lang w:val="en-GB"/>
        </w:rPr>
        <w:t xml:space="preserve">. Through work in design policy, healthcare, disability, computing, education and industrial design, </w:t>
      </w:r>
      <w:r w:rsidR="00052A81" w:rsidRPr="006A5C7F">
        <w:rPr>
          <w:lang w:val="en-GB"/>
        </w:rPr>
        <w:t>the department helped define design research as a field in which objects, methods, practice and knowledge production were under active investigation</w:t>
      </w:r>
      <w:r w:rsidRPr="00616E02">
        <w:rPr>
          <w:lang w:val="en-GB"/>
        </w:rPr>
        <w:t xml:space="preserve">. Forty years later, that contribution remains visible but difficult to study as a coherent field. The archival materials are dispersed across </w:t>
      </w:r>
      <w:r w:rsidR="006E71F1">
        <w:rPr>
          <w:lang w:val="en-GB"/>
        </w:rPr>
        <w:t>Royal College of Art</w:t>
      </w:r>
      <w:r w:rsidRPr="00616E02">
        <w:rPr>
          <w:lang w:val="en-GB"/>
        </w:rPr>
        <w:t xml:space="preserve"> Special Collections and the DDR archive at V&amp;A East Storehouse. They are partial, unevenly described and inconsistently accessible. </w:t>
      </w:r>
      <w:r w:rsidR="00052A81" w:rsidRPr="006A5C7F">
        <w:rPr>
          <w:lang w:val="en-GB"/>
        </w:rPr>
        <w:t>This condition is the thesis’s starting point and the ground of its contribution to knowledge.</w:t>
      </w:r>
    </w:p>
    <w:p w14:paraId="05984FDA" w14:textId="631CFB09" w:rsidR="00616E02" w:rsidRPr="00616E02" w:rsidRDefault="00616E02" w:rsidP="00616E02">
      <w:pPr>
        <w:rPr>
          <w:lang w:val="en-GB"/>
        </w:rPr>
      </w:pPr>
      <w:r w:rsidRPr="00616E02">
        <w:rPr>
          <w:lang w:val="en-GB"/>
        </w:rPr>
        <w:t xml:space="preserve">The practice-led thesis begins from this problem. The DDR archive’s existence does not yet make it a coherent research resource. </w:t>
      </w:r>
      <w:r w:rsidR="006E71F1">
        <w:t>Documents, recollections, catalogue descriptions and absences survive in relation to one another and must be reconstructed</w:t>
      </w:r>
      <w:r w:rsidR="00052A81" w:rsidRPr="006A5C7F">
        <w:rPr>
          <w:lang w:val="en-GB"/>
        </w:rPr>
        <w:t xml:space="preserve"> across partial records</w:t>
      </w:r>
      <w:r w:rsidRPr="00616E02">
        <w:rPr>
          <w:lang w:val="en-GB"/>
        </w:rPr>
        <w:t>, institutional memory and uneven systems of description.</w:t>
      </w:r>
    </w:p>
    <w:p w14:paraId="3F3BFF2A" w14:textId="77777777" w:rsidR="00616E02" w:rsidRPr="00616E02" w:rsidRDefault="00616E02" w:rsidP="00616E02">
      <w:pPr>
        <w:rPr>
          <w:lang w:val="en-GB"/>
        </w:rPr>
      </w:pPr>
      <w:r w:rsidRPr="00616E02">
        <w:rPr>
          <w:lang w:val="en-GB"/>
        </w:rPr>
        <w:t>My main research question therefore asks:</w:t>
      </w:r>
    </w:p>
    <w:p w14:paraId="7BB8C519" w14:textId="77777777" w:rsidR="00616E02" w:rsidRPr="00616E02" w:rsidRDefault="00616E02" w:rsidP="000338BE">
      <w:pPr>
        <w:ind w:left="720"/>
        <w:rPr>
          <w:i/>
          <w:iCs/>
          <w:lang w:val="en-GB"/>
        </w:rPr>
      </w:pPr>
      <w:r w:rsidRPr="00616E02">
        <w:rPr>
          <w:i/>
          <w:iCs/>
          <w:lang w:val="en-GB"/>
        </w:rPr>
        <w:t>How might testamentary traces of contested design knowledge be mobilised to activate the RCA’s DDR archive?</w:t>
      </w:r>
    </w:p>
    <w:p w14:paraId="7A6E3DEC" w14:textId="77777777" w:rsidR="00616E02" w:rsidRPr="00616E02" w:rsidRDefault="00616E02" w:rsidP="00616E02">
      <w:pPr>
        <w:rPr>
          <w:lang w:val="en-GB"/>
        </w:rPr>
      </w:pPr>
      <w:r w:rsidRPr="00616E02">
        <w:rPr>
          <w:lang w:val="en-GB"/>
        </w:rPr>
        <w:t>With a secondary question that looks forward:</w:t>
      </w:r>
    </w:p>
    <w:p w14:paraId="724A91E0" w14:textId="77777777" w:rsidR="00616E02" w:rsidRPr="00616E02" w:rsidRDefault="00616E02" w:rsidP="000338BE">
      <w:pPr>
        <w:ind w:left="720"/>
        <w:rPr>
          <w:i/>
          <w:iCs/>
          <w:lang w:val="en-GB"/>
        </w:rPr>
      </w:pPr>
      <w:r w:rsidRPr="00616E02">
        <w:rPr>
          <w:i/>
          <w:iCs/>
          <w:lang w:val="en-GB"/>
        </w:rPr>
        <w:t>How might revisiting the ideas current in the DDR period inform contemporary design and design research knowledge?</w:t>
      </w:r>
    </w:p>
    <w:p w14:paraId="31CB240E" w14:textId="4CEAEE22" w:rsidR="00616E02" w:rsidRPr="00616E02" w:rsidRDefault="00616E02" w:rsidP="00616E02">
      <w:pPr>
        <w:rPr>
          <w:lang w:val="en-GB"/>
        </w:rPr>
      </w:pPr>
      <w:r w:rsidRPr="00616E02">
        <w:rPr>
          <w:lang w:val="en-GB"/>
        </w:rPr>
        <w:lastRenderedPageBreak/>
        <w:t xml:space="preserve">By testamentary traces, I mean </w:t>
      </w:r>
      <w:r w:rsidR="00052A81" w:rsidRPr="006A5C7F">
        <w:rPr>
          <w:lang w:val="en-GB"/>
        </w:rPr>
        <w:t>the documentary, descriptive, remembered and absent traces</w:t>
      </w:r>
      <w:r w:rsidRPr="00616E02">
        <w:rPr>
          <w:lang w:val="en-GB"/>
        </w:rPr>
        <w:t xml:space="preserve"> through which DDR research culture can be interpreted. By mobilised, I mean </w:t>
      </w:r>
      <w:r w:rsidR="00052A81" w:rsidRPr="006A5C7F">
        <w:rPr>
          <w:lang w:val="en-GB"/>
        </w:rPr>
        <w:t xml:space="preserve">brought into forms that make dispersed material legible, connected and usable </w:t>
      </w:r>
      <w:r w:rsidRPr="00616E02">
        <w:rPr>
          <w:lang w:val="en-GB"/>
        </w:rPr>
        <w:t xml:space="preserve">for interpretation in the present. </w:t>
      </w:r>
      <w:r w:rsidR="00052A81" w:rsidRPr="006A5C7F">
        <w:rPr>
          <w:lang w:val="en-GB"/>
        </w:rPr>
        <w:t>The project treats the archive as historical evidence and methodological site</w:t>
      </w:r>
      <w:r w:rsidRPr="00616E02">
        <w:rPr>
          <w:lang w:val="en-GB"/>
        </w:rPr>
        <w:t xml:space="preserve">: a domain where design knowledge was recorded, organised and obscured under particular institutional conditions. </w:t>
      </w:r>
      <w:r w:rsidR="00052A81" w:rsidRPr="006A5C7F">
        <w:rPr>
          <w:lang w:val="en-GB"/>
        </w:rPr>
        <w:t>The thesis addresses this through three strands</w:t>
      </w:r>
      <w:r w:rsidRPr="00616E02">
        <w:rPr>
          <w:lang w:val="en-GB"/>
        </w:rPr>
        <w:t>: historical emergence, archival mediation and computational reactivation.</w:t>
      </w:r>
    </w:p>
    <w:p w14:paraId="5932F34B" w14:textId="7CE8D556" w:rsidR="00616E02" w:rsidRPr="00616E02" w:rsidRDefault="00616E02" w:rsidP="00616E02">
      <w:pPr>
        <w:rPr>
          <w:lang w:val="en-GB"/>
        </w:rPr>
      </w:pPr>
      <w:proofErr w:type="gramStart"/>
      <w:r w:rsidRPr="00616E02">
        <w:rPr>
          <w:lang w:val="en-GB"/>
        </w:rPr>
        <w:t>Strand</w:t>
      </w:r>
      <w:proofErr w:type="gramEnd"/>
      <w:r w:rsidRPr="00616E02">
        <w:rPr>
          <w:lang w:val="en-GB"/>
        </w:rPr>
        <w:t xml:space="preserve"> one reconstructs how contested design knowledge took shape through debate, institutional experiment and project </w:t>
      </w:r>
      <w:r w:rsidR="00A0340A">
        <w:rPr>
          <w:lang w:val="en-GB"/>
        </w:rPr>
        <w:t>outcome</w:t>
      </w:r>
      <w:r w:rsidRPr="00616E02">
        <w:rPr>
          <w:lang w:val="en-GB"/>
        </w:rPr>
        <w:t xml:space="preserve">. </w:t>
      </w:r>
      <w:r w:rsidR="00052A81" w:rsidRPr="006A5C7F">
        <w:rPr>
          <w:lang w:val="en-GB"/>
        </w:rPr>
        <w:t>Archer’s writing on systematic method, design education and design research provides a central line of inquiry</w:t>
      </w:r>
      <w:r w:rsidRPr="00616E02">
        <w:rPr>
          <w:lang w:val="en-GB"/>
        </w:rPr>
        <w:t xml:space="preserve">, alongside later formulations by Nigel Cross and Christopher Frayling. </w:t>
      </w:r>
      <w:r w:rsidR="00052A81" w:rsidRPr="006A5C7F">
        <w:rPr>
          <w:lang w:val="en-GB"/>
        </w:rPr>
        <w:t>The analysis also attends to distributed work</w:t>
      </w:r>
      <w:r w:rsidRPr="00616E02">
        <w:rPr>
          <w:lang w:val="en-GB"/>
        </w:rPr>
        <w:t xml:space="preserve"> of DDR researchers and collaborators </w:t>
      </w:r>
      <w:r w:rsidR="00052A81" w:rsidRPr="006A5C7F">
        <w:rPr>
          <w:lang w:val="en-GB"/>
        </w:rPr>
        <w:t>complicating a founder-led account of the department</w:t>
      </w:r>
      <w:r w:rsidRPr="00616E02">
        <w:rPr>
          <w:lang w:val="en-GB"/>
        </w:rPr>
        <w:t xml:space="preserve">. Patterson’s work on hospital </w:t>
      </w:r>
      <w:r w:rsidR="000338BE" w:rsidRPr="006A5C7F">
        <w:rPr>
          <w:lang w:val="en-GB"/>
        </w:rPr>
        <w:t xml:space="preserve">bed </w:t>
      </w:r>
      <w:r w:rsidRPr="00616E02">
        <w:rPr>
          <w:lang w:val="en-GB"/>
        </w:rPr>
        <w:t xml:space="preserve">design, Baynes and Langdon’s role in design education, Mallen’s work on computing, and the collections of Agnew and Wood </w:t>
      </w:r>
      <w:r w:rsidR="00052A81" w:rsidRPr="006A5C7F">
        <w:rPr>
          <w:lang w:val="en-GB"/>
        </w:rPr>
        <w:t>point to a research culture in which design knowledge was practical, institutional and social</w:t>
      </w:r>
      <w:r w:rsidRPr="00616E02">
        <w:rPr>
          <w:lang w:val="en-GB"/>
        </w:rPr>
        <w:t xml:space="preserve">. Feminist and situated critiques, </w:t>
      </w:r>
      <w:r w:rsidR="00052A81" w:rsidRPr="006A5C7F">
        <w:rPr>
          <w:lang w:val="en-GB"/>
        </w:rPr>
        <w:t>particularly Cheryl Buckley on design historiography and Lucy Suchman on located accountability and invisible labour</w:t>
      </w:r>
      <w:r w:rsidRPr="00616E02">
        <w:rPr>
          <w:lang w:val="en-GB"/>
        </w:rPr>
        <w:t xml:space="preserve">, sharpen this line of inquiry </w:t>
      </w:r>
      <w:r w:rsidR="00052A81" w:rsidRPr="006A5C7F">
        <w:rPr>
          <w:lang w:val="en-GB"/>
        </w:rPr>
        <w:t>by asking whose labour becomes recognised and preserved</w:t>
      </w:r>
      <w:r w:rsidRPr="00616E02">
        <w:rPr>
          <w:lang w:val="en-GB"/>
        </w:rPr>
        <w:t xml:space="preserve">. </w:t>
      </w:r>
      <w:proofErr w:type="gramStart"/>
      <w:r w:rsidR="00052A81" w:rsidRPr="006A5C7F">
        <w:rPr>
          <w:lang w:val="en-GB"/>
        </w:rPr>
        <w:t>Strand</w:t>
      </w:r>
      <w:proofErr w:type="gramEnd"/>
      <w:r w:rsidR="00052A81" w:rsidRPr="006A5C7F">
        <w:rPr>
          <w:lang w:val="en-GB"/>
        </w:rPr>
        <w:t xml:space="preserve"> one establishes the historical unevenness the archive inherits.</w:t>
      </w:r>
    </w:p>
    <w:p w14:paraId="12AC65A8" w14:textId="4883F42F" w:rsidR="00616E02" w:rsidRPr="00616E02" w:rsidRDefault="00052A81" w:rsidP="00616E02">
      <w:pPr>
        <w:rPr>
          <w:lang w:val="en-GB"/>
        </w:rPr>
      </w:pPr>
      <w:r w:rsidRPr="006A5C7F">
        <w:rPr>
          <w:lang w:val="en-GB"/>
        </w:rPr>
        <w:t>Strand two uses archival investigation and oral history to work with fragmentary material.</w:t>
      </w:r>
      <w:r w:rsidR="00616E02" w:rsidRPr="00616E02">
        <w:rPr>
          <w:lang w:val="en-GB"/>
        </w:rPr>
        <w:t xml:space="preserve"> Archival investigation asks how </w:t>
      </w:r>
      <w:r w:rsidRPr="006A5C7F">
        <w:rPr>
          <w:lang w:val="en-GB"/>
        </w:rPr>
        <w:t>description, classification, provenance, catalogue structure, omission and missingness</w:t>
      </w:r>
      <w:r w:rsidR="00616E02" w:rsidRPr="00616E02">
        <w:rPr>
          <w:lang w:val="en-GB"/>
        </w:rPr>
        <w:t xml:space="preserve"> shape what can be found, connected and treated as historically significant. Tom Nesmith, Luciana Duranti, David Bearman, Geoffrey Bowker and Susan Leigh Star, Joan Schwartz and Terry Cook </w:t>
      </w:r>
      <w:r w:rsidRPr="006A5C7F">
        <w:rPr>
          <w:lang w:val="en-GB"/>
        </w:rPr>
        <w:t>frame archives as systems that actively structure evidence</w:t>
      </w:r>
      <w:r w:rsidR="00616E02" w:rsidRPr="00616E02">
        <w:rPr>
          <w:lang w:val="en-GB"/>
        </w:rPr>
        <w:t xml:space="preserve">. Oral history from DDR staff and students </w:t>
      </w:r>
      <w:r w:rsidRPr="006A5C7F">
        <w:rPr>
          <w:lang w:val="en-GB"/>
        </w:rPr>
        <w:t>works through a different evidential logic</w:t>
      </w:r>
      <w:r w:rsidR="000338BE" w:rsidRPr="006A5C7F">
        <w:rPr>
          <w:lang w:val="en-GB"/>
        </w:rPr>
        <w:t>, f</w:t>
      </w:r>
      <w:r w:rsidR="00616E02" w:rsidRPr="00616E02">
        <w:rPr>
          <w:lang w:val="en-GB"/>
        </w:rPr>
        <w:t>ramed through Alessandro Portelli and Alistair Thomson</w:t>
      </w:r>
      <w:r w:rsidR="000338BE" w:rsidRPr="006A5C7F">
        <w:rPr>
          <w:lang w:val="en-GB"/>
        </w:rPr>
        <w:t>. T</w:t>
      </w:r>
      <w:r w:rsidR="00616E02" w:rsidRPr="00616E02">
        <w:rPr>
          <w:lang w:val="en-GB"/>
        </w:rPr>
        <w:t>estimony is treated as retrospective meaning-making shaped by memory, narration and present concerns. This distinction matters because DDR evidence survives as documents, catalogue structures, absences, memories and later interpretations.</w:t>
      </w:r>
    </w:p>
    <w:p w14:paraId="26020810" w14:textId="42194646" w:rsidR="000338BE" w:rsidRPr="006A5C7F" w:rsidRDefault="00052A81" w:rsidP="00616E02">
      <w:pPr>
        <w:rPr>
          <w:lang w:val="en-GB"/>
        </w:rPr>
      </w:pPr>
      <w:r w:rsidRPr="006A5C7F">
        <w:rPr>
          <w:lang w:val="en-GB"/>
        </w:rPr>
        <w:t>Strand three develops the computational and practice-led work</w:t>
      </w:r>
      <w:r w:rsidR="000338BE" w:rsidRPr="006A5C7F">
        <w:rPr>
          <w:lang w:val="en-GB"/>
        </w:rPr>
        <w:t xml:space="preserve">. It asks how computational methods might surface, model and re-read DDR archival traces </w:t>
      </w:r>
      <w:r w:rsidRPr="006A5C7F">
        <w:rPr>
          <w:lang w:val="en-GB"/>
        </w:rPr>
        <w:t>while remaining accountable to provenance</w:t>
      </w:r>
      <w:r w:rsidR="000338BE" w:rsidRPr="006A5C7F">
        <w:rPr>
          <w:lang w:val="en-GB"/>
        </w:rPr>
        <w:t xml:space="preserve">. Devon Mordell provides the critical frame for treating archives as datafication rather than neutral digitisation. Mark Hedges, Richard </w:t>
      </w:r>
      <w:r w:rsidR="000338BE" w:rsidRPr="006A5C7F">
        <w:rPr>
          <w:lang w:val="en-GB"/>
        </w:rPr>
        <w:lastRenderedPageBreak/>
        <w:t xml:space="preserve">Marciano and Eirini </w:t>
      </w:r>
      <w:proofErr w:type="spellStart"/>
      <w:r w:rsidR="000338BE" w:rsidRPr="006A5C7F">
        <w:rPr>
          <w:lang w:val="en-GB"/>
        </w:rPr>
        <w:t>Goudarouli</w:t>
      </w:r>
      <w:proofErr w:type="spellEnd"/>
      <w:r w:rsidR="000338BE" w:rsidRPr="006A5C7F">
        <w:rPr>
          <w:lang w:val="en-GB"/>
        </w:rPr>
        <w:t xml:space="preserve"> locate this work within computational archival science, where extraction, modelling and access remain tied to archival context. Johanna Drucker shapes the project’s approach to visualisation by treating data as interpretive “</w:t>
      </w:r>
      <w:proofErr w:type="spellStart"/>
      <w:r w:rsidR="000338BE" w:rsidRPr="006A5C7F">
        <w:rPr>
          <w:lang w:val="en-GB"/>
        </w:rPr>
        <w:t>capta</w:t>
      </w:r>
      <w:proofErr w:type="spellEnd"/>
      <w:r w:rsidR="000338BE" w:rsidRPr="006A5C7F">
        <w:rPr>
          <w:lang w:val="en-GB"/>
        </w:rPr>
        <w:t xml:space="preserve">”, while Stephen Boyd Davis, Olivia Vane and Florian Kräutli frame questions of trust, omission and uncertainty in humanities visualisation. </w:t>
      </w:r>
      <w:r w:rsidRPr="006A5C7F">
        <w:rPr>
          <w:lang w:val="en-GB"/>
        </w:rPr>
        <w:t>This</w:t>
      </w:r>
      <w:r w:rsidR="000338BE" w:rsidRPr="006A5C7F">
        <w:rPr>
          <w:lang w:val="en-GB"/>
        </w:rPr>
        <w:t xml:space="preserve"> thesis develops an open-access archive platform and API </w:t>
      </w:r>
      <w:r w:rsidR="00A75804" w:rsidRPr="006A5C7F">
        <w:rPr>
          <w:lang w:val="en-GB"/>
        </w:rPr>
        <w:t>through which DDR records are searched, linked and visualised</w:t>
      </w:r>
      <w:r w:rsidR="000338BE" w:rsidRPr="006A5C7F">
        <w:rPr>
          <w:lang w:val="en-GB"/>
        </w:rPr>
        <w:t xml:space="preserve">. </w:t>
      </w:r>
      <w:r w:rsidR="006A5C7F" w:rsidRPr="006A5C7F">
        <w:t>Retrieval-augmented archival interrogation, embedding-based visual analytics, dimensional reduction, clustering and anomaly-proximity detection propose relations</w:t>
      </w:r>
      <w:r w:rsidR="000338BE" w:rsidRPr="006A5C7F">
        <w:rPr>
          <w:lang w:val="en-GB"/>
        </w:rPr>
        <w:t>, identify patterns and make absences inspectable. These methods provide a controlled hypothesis space for asking what the archive foregrounds, what remains absent and where computational visibility introduces distortion.</w:t>
      </w:r>
    </w:p>
    <w:p w14:paraId="62D2711A" w14:textId="428800E7" w:rsidR="00616E02" w:rsidRPr="00616E02" w:rsidRDefault="006E71F1" w:rsidP="00616E02">
      <w:pPr>
        <w:rPr>
          <w:lang w:val="en-GB"/>
        </w:rPr>
      </w:pPr>
      <w:r w:rsidRPr="006E71F1">
        <w:t xml:space="preserve">The contribution to knowledge lies in </w:t>
      </w:r>
      <w:r w:rsidR="00B25DD5">
        <w:t>sewing</w:t>
      </w:r>
      <w:r w:rsidRPr="006E71F1">
        <w:t xml:space="preserve"> these strands together as a designed research apparatus for archival activation, combining</w:t>
      </w:r>
      <w:r w:rsidR="00616E02" w:rsidRPr="00616E02">
        <w:rPr>
          <w:lang w:val="en-GB"/>
        </w:rPr>
        <w:t xml:space="preserve"> retrieval-augmented archival interrogation, oral-historical interpretation, embedding-based visual analytics and a corroborative checking layer. The novelty is the </w:t>
      </w:r>
      <w:r w:rsidR="00B25DD5">
        <w:rPr>
          <w:lang w:val="en-GB"/>
        </w:rPr>
        <w:t>conduit</w:t>
      </w:r>
      <w:r w:rsidR="00616E02" w:rsidRPr="00616E02">
        <w:rPr>
          <w:lang w:val="en-GB"/>
        </w:rPr>
        <w:t xml:space="preserve"> between source, absence, pattern, testimony and interpretation. Retrieval creates traceable paths through the archive. Missingness becomes an archival and interpretive condition. Oral </w:t>
      </w:r>
      <w:r w:rsidR="00B25DD5">
        <w:rPr>
          <w:lang w:val="en-GB"/>
        </w:rPr>
        <w:t>history</w:t>
      </w:r>
      <w:r w:rsidR="00616E02" w:rsidRPr="00616E02">
        <w:rPr>
          <w:lang w:val="en-GB"/>
        </w:rPr>
        <w:t xml:space="preserve"> tests and complicates the documentary record. Visual analytics provides an interpretive space in which relations, clusters and anomalies can be examined. Corroborative checking helps distinguish what can be claimed, what must be qualified and what remains unresolved.</w:t>
      </w:r>
    </w:p>
    <w:p w14:paraId="5F30FAC6" w14:textId="0E0FA0FA" w:rsidR="0068123E" w:rsidRPr="006A5C7F" w:rsidRDefault="00616E02" w:rsidP="00604ABA">
      <w:pPr>
        <w:rPr>
          <w:lang w:val="en-GB"/>
        </w:rPr>
      </w:pPr>
      <w:r w:rsidRPr="00616E02">
        <w:rPr>
          <w:lang w:val="en-GB"/>
        </w:rPr>
        <w:t xml:space="preserve">The thesis proposes archival activation as a critical method for making contested design knowledge traceable and interpretable across documents, metadata, testimony, omissions and computational representations. Methodologically, it offers a reusable workflow for partial, under-described and access-constrained archives: source-linked retrieval, missingness analysis, oral-historical cross-reading, visual analytics and claim-evidence checking. </w:t>
      </w:r>
      <w:r w:rsidR="00B25DD5" w:rsidRPr="00B25DD5">
        <w:t xml:space="preserve">As practice-led research, it positions the archive platform as a research instrument through which selection, modelling, retrieval and </w:t>
      </w:r>
      <w:proofErr w:type="spellStart"/>
      <w:r w:rsidR="00B25DD5" w:rsidRPr="00B25DD5">
        <w:t>visualisation</w:t>
      </w:r>
      <w:proofErr w:type="spellEnd"/>
      <w:r w:rsidR="00B25DD5" w:rsidRPr="00B25DD5">
        <w:t xml:space="preserve"> can be tested, interpreted and made accountable.</w:t>
      </w:r>
      <w:r w:rsidR="00B25DD5">
        <w:t xml:space="preserve"> </w:t>
      </w:r>
      <w:r w:rsidRPr="00616E02">
        <w:rPr>
          <w:lang w:val="en-GB"/>
        </w:rPr>
        <w:t>The DDR archive is the specific case, while the method has wider significance for design research, archival studies, digital humanities, galleries, libraries, archives and museums (GLAM), responsible AI and computational approaches to cultural heritage. It offers a richer account of the DDR and a transferable, open and evidence-aware model for activating complex knowledge systems without collapsing uncertainty into automated certainty.</w:t>
      </w:r>
    </w:p>
    <w:sectPr w:rsidR="0068123E" w:rsidRPr="006A5C7F" w:rsidSect="004C7981">
      <w:footerReference w:type="default" r:id="rId8"/>
      <w:pgSz w:w="11906" w:h="16838"/>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E01D92" w14:textId="77777777" w:rsidR="00520A2B" w:rsidRDefault="00520A2B" w:rsidP="0091426A">
      <w:pPr>
        <w:spacing w:after="0" w:line="240" w:lineRule="auto"/>
      </w:pPr>
      <w:r>
        <w:separator/>
      </w:r>
    </w:p>
  </w:endnote>
  <w:endnote w:type="continuationSeparator" w:id="0">
    <w:p w14:paraId="264E20DC" w14:textId="77777777" w:rsidR="00520A2B" w:rsidRDefault="00520A2B" w:rsidP="009142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eorgia">
    <w:altName w:val="Georgia"/>
    <w:panose1 w:val="02040502050405020303"/>
    <w:charset w:val="00"/>
    <w:family w:val="roman"/>
    <w:pitch w:val="variable"/>
    <w:sig w:usb0="00000287" w:usb1="00000000" w:usb2="00000000" w:usb3="00000000" w:csb0="0000009F" w:csb1="00000000"/>
  </w:font>
  <w:font w:name="Univers">
    <w:panose1 w:val="020B0503020202020204"/>
    <w:charset w:val="00"/>
    <w:family w:val="swiss"/>
    <w:pitch w:val="variable"/>
    <w:sig w:usb0="80000287" w:usb1="00000000" w:usb2="00000000" w:usb3="00000000" w:csb0="0000000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05358127"/>
      <w:docPartObj>
        <w:docPartGallery w:val="Page Numbers (Bottom of Page)"/>
        <w:docPartUnique/>
      </w:docPartObj>
    </w:sdtPr>
    <w:sdtContent>
      <w:p w14:paraId="692AE97C" w14:textId="77777777" w:rsidR="0091426A" w:rsidRDefault="0091426A" w:rsidP="0091426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5</w:t>
        </w:r>
        <w:r>
          <w:rPr>
            <w:rStyle w:val="PageNumber"/>
          </w:rPr>
          <w:fldChar w:fldCharType="end"/>
        </w:r>
      </w:p>
    </w:sdtContent>
  </w:sdt>
  <w:p w14:paraId="6480000E" w14:textId="0F1E90CC" w:rsidR="0091426A" w:rsidRPr="0091426A" w:rsidRDefault="0091426A" w:rsidP="0091426A">
    <w:pPr>
      <w:pStyle w:val="Footer"/>
      <w:ind w:right="360"/>
      <w:rPr>
        <w:sz w:val="17"/>
        <w:szCs w:val="17"/>
      </w:rPr>
    </w:pPr>
    <w:r w:rsidRPr="001E45B8">
      <w:rPr>
        <w:sz w:val="17"/>
        <w:szCs w:val="17"/>
      </w:rPr>
      <w:t xml:space="preserve">Graham Newman | </w:t>
    </w:r>
    <w:r w:rsidR="001F4B68">
      <w:rPr>
        <w:sz w:val="17"/>
        <w:szCs w:val="17"/>
      </w:rPr>
      <w:t>Expanded a</w:t>
    </w:r>
    <w:r w:rsidR="00234774">
      <w:rPr>
        <w:sz w:val="17"/>
        <w:szCs w:val="17"/>
      </w:rPr>
      <w:t>bstract</w:t>
    </w:r>
    <w:r w:rsidR="001F4B68">
      <w:rPr>
        <w:sz w:val="17"/>
        <w:szCs w:val="17"/>
      </w:rPr>
      <w:t xml:space="preserve"> for DTP </w:t>
    </w:r>
    <w:r w:rsidR="001F4B68" w:rsidRPr="001E45B8">
      <w:rPr>
        <w:sz w:val="17"/>
        <w:szCs w:val="17"/>
      </w:rPr>
      <w:t>|</w:t>
    </w:r>
    <w:r w:rsidR="001F4B68">
      <w:rPr>
        <w:sz w:val="17"/>
        <w:szCs w:val="17"/>
      </w:rPr>
      <w:t xml:space="preserve"> June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B0A8A" w14:textId="77777777" w:rsidR="00520A2B" w:rsidRDefault="00520A2B" w:rsidP="0091426A">
      <w:pPr>
        <w:spacing w:after="0" w:line="240" w:lineRule="auto"/>
      </w:pPr>
      <w:r>
        <w:separator/>
      </w:r>
    </w:p>
  </w:footnote>
  <w:footnote w:type="continuationSeparator" w:id="0">
    <w:p w14:paraId="4F8A01F5" w14:textId="77777777" w:rsidR="00520A2B" w:rsidRDefault="00520A2B" w:rsidP="009142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48D19E2"/>
    <w:multiLevelType w:val="multilevel"/>
    <w:tmpl w:val="32704590"/>
    <w:lvl w:ilvl="0">
      <w:start w:val="2"/>
      <w:numFmt w:val="decimal"/>
      <w:pStyle w:val="ListBullet"/>
      <w:lvlText w:val="%1"/>
      <w:lvlJc w:val="left"/>
      <w:pPr>
        <w:ind w:left="-360" w:firstLine="0"/>
      </w:pPr>
      <w:rPr>
        <w:rFonts w:hint="default"/>
        <w:b/>
      </w:rPr>
    </w:lvl>
    <w:lvl w:ilvl="1">
      <w:numFmt w:val="decimal"/>
      <w:pStyle w:val="Heading2"/>
      <w:lvlText w:val="4.%2"/>
      <w:lvlJc w:val="left"/>
      <w:pPr>
        <w:ind w:left="0" w:firstLine="0"/>
      </w:pPr>
      <w:rPr>
        <w:rFonts w:hint="default"/>
        <w:b w:val="0"/>
        <w:bCs/>
      </w:rPr>
    </w:lvl>
    <w:lvl w:ilvl="2">
      <w:start w:val="1"/>
      <w:numFmt w:val="decimal"/>
      <w:pStyle w:val="Heading3"/>
      <w:lvlText w:val="4.%2.%3"/>
      <w:lvlJc w:val="left"/>
      <w:pPr>
        <w:ind w:left="360" w:firstLine="0"/>
      </w:pPr>
      <w:rPr>
        <w:rFonts w:hint="default"/>
        <w:b w:val="0"/>
        <w:bCs w:val="0"/>
      </w:rPr>
    </w:lvl>
    <w:lvl w:ilvl="3">
      <w:numFmt w:val="decimal"/>
      <w:lvlText w:val=""/>
      <w:lvlJc w:val="left"/>
      <w:pPr>
        <w:ind w:left="-360" w:firstLine="0"/>
      </w:pPr>
      <w:rPr>
        <w:rFonts w:hint="default"/>
      </w:rPr>
    </w:lvl>
    <w:lvl w:ilvl="4">
      <w:numFmt w:val="decimal"/>
      <w:lvlText w:val=""/>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10" w15:restartNumberingAfterBreak="0">
    <w:nsid w:val="19923BF5"/>
    <w:multiLevelType w:val="multilevel"/>
    <w:tmpl w:val="08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BA8274B"/>
    <w:multiLevelType w:val="multilevel"/>
    <w:tmpl w:val="6020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68720F"/>
    <w:multiLevelType w:val="multilevel"/>
    <w:tmpl w:val="FD02E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8A0AFD"/>
    <w:multiLevelType w:val="multilevel"/>
    <w:tmpl w:val="7E7A9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218235A"/>
    <w:multiLevelType w:val="multilevel"/>
    <w:tmpl w:val="BFA80444"/>
    <w:styleLink w:val="CurrentList2"/>
    <w:lvl w:ilvl="0">
      <w:start w:val="2"/>
      <w:numFmt w:val="decimal"/>
      <w:lvlText w:val="%1"/>
      <w:lvlJc w:val="left"/>
      <w:pPr>
        <w:ind w:left="0" w:firstLine="0"/>
      </w:pPr>
      <w:rPr>
        <w:b/>
      </w:rPr>
    </w:lvl>
    <w:lvl w:ilvl="1">
      <w:numFmt w:val="decimal"/>
      <w:lvlText w:val="%1.%2"/>
      <w:lvlJc w:val="left"/>
      <w:pPr>
        <w:ind w:left="360" w:firstLine="0"/>
      </w:pPr>
      <w:rPr>
        <w:b w:val="0"/>
        <w:bCs/>
      </w:rPr>
    </w:lvl>
    <w:lvl w:ilvl="2">
      <w:start w:val="1"/>
      <w:numFmt w:val="decimal"/>
      <w:lvlText w:val="%1.%2.%3"/>
      <w:lvlJc w:val="left"/>
      <w:pPr>
        <w:ind w:left="720" w:firstLine="0"/>
      </w:pPr>
      <w:rPr>
        <w:b w:val="0"/>
        <w:bCs w:val="0"/>
      </w:r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227B7890"/>
    <w:multiLevelType w:val="hybridMultilevel"/>
    <w:tmpl w:val="EB969AAA"/>
    <w:lvl w:ilvl="0" w:tplc="3EB04BF2">
      <w:start w:val="2"/>
      <w:numFmt w:val="none"/>
      <w:pStyle w:val="Heading1"/>
      <w:lvlText w:val="1.0"/>
      <w:lvlJc w:val="left"/>
      <w:pPr>
        <w:ind w:left="6456" w:hanging="360"/>
      </w:pPr>
      <w:rPr>
        <w:rFonts w:hint="default"/>
      </w:rPr>
    </w:lvl>
    <w:lvl w:ilvl="1" w:tplc="08090019" w:tentative="1">
      <w:start w:val="1"/>
      <w:numFmt w:val="lowerLetter"/>
      <w:lvlText w:val="%2."/>
      <w:lvlJc w:val="left"/>
      <w:pPr>
        <w:ind w:left="7536" w:hanging="360"/>
      </w:pPr>
    </w:lvl>
    <w:lvl w:ilvl="2" w:tplc="0809001B" w:tentative="1">
      <w:start w:val="1"/>
      <w:numFmt w:val="lowerRoman"/>
      <w:lvlText w:val="%3."/>
      <w:lvlJc w:val="right"/>
      <w:pPr>
        <w:ind w:left="8256" w:hanging="180"/>
      </w:pPr>
    </w:lvl>
    <w:lvl w:ilvl="3" w:tplc="0809000F" w:tentative="1">
      <w:start w:val="1"/>
      <w:numFmt w:val="decimal"/>
      <w:lvlText w:val="%4."/>
      <w:lvlJc w:val="left"/>
      <w:pPr>
        <w:ind w:left="8976" w:hanging="360"/>
      </w:pPr>
    </w:lvl>
    <w:lvl w:ilvl="4" w:tplc="08090019" w:tentative="1">
      <w:start w:val="1"/>
      <w:numFmt w:val="lowerLetter"/>
      <w:lvlText w:val="%5."/>
      <w:lvlJc w:val="left"/>
      <w:pPr>
        <w:ind w:left="9696" w:hanging="360"/>
      </w:pPr>
    </w:lvl>
    <w:lvl w:ilvl="5" w:tplc="0809001B" w:tentative="1">
      <w:start w:val="1"/>
      <w:numFmt w:val="lowerRoman"/>
      <w:lvlText w:val="%6."/>
      <w:lvlJc w:val="right"/>
      <w:pPr>
        <w:ind w:left="10416" w:hanging="180"/>
      </w:pPr>
    </w:lvl>
    <w:lvl w:ilvl="6" w:tplc="0809000F" w:tentative="1">
      <w:start w:val="1"/>
      <w:numFmt w:val="decimal"/>
      <w:lvlText w:val="%7."/>
      <w:lvlJc w:val="left"/>
      <w:pPr>
        <w:ind w:left="11136" w:hanging="360"/>
      </w:pPr>
    </w:lvl>
    <w:lvl w:ilvl="7" w:tplc="08090019" w:tentative="1">
      <w:start w:val="1"/>
      <w:numFmt w:val="lowerLetter"/>
      <w:lvlText w:val="%8."/>
      <w:lvlJc w:val="left"/>
      <w:pPr>
        <w:ind w:left="11856" w:hanging="360"/>
      </w:pPr>
    </w:lvl>
    <w:lvl w:ilvl="8" w:tplc="0809001B" w:tentative="1">
      <w:start w:val="1"/>
      <w:numFmt w:val="lowerRoman"/>
      <w:lvlText w:val="%9."/>
      <w:lvlJc w:val="right"/>
      <w:pPr>
        <w:ind w:left="12576" w:hanging="180"/>
      </w:pPr>
    </w:lvl>
  </w:abstractNum>
  <w:abstractNum w:abstractNumId="16" w15:restartNumberingAfterBreak="0">
    <w:nsid w:val="2A802351"/>
    <w:multiLevelType w:val="multilevel"/>
    <w:tmpl w:val="00F63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3C70AB"/>
    <w:multiLevelType w:val="multilevel"/>
    <w:tmpl w:val="40EC00A6"/>
    <w:styleLink w:val="CurrentList5"/>
    <w:lvl w:ilvl="0">
      <w:start w:val="2"/>
      <w:numFmt w:val="none"/>
      <w:lvlText w:val="4.0"/>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67E0C58"/>
    <w:multiLevelType w:val="multilevel"/>
    <w:tmpl w:val="75387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CC5DB9"/>
    <w:multiLevelType w:val="multilevel"/>
    <w:tmpl w:val="EAA2E6AA"/>
    <w:styleLink w:val="CurrentList3"/>
    <w:lvl w:ilvl="0">
      <w:start w:val="2"/>
      <w:numFmt w:val="none"/>
      <w:lvlText w:val="1.0"/>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C223FCC"/>
    <w:multiLevelType w:val="multilevel"/>
    <w:tmpl w:val="48345CD6"/>
    <w:styleLink w:val="CurrentList4"/>
    <w:lvl w:ilvl="0">
      <w:start w:val="2"/>
      <w:numFmt w:val="decimal"/>
      <w:lvlText w:val="%1"/>
      <w:lvlJc w:val="left"/>
      <w:pPr>
        <w:ind w:left="-360" w:firstLine="0"/>
      </w:pPr>
      <w:rPr>
        <w:rFonts w:hint="default"/>
        <w:b/>
      </w:rPr>
    </w:lvl>
    <w:lvl w:ilvl="1">
      <w:numFmt w:val="decimal"/>
      <w:lvlText w:val="1.%2"/>
      <w:lvlJc w:val="left"/>
      <w:pPr>
        <w:ind w:left="0" w:firstLine="0"/>
      </w:pPr>
      <w:rPr>
        <w:rFonts w:hint="default"/>
        <w:b w:val="0"/>
        <w:bCs/>
      </w:rPr>
    </w:lvl>
    <w:lvl w:ilvl="2">
      <w:start w:val="1"/>
      <w:numFmt w:val="decimal"/>
      <w:lvlText w:val="1.%2.%3"/>
      <w:lvlJc w:val="left"/>
      <w:pPr>
        <w:ind w:left="360" w:firstLine="0"/>
      </w:pPr>
      <w:rPr>
        <w:rFonts w:hint="default"/>
        <w:b w:val="0"/>
        <w:bCs w:val="0"/>
      </w:rPr>
    </w:lvl>
    <w:lvl w:ilvl="3">
      <w:numFmt w:val="decimal"/>
      <w:lvlText w:val=""/>
      <w:lvlJc w:val="left"/>
      <w:pPr>
        <w:ind w:left="-360" w:firstLine="0"/>
      </w:pPr>
      <w:rPr>
        <w:rFonts w:hint="default"/>
      </w:rPr>
    </w:lvl>
    <w:lvl w:ilvl="4">
      <w:numFmt w:val="decimal"/>
      <w:lvlText w:val=""/>
      <w:lvlJc w:val="left"/>
      <w:pPr>
        <w:ind w:left="-360" w:firstLine="0"/>
      </w:pPr>
      <w:rPr>
        <w:rFonts w:hint="default"/>
      </w:rPr>
    </w:lvl>
    <w:lvl w:ilvl="5">
      <w:numFmt w:val="decimal"/>
      <w:lvlText w:val=""/>
      <w:lvlJc w:val="left"/>
      <w:pPr>
        <w:ind w:left="-360" w:firstLine="0"/>
      </w:pPr>
      <w:rPr>
        <w:rFonts w:hint="default"/>
      </w:rPr>
    </w:lvl>
    <w:lvl w:ilvl="6">
      <w:numFmt w:val="decimal"/>
      <w:lvlText w:val=""/>
      <w:lvlJc w:val="left"/>
      <w:pPr>
        <w:ind w:left="-360" w:firstLine="0"/>
      </w:pPr>
      <w:rPr>
        <w:rFonts w:hint="default"/>
      </w:rPr>
    </w:lvl>
    <w:lvl w:ilvl="7">
      <w:numFmt w:val="decimal"/>
      <w:lvlText w:val=""/>
      <w:lvlJc w:val="left"/>
      <w:pPr>
        <w:ind w:left="-360" w:firstLine="0"/>
      </w:pPr>
      <w:rPr>
        <w:rFonts w:hint="default"/>
      </w:rPr>
    </w:lvl>
    <w:lvl w:ilvl="8">
      <w:numFmt w:val="decimal"/>
      <w:lvlText w:val=""/>
      <w:lvlJc w:val="left"/>
      <w:pPr>
        <w:ind w:left="-360" w:firstLine="0"/>
      </w:pPr>
      <w:rPr>
        <w:rFonts w:hint="default"/>
      </w:rPr>
    </w:lvl>
  </w:abstractNum>
  <w:abstractNum w:abstractNumId="21" w15:restartNumberingAfterBreak="0">
    <w:nsid w:val="5E1D4A3D"/>
    <w:multiLevelType w:val="multilevel"/>
    <w:tmpl w:val="27E03D90"/>
    <w:styleLink w:val="CurrentList1"/>
    <w:lvl w:ilvl="0">
      <w:start w:val="2"/>
      <w:numFmt w:val="decimal"/>
      <w:lvlText w:val="%1.0"/>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688A3D55"/>
    <w:multiLevelType w:val="multilevel"/>
    <w:tmpl w:val="3C40F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56332C0"/>
    <w:multiLevelType w:val="multilevel"/>
    <w:tmpl w:val="60DE7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223513"/>
    <w:multiLevelType w:val="multilevel"/>
    <w:tmpl w:val="AB126C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5247778">
    <w:abstractNumId w:val="9"/>
  </w:num>
  <w:num w:numId="2" w16cid:durableId="2010253315">
    <w:abstractNumId w:val="18"/>
  </w:num>
  <w:num w:numId="3" w16cid:durableId="1866168221">
    <w:abstractNumId w:val="15"/>
  </w:num>
  <w:num w:numId="4" w16cid:durableId="1245871107">
    <w:abstractNumId w:val="23"/>
  </w:num>
  <w:num w:numId="5" w16cid:durableId="450973264">
    <w:abstractNumId w:val="11"/>
  </w:num>
  <w:num w:numId="6" w16cid:durableId="657155913">
    <w:abstractNumId w:val="12"/>
  </w:num>
  <w:num w:numId="7" w16cid:durableId="1136677210">
    <w:abstractNumId w:val="16"/>
  </w:num>
  <w:num w:numId="8" w16cid:durableId="1665429508">
    <w:abstractNumId w:val="10"/>
  </w:num>
  <w:num w:numId="9" w16cid:durableId="1510023154">
    <w:abstractNumId w:val="21"/>
  </w:num>
  <w:num w:numId="10" w16cid:durableId="1656178318">
    <w:abstractNumId w:val="14"/>
  </w:num>
  <w:num w:numId="11" w16cid:durableId="1522283697">
    <w:abstractNumId w:val="19"/>
  </w:num>
  <w:num w:numId="12" w16cid:durableId="971129727">
    <w:abstractNumId w:val="20"/>
  </w:num>
  <w:num w:numId="13" w16cid:durableId="426848852">
    <w:abstractNumId w:val="17"/>
  </w:num>
  <w:num w:numId="14" w16cid:durableId="1551919384">
    <w:abstractNumId w:val="22"/>
  </w:num>
  <w:num w:numId="15" w16cid:durableId="1495490990">
    <w:abstractNumId w:val="24"/>
  </w:num>
  <w:num w:numId="16" w16cid:durableId="114361832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8D8"/>
    <w:rsid w:val="00015951"/>
    <w:rsid w:val="0002113C"/>
    <w:rsid w:val="000338BE"/>
    <w:rsid w:val="00034616"/>
    <w:rsid w:val="00035BAE"/>
    <w:rsid w:val="00046EDA"/>
    <w:rsid w:val="00052A81"/>
    <w:rsid w:val="0006063C"/>
    <w:rsid w:val="00081EB3"/>
    <w:rsid w:val="000B4B8D"/>
    <w:rsid w:val="000D7F4C"/>
    <w:rsid w:val="001105CF"/>
    <w:rsid w:val="0015074B"/>
    <w:rsid w:val="001A0DBC"/>
    <w:rsid w:val="001A2BA2"/>
    <w:rsid w:val="001F1CFA"/>
    <w:rsid w:val="001F4B68"/>
    <w:rsid w:val="001F757F"/>
    <w:rsid w:val="002148CD"/>
    <w:rsid w:val="00234774"/>
    <w:rsid w:val="00265C70"/>
    <w:rsid w:val="0026652D"/>
    <w:rsid w:val="0029639D"/>
    <w:rsid w:val="002B1583"/>
    <w:rsid w:val="002B2008"/>
    <w:rsid w:val="00326F90"/>
    <w:rsid w:val="0039089D"/>
    <w:rsid w:val="00393CC3"/>
    <w:rsid w:val="003A31C9"/>
    <w:rsid w:val="003A6301"/>
    <w:rsid w:val="003B52B9"/>
    <w:rsid w:val="003E6EF8"/>
    <w:rsid w:val="003F418F"/>
    <w:rsid w:val="00410204"/>
    <w:rsid w:val="004472CD"/>
    <w:rsid w:val="00452D41"/>
    <w:rsid w:val="00462219"/>
    <w:rsid w:val="00476107"/>
    <w:rsid w:val="00486620"/>
    <w:rsid w:val="004B325B"/>
    <w:rsid w:val="004C7981"/>
    <w:rsid w:val="004E285E"/>
    <w:rsid w:val="004E3565"/>
    <w:rsid w:val="004F346F"/>
    <w:rsid w:val="004F6B1E"/>
    <w:rsid w:val="00503BD1"/>
    <w:rsid w:val="00512D8E"/>
    <w:rsid w:val="00520A2B"/>
    <w:rsid w:val="00554DD1"/>
    <w:rsid w:val="005D422E"/>
    <w:rsid w:val="00604ABA"/>
    <w:rsid w:val="00612F87"/>
    <w:rsid w:val="00616E02"/>
    <w:rsid w:val="00641CA7"/>
    <w:rsid w:val="006563D8"/>
    <w:rsid w:val="00656D2D"/>
    <w:rsid w:val="00667697"/>
    <w:rsid w:val="0068123E"/>
    <w:rsid w:val="006A5C7F"/>
    <w:rsid w:val="006B5619"/>
    <w:rsid w:val="006B7608"/>
    <w:rsid w:val="006E71F1"/>
    <w:rsid w:val="0072208A"/>
    <w:rsid w:val="00733206"/>
    <w:rsid w:val="0075111C"/>
    <w:rsid w:val="00752396"/>
    <w:rsid w:val="00767FE6"/>
    <w:rsid w:val="007B3CDE"/>
    <w:rsid w:val="007D371F"/>
    <w:rsid w:val="007F31E3"/>
    <w:rsid w:val="00813322"/>
    <w:rsid w:val="008311C1"/>
    <w:rsid w:val="00870042"/>
    <w:rsid w:val="00875958"/>
    <w:rsid w:val="008A5FF0"/>
    <w:rsid w:val="008D559A"/>
    <w:rsid w:val="008E6323"/>
    <w:rsid w:val="008F37AD"/>
    <w:rsid w:val="008F44EA"/>
    <w:rsid w:val="00913B4F"/>
    <w:rsid w:val="0091426A"/>
    <w:rsid w:val="00931B2C"/>
    <w:rsid w:val="009452F7"/>
    <w:rsid w:val="00947E21"/>
    <w:rsid w:val="0096107C"/>
    <w:rsid w:val="009872E4"/>
    <w:rsid w:val="009934AF"/>
    <w:rsid w:val="009967C7"/>
    <w:rsid w:val="009E535C"/>
    <w:rsid w:val="009F0E0C"/>
    <w:rsid w:val="00A0340A"/>
    <w:rsid w:val="00A05B3C"/>
    <w:rsid w:val="00A310DC"/>
    <w:rsid w:val="00A518E7"/>
    <w:rsid w:val="00A75804"/>
    <w:rsid w:val="00A8390D"/>
    <w:rsid w:val="00A84706"/>
    <w:rsid w:val="00A961ED"/>
    <w:rsid w:val="00AA1D8D"/>
    <w:rsid w:val="00AB17A6"/>
    <w:rsid w:val="00AD6EE6"/>
    <w:rsid w:val="00AF6BA4"/>
    <w:rsid w:val="00B07C1A"/>
    <w:rsid w:val="00B17FCC"/>
    <w:rsid w:val="00B25DD5"/>
    <w:rsid w:val="00B30FA1"/>
    <w:rsid w:val="00B367A6"/>
    <w:rsid w:val="00B429DC"/>
    <w:rsid w:val="00B47730"/>
    <w:rsid w:val="00B54A07"/>
    <w:rsid w:val="00B70664"/>
    <w:rsid w:val="00B815D0"/>
    <w:rsid w:val="00B95207"/>
    <w:rsid w:val="00B972CC"/>
    <w:rsid w:val="00BF6D79"/>
    <w:rsid w:val="00C05FDE"/>
    <w:rsid w:val="00C07ECC"/>
    <w:rsid w:val="00C13177"/>
    <w:rsid w:val="00C15518"/>
    <w:rsid w:val="00C67F0B"/>
    <w:rsid w:val="00CA3602"/>
    <w:rsid w:val="00CA56FC"/>
    <w:rsid w:val="00CB0664"/>
    <w:rsid w:val="00CD26F8"/>
    <w:rsid w:val="00CD46AE"/>
    <w:rsid w:val="00D247BD"/>
    <w:rsid w:val="00D3795E"/>
    <w:rsid w:val="00D677D5"/>
    <w:rsid w:val="00D97D49"/>
    <w:rsid w:val="00DC44D8"/>
    <w:rsid w:val="00DC78D3"/>
    <w:rsid w:val="00E03C20"/>
    <w:rsid w:val="00E41E06"/>
    <w:rsid w:val="00E5035B"/>
    <w:rsid w:val="00E6238C"/>
    <w:rsid w:val="00E75123"/>
    <w:rsid w:val="00E8415B"/>
    <w:rsid w:val="00E91E08"/>
    <w:rsid w:val="00EC190A"/>
    <w:rsid w:val="00EC5BD2"/>
    <w:rsid w:val="00EE29D9"/>
    <w:rsid w:val="00EE54C5"/>
    <w:rsid w:val="00F32A0F"/>
    <w:rsid w:val="00F375DC"/>
    <w:rsid w:val="00F61956"/>
    <w:rsid w:val="00F85EAF"/>
    <w:rsid w:val="00F91930"/>
    <w:rsid w:val="00F9723E"/>
    <w:rsid w:val="00FA5501"/>
    <w:rsid w:val="00FA7577"/>
    <w:rsid w:val="00FC5C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0C336E"/>
  <w14:defaultImageDpi w14:val="300"/>
  <w15:docId w15:val="{EA6C6BC9-E0AF-F240-822A-C5565BAC7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981"/>
    <w:pPr>
      <w:spacing w:line="360" w:lineRule="auto"/>
    </w:pPr>
    <w:rPr>
      <w:rFonts w:ascii="Georgia" w:hAnsi="Georgia"/>
      <w:sz w:val="24"/>
    </w:rPr>
  </w:style>
  <w:style w:type="paragraph" w:styleId="Heading1">
    <w:name w:val="heading 1"/>
    <w:basedOn w:val="Normal"/>
    <w:next w:val="Normal"/>
    <w:link w:val="Heading1Char"/>
    <w:uiPriority w:val="9"/>
    <w:qFormat/>
    <w:rsid w:val="00234774"/>
    <w:pPr>
      <w:keepNext/>
      <w:keepLines/>
      <w:numPr>
        <w:numId w:val="3"/>
      </w:numPr>
      <w:spacing w:after="720" w:line="240" w:lineRule="auto"/>
      <w:outlineLvl w:val="0"/>
    </w:pPr>
    <w:rPr>
      <w:rFonts w:ascii="Univers" w:eastAsiaTheme="majorEastAsia" w:hAnsi="Univers" w:cstheme="majorBidi"/>
      <w:color w:val="365F91" w:themeColor="accent1" w:themeShade="BF"/>
      <w:sz w:val="48"/>
      <w:szCs w:val="28"/>
    </w:rPr>
  </w:style>
  <w:style w:type="paragraph" w:styleId="Heading2">
    <w:name w:val="heading 2"/>
    <w:basedOn w:val="Normal"/>
    <w:next w:val="Normal"/>
    <w:link w:val="Heading2Char"/>
    <w:uiPriority w:val="9"/>
    <w:unhideWhenUsed/>
    <w:qFormat/>
    <w:rsid w:val="000B4B8D"/>
    <w:pPr>
      <w:widowControl w:val="0"/>
      <w:numPr>
        <w:ilvl w:val="1"/>
        <w:numId w:val="1"/>
      </w:numPr>
      <w:spacing w:before="1120" w:after="640" w:line="240" w:lineRule="auto"/>
      <w:outlineLvl w:val="1"/>
    </w:pPr>
    <w:rPr>
      <w:rFonts w:ascii="Univers" w:eastAsiaTheme="majorEastAsia" w:hAnsi="Univers" w:cstheme="majorBidi"/>
      <w:color w:val="4F81BD" w:themeColor="accent1"/>
      <w:sz w:val="36"/>
      <w:szCs w:val="26"/>
    </w:rPr>
  </w:style>
  <w:style w:type="paragraph" w:styleId="Heading3">
    <w:name w:val="heading 3"/>
    <w:basedOn w:val="Normal"/>
    <w:next w:val="Normal"/>
    <w:link w:val="Heading3Char"/>
    <w:uiPriority w:val="9"/>
    <w:unhideWhenUsed/>
    <w:qFormat/>
    <w:rsid w:val="000B4B8D"/>
    <w:pPr>
      <w:widowControl w:val="0"/>
      <w:numPr>
        <w:ilvl w:val="2"/>
        <w:numId w:val="1"/>
      </w:numPr>
      <w:snapToGrid w:val="0"/>
      <w:spacing w:before="640" w:after="480" w:line="240" w:lineRule="auto"/>
      <w:outlineLvl w:val="2"/>
    </w:pPr>
    <w:rPr>
      <w:rFonts w:ascii="Univers" w:eastAsiaTheme="majorEastAsia" w:hAnsi="Univers" w:cstheme="majorBidi"/>
      <w:bCs/>
      <w:color w:val="4F81BD" w:themeColor="accent1"/>
      <w:sz w:val="32"/>
      <w:lang w:val="en-GB"/>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486620"/>
    <w:rPr>
      <w:rFonts w:ascii="Univers" w:eastAsiaTheme="majorEastAsia" w:hAnsi="Univers" w:cstheme="majorBidi"/>
      <w:color w:val="365F91" w:themeColor="accent1" w:themeShade="BF"/>
      <w:sz w:val="48"/>
      <w:szCs w:val="28"/>
    </w:rPr>
  </w:style>
  <w:style w:type="character" w:customStyle="1" w:styleId="Heading2Char">
    <w:name w:val="Heading 2 Char"/>
    <w:basedOn w:val="DefaultParagraphFont"/>
    <w:link w:val="Heading2"/>
    <w:uiPriority w:val="9"/>
    <w:rsid w:val="00B972CC"/>
    <w:rPr>
      <w:rFonts w:ascii="Univers" w:eastAsiaTheme="majorEastAsia" w:hAnsi="Univers" w:cstheme="majorBidi"/>
      <w:color w:val="4F81BD" w:themeColor="accent1"/>
      <w:sz w:val="36"/>
      <w:szCs w:val="26"/>
    </w:rPr>
  </w:style>
  <w:style w:type="character" w:customStyle="1" w:styleId="Heading3Char">
    <w:name w:val="Heading 3 Char"/>
    <w:basedOn w:val="DefaultParagraphFont"/>
    <w:link w:val="Heading3"/>
    <w:uiPriority w:val="9"/>
    <w:rsid w:val="00F375DC"/>
    <w:rPr>
      <w:rFonts w:ascii="Univers" w:eastAsiaTheme="majorEastAsia" w:hAnsi="Univers" w:cstheme="majorBidi"/>
      <w:bCs/>
      <w:color w:val="4F81BD" w:themeColor="accent1"/>
      <w:sz w:val="32"/>
      <w:lang w:val="en-GB"/>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0B4B8D"/>
    <w:pPr>
      <w:numPr>
        <w:numId w:val="1"/>
      </w:numPr>
      <w:contextualSpacing/>
    </w:pPr>
  </w:style>
  <w:style w:type="paragraph" w:styleId="ListBullet2">
    <w:name w:val="List Bullet 2"/>
    <w:basedOn w:val="Normal"/>
    <w:uiPriority w:val="99"/>
    <w:unhideWhenUsed/>
    <w:rsid w:val="00326F90"/>
    <w:pPr>
      <w:tabs>
        <w:tab w:val="num" w:pos="360"/>
      </w:tabs>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ybody">
    <w:name w:val="My body"/>
    <w:qFormat/>
    <w:rsid w:val="004C7981"/>
    <w:pPr>
      <w:spacing w:after="240" w:line="360" w:lineRule="auto"/>
    </w:pPr>
    <w:rPr>
      <w:rFonts w:ascii="Georgia" w:hAnsi="Georgia"/>
      <w:bCs/>
      <w:kern w:val="2"/>
      <w:sz w:val="24"/>
      <w:szCs w:val="24"/>
      <w:lang w:val="en-GB" w:eastAsia="en-GB"/>
      <w14:ligatures w14:val="standardContextual"/>
    </w:rPr>
  </w:style>
  <w:style w:type="character" w:styleId="PageNumber">
    <w:name w:val="page number"/>
    <w:basedOn w:val="DefaultParagraphFont"/>
    <w:uiPriority w:val="99"/>
    <w:semiHidden/>
    <w:unhideWhenUsed/>
    <w:rsid w:val="0091426A"/>
    <w:rPr>
      <w:rFonts w:ascii="Georgia" w:hAnsi="Georgia"/>
      <w:sz w:val="19"/>
    </w:rPr>
  </w:style>
  <w:style w:type="paragraph" w:customStyle="1" w:styleId="Storylining">
    <w:name w:val="Storylining"/>
    <w:qFormat/>
    <w:rsid w:val="00486620"/>
    <w:pPr>
      <w:spacing w:after="0" w:line="240" w:lineRule="auto"/>
    </w:pPr>
    <w:rPr>
      <w:rFonts w:ascii="Univers" w:hAnsi="Univers"/>
      <w:sz w:val="24"/>
      <w:lang w:eastAsia="en-GB"/>
    </w:rPr>
  </w:style>
  <w:style w:type="numbering" w:styleId="111111">
    <w:name w:val="Outline List 2"/>
    <w:basedOn w:val="NoList"/>
    <w:uiPriority w:val="99"/>
    <w:semiHidden/>
    <w:unhideWhenUsed/>
    <w:rsid w:val="00B972CC"/>
    <w:pPr>
      <w:numPr>
        <w:numId w:val="8"/>
      </w:numPr>
    </w:pPr>
  </w:style>
  <w:style w:type="numbering" w:customStyle="1" w:styleId="CurrentList1">
    <w:name w:val="Current List1"/>
    <w:uiPriority w:val="99"/>
    <w:rsid w:val="00F375DC"/>
    <w:pPr>
      <w:numPr>
        <w:numId w:val="9"/>
      </w:numPr>
    </w:pPr>
  </w:style>
  <w:style w:type="numbering" w:customStyle="1" w:styleId="CurrentList2">
    <w:name w:val="Current List2"/>
    <w:uiPriority w:val="99"/>
    <w:rsid w:val="00F375DC"/>
    <w:pPr>
      <w:numPr>
        <w:numId w:val="10"/>
      </w:numPr>
    </w:pPr>
  </w:style>
  <w:style w:type="numbering" w:customStyle="1" w:styleId="CurrentList3">
    <w:name w:val="Current List3"/>
    <w:uiPriority w:val="99"/>
    <w:rsid w:val="000B4B8D"/>
    <w:pPr>
      <w:numPr>
        <w:numId w:val="11"/>
      </w:numPr>
    </w:pPr>
  </w:style>
  <w:style w:type="numbering" w:customStyle="1" w:styleId="CurrentList4">
    <w:name w:val="Current List4"/>
    <w:uiPriority w:val="99"/>
    <w:rsid w:val="000B4B8D"/>
    <w:pPr>
      <w:numPr>
        <w:numId w:val="12"/>
      </w:numPr>
    </w:pPr>
  </w:style>
  <w:style w:type="paragraph" w:styleId="FootnoteText">
    <w:name w:val="footnote text"/>
    <w:basedOn w:val="Normal"/>
    <w:link w:val="FootnoteTextChar"/>
    <w:uiPriority w:val="99"/>
    <w:semiHidden/>
    <w:unhideWhenUsed/>
    <w:rsid w:val="003908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9089D"/>
    <w:rPr>
      <w:rFonts w:ascii="Georgia" w:hAnsi="Georgia"/>
      <w:sz w:val="20"/>
      <w:szCs w:val="20"/>
    </w:rPr>
  </w:style>
  <w:style w:type="character" w:styleId="FootnoteReference">
    <w:name w:val="footnote reference"/>
    <w:basedOn w:val="DefaultParagraphFont"/>
    <w:uiPriority w:val="99"/>
    <w:semiHidden/>
    <w:unhideWhenUsed/>
    <w:rsid w:val="0039089D"/>
    <w:rPr>
      <w:color w:val="0070C0"/>
      <w:vertAlign w:val="superscript"/>
    </w:rPr>
  </w:style>
  <w:style w:type="character" w:styleId="Hyperlink">
    <w:name w:val="Hyperlink"/>
    <w:basedOn w:val="DefaultParagraphFont"/>
    <w:uiPriority w:val="99"/>
    <w:unhideWhenUsed/>
    <w:rsid w:val="0039089D"/>
    <w:rPr>
      <w:color w:val="0000FF" w:themeColor="hyperlink"/>
      <w:u w:val="single"/>
    </w:rPr>
  </w:style>
  <w:style w:type="character" w:styleId="UnresolvedMention">
    <w:name w:val="Unresolved Mention"/>
    <w:basedOn w:val="DefaultParagraphFont"/>
    <w:uiPriority w:val="99"/>
    <w:semiHidden/>
    <w:unhideWhenUsed/>
    <w:rsid w:val="0039089D"/>
    <w:rPr>
      <w:color w:val="605E5C"/>
      <w:shd w:val="clear" w:color="auto" w:fill="E1DFDD"/>
    </w:rPr>
  </w:style>
  <w:style w:type="paragraph" w:styleId="Bibliography">
    <w:name w:val="Bibliography"/>
    <w:basedOn w:val="Normal"/>
    <w:next w:val="Normal"/>
    <w:uiPriority w:val="37"/>
    <w:unhideWhenUsed/>
    <w:rsid w:val="001A2BA2"/>
    <w:pPr>
      <w:spacing w:after="240" w:line="240" w:lineRule="auto"/>
      <w:ind w:left="720" w:hanging="720"/>
    </w:pPr>
  </w:style>
  <w:style w:type="numbering" w:customStyle="1" w:styleId="CurrentList5">
    <w:name w:val="Current List5"/>
    <w:uiPriority w:val="99"/>
    <w:rsid w:val="00234774"/>
    <w:pPr>
      <w:numPr>
        <w:numId w:val="13"/>
      </w:numPr>
    </w:pPr>
  </w:style>
  <w:style w:type="paragraph" w:styleId="NormalWeb">
    <w:name w:val="Normal (Web)"/>
    <w:basedOn w:val="Normal"/>
    <w:uiPriority w:val="99"/>
    <w:unhideWhenUsed/>
    <w:rsid w:val="00E8415B"/>
    <w:pPr>
      <w:spacing w:before="100" w:beforeAutospacing="1" w:after="100" w:afterAutospacing="1" w:line="240" w:lineRule="auto"/>
    </w:pPr>
    <w:rPr>
      <w:rFonts w:ascii="Times New Roman" w:eastAsia="Times New Roman" w:hAnsi="Times New Roman" w:cs="Times New Roman"/>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Pages>
  <Words>1105</Words>
  <Characters>6305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Graham charles Newman</cp:lastModifiedBy>
  <cp:revision>23</cp:revision>
  <cp:lastPrinted>2026-04-21T08:20:00Z</cp:lastPrinted>
  <dcterms:created xsi:type="dcterms:W3CDTF">2026-04-21T08:20:00Z</dcterms:created>
  <dcterms:modified xsi:type="dcterms:W3CDTF">2026-06-11T15:11:00Z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id="qTZZr1Tu"/&gt;&lt;style id="http://www.zotero.org/styles/chicago-shortened-notes-bibliography" locale="en-GB" hasBibliography="1" bibliographyStyleHasBeenSet="1"/&gt;&lt;prefs&gt;&lt;pref name="noteType" value="1"/</vt:lpwstr>
  </property>
  <property fmtid="{D5CDD505-2E9C-101B-9397-08002B2CF9AE}" pid="3" name="ZOTERO_PREF_2">
    <vt:lpwstr>&gt;&lt;pref name="fieldType" value="Field"/&gt;&lt;/prefs&gt;&lt;/data&gt;</vt:lpwstr>
  </property>
</Properties>
</file>