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385D" w14:textId="62195EAC" w:rsidR="009A7532" w:rsidRDefault="009B70B2">
      <w:pPr>
        <w:spacing w:after="40"/>
      </w:pPr>
      <w:r>
        <w:rPr>
          <w:b/>
          <w:sz w:val="28"/>
        </w:rPr>
        <w:t>Gerry Newman</w:t>
      </w:r>
      <w:r w:rsidR="00000000">
        <w:rPr>
          <w:b/>
          <w:sz w:val="28"/>
        </w:rPr>
        <w:t xml:space="preserve"> Summary – Portfolio Blueprint (Draft)</w:t>
      </w:r>
    </w:p>
    <w:p w14:paraId="0AEB0575" w14:textId="77777777" w:rsidR="009A7532" w:rsidRDefault="00000000">
      <w:pPr>
        <w:spacing w:after="40"/>
      </w:pPr>
      <w:r>
        <w:rPr>
          <w:i/>
        </w:rPr>
        <w:t>Client objective, rules, and current model portfolio (v0.2) – for review</w:t>
      </w:r>
    </w:p>
    <w:p w14:paraId="753D04E2" w14:textId="77777777" w:rsidR="009A7532" w:rsidRDefault="00000000">
      <w:pPr>
        <w:spacing w:after="40"/>
      </w:pPr>
      <w:r>
        <w:rPr>
          <w:b/>
        </w:rPr>
        <w:t>Client profile &amp; objectives</w:t>
      </w:r>
    </w:p>
    <w:p w14:paraId="40F158D3" w14:textId="77777777" w:rsidR="009A7532" w:rsidRDefault="00000000">
      <w:pPr>
        <w:pStyle w:val="ListBullet"/>
        <w:spacing w:after="40"/>
      </w:pPr>
      <w:r>
        <w:t>Age 57; PhD remaining ~3 years; income not required during PhD period.</w:t>
      </w:r>
    </w:p>
    <w:p w14:paraId="05E960C3" w14:textId="77777777" w:rsidR="009A7532" w:rsidRDefault="00000000">
      <w:pPr>
        <w:pStyle w:val="ListBullet"/>
        <w:spacing w:after="40"/>
      </w:pPr>
      <w:r>
        <w:t>Capital: £750,000 to be invested (phased over ~12 months).</w:t>
      </w:r>
    </w:p>
    <w:p w14:paraId="6531BE9A" w14:textId="77777777" w:rsidR="009A7532" w:rsidRDefault="00000000">
      <w:pPr>
        <w:pStyle w:val="ListBullet"/>
        <w:spacing w:after="40"/>
      </w:pPr>
      <w:r>
        <w:t>Income requirement: must support ~£30,000/year once fully invested (quarterly or annual).</w:t>
      </w:r>
    </w:p>
    <w:p w14:paraId="406A08C4" w14:textId="77777777" w:rsidR="009A7532" w:rsidRDefault="00000000">
      <w:pPr>
        <w:pStyle w:val="ListBullet"/>
        <w:spacing w:after="40"/>
      </w:pPr>
      <w:r>
        <w:t>Priorities: avoid permanent income cuts; preserve capital; leave inheritance for children.</w:t>
      </w:r>
    </w:p>
    <w:p w14:paraId="3EDF137B" w14:textId="77777777" w:rsidR="009A7532" w:rsidRDefault="00000000">
      <w:pPr>
        <w:pStyle w:val="ListBullet"/>
        <w:spacing w:after="40"/>
      </w:pPr>
      <w:r>
        <w:t>Risk tolerance: uncomfortable with 15–20% drawdown but would stay invested.</w:t>
      </w:r>
    </w:p>
    <w:p w14:paraId="0EFB2C14" w14:textId="77777777" w:rsidR="009A7532" w:rsidRDefault="00000000">
      <w:pPr>
        <w:pStyle w:val="ListBullet"/>
        <w:spacing w:after="40"/>
      </w:pPr>
      <w:r>
        <w:t>Platform: IBKR; comfortable with non‑GBP assets (HK/SG experience).</w:t>
      </w:r>
    </w:p>
    <w:p w14:paraId="54D6BF4D" w14:textId="77777777" w:rsidR="009A7532" w:rsidRDefault="00000000">
      <w:pPr>
        <w:spacing w:after="40"/>
      </w:pPr>
      <w:r>
        <w:rPr>
          <w:b/>
        </w:rPr>
        <w:t>Income policy (key rules)</w:t>
      </w:r>
    </w:p>
    <w:p w14:paraId="4D75C41D" w14:textId="77777777" w:rsidR="009A7532" w:rsidRDefault="00000000">
      <w:pPr>
        <w:pStyle w:val="ListBullet"/>
        <w:spacing w:after="40"/>
      </w:pPr>
      <w:r>
        <w:t>Income starts after full £750k is invested; distributions reinvested until then.</w:t>
      </w:r>
    </w:p>
    <w:p w14:paraId="39F16FE4" w14:textId="77777777" w:rsidR="009A7532" w:rsidRDefault="00000000">
      <w:pPr>
        <w:pStyle w:val="ListBullet"/>
        <w:spacing w:after="40"/>
      </w:pPr>
      <w:r>
        <w:t>Target income: £30,000/year (nominal).</w:t>
      </w:r>
    </w:p>
    <w:p w14:paraId="7E5E521E" w14:textId="77777777" w:rsidR="009A7532" w:rsidRDefault="00000000">
      <w:pPr>
        <w:pStyle w:val="ListBullet"/>
        <w:spacing w:after="40"/>
      </w:pPr>
      <w:r>
        <w:t>Withdrawal ceiling: max 4.25% of portfolio value in any single year.</w:t>
      </w:r>
    </w:p>
    <w:p w14:paraId="0381565E" w14:textId="77777777" w:rsidR="009A7532" w:rsidRDefault="00000000">
      <w:pPr>
        <w:pStyle w:val="ListBullet"/>
        <w:spacing w:after="40"/>
      </w:pPr>
      <w:r>
        <w:t>Income sources hierarchy: (1) natural income (dividends/coupons), (2) controlled rebalancing after neutral/positive years, (3) cash buffer only in stress.</w:t>
      </w:r>
    </w:p>
    <w:p w14:paraId="13DB053B" w14:textId="77777777" w:rsidR="009A7532" w:rsidRDefault="00000000">
      <w:pPr>
        <w:pStyle w:val="ListBullet"/>
        <w:spacing w:after="40"/>
      </w:pPr>
      <w:r>
        <w:t>Cash buffer: 1.5–2.0 years of top‑up capacity; replenished after strong years.</w:t>
      </w:r>
    </w:p>
    <w:p w14:paraId="54645AEF" w14:textId="77777777" w:rsidR="009A7532" w:rsidRDefault="00000000">
      <w:pPr>
        <w:pStyle w:val="ListBullet"/>
        <w:spacing w:after="40"/>
      </w:pPr>
      <w:r>
        <w:t>Rebalancing: annual, with sleeve tolerance bands ±5%.</w:t>
      </w:r>
    </w:p>
    <w:p w14:paraId="29016D00" w14:textId="77777777" w:rsidR="009A7532" w:rsidRDefault="00000000">
      <w:pPr>
        <w:spacing w:after="40"/>
      </w:pPr>
      <w:r>
        <w:rPr>
          <w:b/>
        </w:rPr>
        <w:t>Strategic allocation (target weights)</w:t>
      </w:r>
    </w:p>
    <w:p w14:paraId="36BF5B3D" w14:textId="77777777" w:rsidR="009A7532" w:rsidRDefault="00000000">
      <w:pPr>
        <w:pStyle w:val="ListBullet"/>
        <w:spacing w:after="40"/>
      </w:pPr>
      <w:r>
        <w:t>Defensive Income 35% (GBP‑anchored)</w:t>
      </w:r>
    </w:p>
    <w:p w14:paraId="661BFC83" w14:textId="77777777" w:rsidR="009A7532" w:rsidRDefault="00000000">
      <w:pPr>
        <w:pStyle w:val="ListBullet"/>
        <w:spacing w:after="40"/>
      </w:pPr>
      <w:r>
        <w:t>Equity Income &amp; Growth 35% (global, mostly unhedged)</w:t>
      </w:r>
    </w:p>
    <w:p w14:paraId="5AB3271F" w14:textId="77777777" w:rsidR="009A7532" w:rsidRDefault="00000000">
      <w:pPr>
        <w:pStyle w:val="ListBullet"/>
        <w:spacing w:after="40"/>
      </w:pPr>
      <w:r>
        <w:t>Real Assets &amp; Alternatives 20% (infra/REIT/credit diversified; liquid-first)</w:t>
      </w:r>
    </w:p>
    <w:p w14:paraId="25F0C1EE" w14:textId="77777777" w:rsidR="009A7532" w:rsidRDefault="00000000">
      <w:pPr>
        <w:pStyle w:val="ListBullet"/>
        <w:spacing w:after="40"/>
      </w:pPr>
      <w:r>
        <w:t>Cash / Income Buffer 10% (GBP-only)</w:t>
      </w:r>
    </w:p>
    <w:p w14:paraId="204C8FFE" w14:textId="77777777" w:rsidR="009A7532" w:rsidRDefault="00000000">
      <w:pPr>
        <w:spacing w:after="40"/>
      </w:pPr>
      <w:r>
        <w:rPr>
          <w:b/>
        </w:rPr>
        <w:t>Model Portfolio v0.2 (tickers / weights)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7532" w14:paraId="65D175E6" w14:textId="77777777">
        <w:tc>
          <w:tcPr>
            <w:tcW w:w="2160" w:type="dxa"/>
          </w:tcPr>
          <w:p w14:paraId="343CD685" w14:textId="77777777" w:rsidR="009A7532" w:rsidRDefault="00000000">
            <w:r>
              <w:rPr>
                <w:b/>
              </w:rPr>
              <w:t>Sleeve</w:t>
            </w:r>
          </w:p>
        </w:tc>
        <w:tc>
          <w:tcPr>
            <w:tcW w:w="2160" w:type="dxa"/>
          </w:tcPr>
          <w:p w14:paraId="1CFE7E97" w14:textId="77777777" w:rsidR="009A7532" w:rsidRDefault="00000000">
            <w:r>
              <w:rPr>
                <w:b/>
              </w:rPr>
              <w:t>Ticker</w:t>
            </w:r>
          </w:p>
        </w:tc>
        <w:tc>
          <w:tcPr>
            <w:tcW w:w="2160" w:type="dxa"/>
          </w:tcPr>
          <w:p w14:paraId="6A4B2B43" w14:textId="77777777" w:rsidR="009A7532" w:rsidRDefault="00000000">
            <w:r>
              <w:rPr>
                <w:b/>
              </w:rPr>
              <w:t>Weight</w:t>
            </w:r>
          </w:p>
        </w:tc>
        <w:tc>
          <w:tcPr>
            <w:tcW w:w="2160" w:type="dxa"/>
          </w:tcPr>
          <w:p w14:paraId="60C7A352" w14:textId="77777777" w:rsidR="009A7532" w:rsidRDefault="00000000">
            <w:r>
              <w:rPr>
                <w:b/>
              </w:rPr>
              <w:t>Role</w:t>
            </w:r>
          </w:p>
        </w:tc>
      </w:tr>
      <w:tr w:rsidR="009A7532" w14:paraId="4A903A00" w14:textId="77777777">
        <w:tc>
          <w:tcPr>
            <w:tcW w:w="2160" w:type="dxa"/>
          </w:tcPr>
          <w:p w14:paraId="2FA4F516" w14:textId="77777777" w:rsidR="009A7532" w:rsidRDefault="00000000">
            <w:r>
              <w:t>Defensive</w:t>
            </w:r>
          </w:p>
        </w:tc>
        <w:tc>
          <w:tcPr>
            <w:tcW w:w="2160" w:type="dxa"/>
          </w:tcPr>
          <w:p w14:paraId="665B227C" w14:textId="77777777" w:rsidR="009A7532" w:rsidRDefault="00000000">
            <w:r>
              <w:t>AGBP</w:t>
            </w:r>
          </w:p>
        </w:tc>
        <w:tc>
          <w:tcPr>
            <w:tcW w:w="2160" w:type="dxa"/>
          </w:tcPr>
          <w:p w14:paraId="5146D28D" w14:textId="77777777" w:rsidR="009A7532" w:rsidRDefault="00000000">
            <w:r>
              <w:t>22%</w:t>
            </w:r>
          </w:p>
        </w:tc>
        <w:tc>
          <w:tcPr>
            <w:tcW w:w="2160" w:type="dxa"/>
          </w:tcPr>
          <w:p w14:paraId="25084D75" w14:textId="77777777" w:rsidR="009A7532" w:rsidRDefault="00000000">
            <w:r>
              <w:t>Global agg IG bonds, GBP-hedged</w:t>
            </w:r>
          </w:p>
        </w:tc>
      </w:tr>
      <w:tr w:rsidR="009A7532" w14:paraId="7C22D81B" w14:textId="77777777">
        <w:tc>
          <w:tcPr>
            <w:tcW w:w="2160" w:type="dxa"/>
          </w:tcPr>
          <w:p w14:paraId="1A0DEA31" w14:textId="77777777" w:rsidR="009A7532" w:rsidRDefault="00000000">
            <w:r>
              <w:t>Defensive</w:t>
            </w:r>
          </w:p>
        </w:tc>
        <w:tc>
          <w:tcPr>
            <w:tcW w:w="2160" w:type="dxa"/>
          </w:tcPr>
          <w:p w14:paraId="22DE2BA0" w14:textId="77777777" w:rsidR="009A7532" w:rsidRDefault="00000000">
            <w:r>
              <w:t>IGCB</w:t>
            </w:r>
          </w:p>
        </w:tc>
        <w:tc>
          <w:tcPr>
            <w:tcW w:w="2160" w:type="dxa"/>
          </w:tcPr>
          <w:p w14:paraId="403C5A17" w14:textId="77777777" w:rsidR="009A7532" w:rsidRDefault="00000000">
            <w:r>
              <w:t>8%</w:t>
            </w:r>
          </w:p>
        </w:tc>
        <w:tc>
          <w:tcPr>
            <w:tcW w:w="2160" w:type="dxa"/>
          </w:tcPr>
          <w:p w14:paraId="6658EA56" w14:textId="77777777" w:rsidR="009A7532" w:rsidRDefault="00000000">
            <w:r>
              <w:t>GBP IG corporate bonds</w:t>
            </w:r>
          </w:p>
        </w:tc>
      </w:tr>
      <w:tr w:rsidR="009A7532" w14:paraId="788B9232" w14:textId="77777777">
        <w:tc>
          <w:tcPr>
            <w:tcW w:w="2160" w:type="dxa"/>
          </w:tcPr>
          <w:p w14:paraId="5FC96F1B" w14:textId="77777777" w:rsidR="009A7532" w:rsidRDefault="00000000">
            <w:r>
              <w:t>Defensive</w:t>
            </w:r>
          </w:p>
        </w:tc>
        <w:tc>
          <w:tcPr>
            <w:tcW w:w="2160" w:type="dxa"/>
          </w:tcPr>
          <w:p w14:paraId="4DB83CD8" w14:textId="77777777" w:rsidR="009A7532" w:rsidRDefault="00000000">
            <w:r>
              <w:t>GLTP</w:t>
            </w:r>
          </w:p>
        </w:tc>
        <w:tc>
          <w:tcPr>
            <w:tcW w:w="2160" w:type="dxa"/>
          </w:tcPr>
          <w:p w14:paraId="300302BC" w14:textId="77777777" w:rsidR="009A7532" w:rsidRDefault="00000000">
            <w:r>
              <w:t>5%</w:t>
            </w:r>
          </w:p>
        </w:tc>
        <w:tc>
          <w:tcPr>
            <w:tcW w:w="2160" w:type="dxa"/>
          </w:tcPr>
          <w:p w14:paraId="7E8CBF15" w14:textId="77777777" w:rsidR="009A7532" w:rsidRDefault="00000000">
            <w:r>
              <w:t>UK gilts ballast/liquidity</w:t>
            </w:r>
          </w:p>
        </w:tc>
      </w:tr>
      <w:tr w:rsidR="009A7532" w14:paraId="620709B4" w14:textId="77777777">
        <w:tc>
          <w:tcPr>
            <w:tcW w:w="2160" w:type="dxa"/>
          </w:tcPr>
          <w:p w14:paraId="1D7474E3" w14:textId="77777777" w:rsidR="009A7532" w:rsidRDefault="00000000">
            <w:r>
              <w:t>Equity</w:t>
            </w:r>
          </w:p>
        </w:tc>
        <w:tc>
          <w:tcPr>
            <w:tcW w:w="2160" w:type="dxa"/>
          </w:tcPr>
          <w:p w14:paraId="17B4F186" w14:textId="77777777" w:rsidR="009A7532" w:rsidRDefault="00000000">
            <w:r>
              <w:t>VHYL</w:t>
            </w:r>
          </w:p>
        </w:tc>
        <w:tc>
          <w:tcPr>
            <w:tcW w:w="2160" w:type="dxa"/>
          </w:tcPr>
          <w:p w14:paraId="13A258FB" w14:textId="77777777" w:rsidR="009A7532" w:rsidRDefault="00000000">
            <w:r>
              <w:t>17%</w:t>
            </w:r>
          </w:p>
        </w:tc>
        <w:tc>
          <w:tcPr>
            <w:tcW w:w="2160" w:type="dxa"/>
          </w:tcPr>
          <w:p w14:paraId="563C4A9B" w14:textId="77777777" w:rsidR="009A7532" w:rsidRDefault="00000000">
            <w:r>
              <w:t>Global dividend equity core</w:t>
            </w:r>
          </w:p>
        </w:tc>
      </w:tr>
      <w:tr w:rsidR="009A7532" w14:paraId="7EA7F4C3" w14:textId="77777777">
        <w:tc>
          <w:tcPr>
            <w:tcW w:w="2160" w:type="dxa"/>
          </w:tcPr>
          <w:p w14:paraId="430C1FB9" w14:textId="77777777" w:rsidR="009A7532" w:rsidRDefault="00000000">
            <w:r>
              <w:t>Equity</w:t>
            </w:r>
          </w:p>
        </w:tc>
        <w:tc>
          <w:tcPr>
            <w:tcW w:w="2160" w:type="dxa"/>
          </w:tcPr>
          <w:p w14:paraId="4329D42C" w14:textId="77777777" w:rsidR="009A7532" w:rsidRDefault="00000000">
            <w:r>
              <w:t>GBDV</w:t>
            </w:r>
          </w:p>
        </w:tc>
        <w:tc>
          <w:tcPr>
            <w:tcW w:w="2160" w:type="dxa"/>
          </w:tcPr>
          <w:p w14:paraId="36BD7F44" w14:textId="77777777" w:rsidR="009A7532" w:rsidRDefault="00000000">
            <w:r>
              <w:t>10%</w:t>
            </w:r>
          </w:p>
        </w:tc>
        <w:tc>
          <w:tcPr>
            <w:tcW w:w="2160" w:type="dxa"/>
          </w:tcPr>
          <w:p w14:paraId="1EC82108" w14:textId="77777777" w:rsidR="009A7532" w:rsidRDefault="00000000">
            <w:r>
              <w:t>Dividend quality screen</w:t>
            </w:r>
          </w:p>
        </w:tc>
      </w:tr>
      <w:tr w:rsidR="009A7532" w14:paraId="750E1119" w14:textId="77777777">
        <w:tc>
          <w:tcPr>
            <w:tcW w:w="2160" w:type="dxa"/>
          </w:tcPr>
          <w:p w14:paraId="0C65DA46" w14:textId="77777777" w:rsidR="009A7532" w:rsidRDefault="00000000">
            <w:r>
              <w:t>Equity</w:t>
            </w:r>
          </w:p>
        </w:tc>
        <w:tc>
          <w:tcPr>
            <w:tcW w:w="2160" w:type="dxa"/>
          </w:tcPr>
          <w:p w14:paraId="3A736574" w14:textId="77777777" w:rsidR="009A7532" w:rsidRDefault="00000000">
            <w:r>
              <w:t>IUKD</w:t>
            </w:r>
          </w:p>
        </w:tc>
        <w:tc>
          <w:tcPr>
            <w:tcW w:w="2160" w:type="dxa"/>
          </w:tcPr>
          <w:p w14:paraId="7807EB8E" w14:textId="77777777" w:rsidR="009A7532" w:rsidRDefault="00000000">
            <w:r>
              <w:t>3%</w:t>
            </w:r>
          </w:p>
        </w:tc>
        <w:tc>
          <w:tcPr>
            <w:tcW w:w="2160" w:type="dxa"/>
          </w:tcPr>
          <w:p w14:paraId="62E48D50" w14:textId="77777777" w:rsidR="009A7532" w:rsidRDefault="00000000">
            <w:r>
              <w:t>Small UK income satellite</w:t>
            </w:r>
          </w:p>
        </w:tc>
      </w:tr>
      <w:tr w:rsidR="009A7532" w14:paraId="0B74805E" w14:textId="77777777">
        <w:tc>
          <w:tcPr>
            <w:tcW w:w="2160" w:type="dxa"/>
          </w:tcPr>
          <w:p w14:paraId="37B2E085" w14:textId="77777777" w:rsidR="009A7532" w:rsidRDefault="00000000">
            <w:r>
              <w:t>Equity</w:t>
            </w:r>
          </w:p>
        </w:tc>
        <w:tc>
          <w:tcPr>
            <w:tcW w:w="2160" w:type="dxa"/>
          </w:tcPr>
          <w:p w14:paraId="645C327E" w14:textId="77777777" w:rsidR="009A7532" w:rsidRDefault="00000000">
            <w:r>
              <w:t>STOCKS</w:t>
            </w:r>
          </w:p>
        </w:tc>
        <w:tc>
          <w:tcPr>
            <w:tcW w:w="2160" w:type="dxa"/>
          </w:tcPr>
          <w:p w14:paraId="400A065B" w14:textId="77777777" w:rsidR="009A7532" w:rsidRDefault="00000000">
            <w:r>
              <w:t>5%</w:t>
            </w:r>
          </w:p>
        </w:tc>
        <w:tc>
          <w:tcPr>
            <w:tcW w:w="2160" w:type="dxa"/>
          </w:tcPr>
          <w:p w14:paraId="5BA2B131" w14:textId="77777777" w:rsidR="009A7532" w:rsidRDefault="00000000">
            <w:r>
              <w:t>12-name stock basket (6 UK / 3 HK / 3 SG)</w:t>
            </w:r>
          </w:p>
        </w:tc>
      </w:tr>
      <w:tr w:rsidR="009A7532" w14:paraId="3DE085A1" w14:textId="77777777">
        <w:tc>
          <w:tcPr>
            <w:tcW w:w="2160" w:type="dxa"/>
          </w:tcPr>
          <w:p w14:paraId="0F6D4847" w14:textId="77777777" w:rsidR="009A7532" w:rsidRDefault="00000000">
            <w:r>
              <w:t>Real assets</w:t>
            </w:r>
          </w:p>
        </w:tc>
        <w:tc>
          <w:tcPr>
            <w:tcW w:w="2160" w:type="dxa"/>
          </w:tcPr>
          <w:p w14:paraId="6E7A931F" w14:textId="77777777" w:rsidR="009A7532" w:rsidRDefault="00000000">
            <w:r>
              <w:t>INPP</w:t>
            </w:r>
          </w:p>
        </w:tc>
        <w:tc>
          <w:tcPr>
            <w:tcW w:w="2160" w:type="dxa"/>
          </w:tcPr>
          <w:p w14:paraId="6F6B0977" w14:textId="77777777" w:rsidR="009A7532" w:rsidRDefault="00000000">
            <w:r>
              <w:t>4%</w:t>
            </w:r>
          </w:p>
        </w:tc>
        <w:tc>
          <w:tcPr>
            <w:tcW w:w="2160" w:type="dxa"/>
          </w:tcPr>
          <w:p w14:paraId="78570826" w14:textId="77777777" w:rsidR="009A7532" w:rsidRDefault="00000000">
            <w:r>
              <w:t xml:space="preserve">Infrastructure trust </w:t>
            </w:r>
            <w:r>
              <w:lastRenderedPageBreak/>
              <w:t>cashflows</w:t>
            </w:r>
          </w:p>
        </w:tc>
      </w:tr>
      <w:tr w:rsidR="009A7532" w14:paraId="60B9C1AC" w14:textId="77777777">
        <w:tc>
          <w:tcPr>
            <w:tcW w:w="2160" w:type="dxa"/>
          </w:tcPr>
          <w:p w14:paraId="697333A6" w14:textId="77777777" w:rsidR="009A7532" w:rsidRDefault="00000000">
            <w:r>
              <w:lastRenderedPageBreak/>
              <w:t>Real assets</w:t>
            </w:r>
          </w:p>
        </w:tc>
        <w:tc>
          <w:tcPr>
            <w:tcW w:w="2160" w:type="dxa"/>
          </w:tcPr>
          <w:p w14:paraId="0391500F" w14:textId="77777777" w:rsidR="009A7532" w:rsidRDefault="00000000">
            <w:r>
              <w:t>HICL</w:t>
            </w:r>
          </w:p>
        </w:tc>
        <w:tc>
          <w:tcPr>
            <w:tcW w:w="2160" w:type="dxa"/>
          </w:tcPr>
          <w:p w14:paraId="78B90060" w14:textId="77777777" w:rsidR="009A7532" w:rsidRDefault="00000000">
            <w:r>
              <w:t>3%</w:t>
            </w:r>
          </w:p>
        </w:tc>
        <w:tc>
          <w:tcPr>
            <w:tcW w:w="2160" w:type="dxa"/>
          </w:tcPr>
          <w:p w14:paraId="6C50542A" w14:textId="77777777" w:rsidR="009A7532" w:rsidRDefault="00000000">
            <w:r>
              <w:t>Infrastructure trust cashflows</w:t>
            </w:r>
          </w:p>
        </w:tc>
      </w:tr>
      <w:tr w:rsidR="009A7532" w14:paraId="53106DD4" w14:textId="77777777">
        <w:tc>
          <w:tcPr>
            <w:tcW w:w="2160" w:type="dxa"/>
          </w:tcPr>
          <w:p w14:paraId="5147CB69" w14:textId="77777777" w:rsidR="009A7532" w:rsidRDefault="00000000">
            <w:r>
              <w:t>Real assets</w:t>
            </w:r>
          </w:p>
        </w:tc>
        <w:tc>
          <w:tcPr>
            <w:tcW w:w="2160" w:type="dxa"/>
          </w:tcPr>
          <w:p w14:paraId="4A535283" w14:textId="77777777" w:rsidR="009A7532" w:rsidRDefault="00000000">
            <w:r>
              <w:t>INFR</w:t>
            </w:r>
          </w:p>
        </w:tc>
        <w:tc>
          <w:tcPr>
            <w:tcW w:w="2160" w:type="dxa"/>
          </w:tcPr>
          <w:p w14:paraId="79913D7C" w14:textId="77777777" w:rsidR="009A7532" w:rsidRDefault="00000000">
            <w:r>
              <w:t>3%</w:t>
            </w:r>
          </w:p>
        </w:tc>
        <w:tc>
          <w:tcPr>
            <w:tcW w:w="2160" w:type="dxa"/>
          </w:tcPr>
          <w:p w14:paraId="53F0AC57" w14:textId="77777777" w:rsidR="009A7532" w:rsidRDefault="00000000">
            <w:r>
              <w:t>Global listed infrastructure ETF</w:t>
            </w:r>
          </w:p>
        </w:tc>
      </w:tr>
      <w:tr w:rsidR="009A7532" w14:paraId="67CA3794" w14:textId="77777777">
        <w:tc>
          <w:tcPr>
            <w:tcW w:w="2160" w:type="dxa"/>
          </w:tcPr>
          <w:p w14:paraId="38525142" w14:textId="77777777" w:rsidR="009A7532" w:rsidRDefault="00000000">
            <w:r>
              <w:t>Real assets</w:t>
            </w:r>
          </w:p>
        </w:tc>
        <w:tc>
          <w:tcPr>
            <w:tcW w:w="2160" w:type="dxa"/>
          </w:tcPr>
          <w:p w14:paraId="49041264" w14:textId="77777777" w:rsidR="009A7532" w:rsidRDefault="00000000">
            <w:r>
              <w:t>IWDP</w:t>
            </w:r>
          </w:p>
        </w:tc>
        <w:tc>
          <w:tcPr>
            <w:tcW w:w="2160" w:type="dxa"/>
          </w:tcPr>
          <w:p w14:paraId="3C424FC2" w14:textId="77777777" w:rsidR="009A7532" w:rsidRDefault="00000000">
            <w:r>
              <w:t>7%</w:t>
            </w:r>
          </w:p>
        </w:tc>
        <w:tc>
          <w:tcPr>
            <w:tcW w:w="2160" w:type="dxa"/>
          </w:tcPr>
          <w:p w14:paraId="56FA9F9D" w14:textId="77777777" w:rsidR="009A7532" w:rsidRDefault="00000000">
            <w:r>
              <w:t>Global REIT/property yield ETF</w:t>
            </w:r>
          </w:p>
        </w:tc>
      </w:tr>
      <w:tr w:rsidR="009A7532" w14:paraId="092947A6" w14:textId="77777777">
        <w:tc>
          <w:tcPr>
            <w:tcW w:w="2160" w:type="dxa"/>
          </w:tcPr>
          <w:p w14:paraId="53C31809" w14:textId="77777777" w:rsidR="009A7532" w:rsidRDefault="00000000">
            <w:r>
              <w:t>Real assets</w:t>
            </w:r>
          </w:p>
        </w:tc>
        <w:tc>
          <w:tcPr>
            <w:tcW w:w="2160" w:type="dxa"/>
          </w:tcPr>
          <w:p w14:paraId="7E7DE0FD" w14:textId="77777777" w:rsidR="009A7532" w:rsidRDefault="00000000">
            <w:r>
              <w:t>TFIF</w:t>
            </w:r>
          </w:p>
        </w:tc>
        <w:tc>
          <w:tcPr>
            <w:tcW w:w="2160" w:type="dxa"/>
          </w:tcPr>
          <w:p w14:paraId="3E2D544E" w14:textId="77777777" w:rsidR="009A7532" w:rsidRDefault="00000000">
            <w:r>
              <w:t>3%</w:t>
            </w:r>
          </w:p>
        </w:tc>
        <w:tc>
          <w:tcPr>
            <w:tcW w:w="2160" w:type="dxa"/>
          </w:tcPr>
          <w:p w14:paraId="6C07FAB1" w14:textId="77777777" w:rsidR="009A7532" w:rsidRDefault="00000000">
            <w:r>
              <w:t>Credit/asset-backed income trust (small)</w:t>
            </w:r>
          </w:p>
        </w:tc>
      </w:tr>
      <w:tr w:rsidR="009A7532" w14:paraId="7C6ED27A" w14:textId="77777777">
        <w:tc>
          <w:tcPr>
            <w:tcW w:w="2160" w:type="dxa"/>
          </w:tcPr>
          <w:p w14:paraId="0FAE5BA3" w14:textId="77777777" w:rsidR="009A7532" w:rsidRDefault="00000000">
            <w:r>
              <w:t>Cash</w:t>
            </w:r>
          </w:p>
        </w:tc>
        <w:tc>
          <w:tcPr>
            <w:tcW w:w="2160" w:type="dxa"/>
          </w:tcPr>
          <w:p w14:paraId="2EFE35C3" w14:textId="77777777" w:rsidR="009A7532" w:rsidRDefault="00000000">
            <w:r>
              <w:t>GBP CASH</w:t>
            </w:r>
          </w:p>
        </w:tc>
        <w:tc>
          <w:tcPr>
            <w:tcW w:w="2160" w:type="dxa"/>
          </w:tcPr>
          <w:p w14:paraId="6961407F" w14:textId="77777777" w:rsidR="009A7532" w:rsidRDefault="00000000">
            <w:r>
              <w:t>5%</w:t>
            </w:r>
          </w:p>
        </w:tc>
        <w:tc>
          <w:tcPr>
            <w:tcW w:w="2160" w:type="dxa"/>
          </w:tcPr>
          <w:p w14:paraId="52F42CFD" w14:textId="77777777" w:rsidR="009A7532" w:rsidRDefault="00000000">
            <w:r>
              <w:t>Cash buffer</w:t>
            </w:r>
          </w:p>
        </w:tc>
      </w:tr>
      <w:tr w:rsidR="009A7532" w14:paraId="2D11D05E" w14:textId="77777777">
        <w:tc>
          <w:tcPr>
            <w:tcW w:w="2160" w:type="dxa"/>
          </w:tcPr>
          <w:p w14:paraId="428D9A17" w14:textId="77777777" w:rsidR="009A7532" w:rsidRDefault="00000000">
            <w:r>
              <w:t>Cash</w:t>
            </w:r>
          </w:p>
        </w:tc>
        <w:tc>
          <w:tcPr>
            <w:tcW w:w="2160" w:type="dxa"/>
          </w:tcPr>
          <w:p w14:paraId="4D5D434A" w14:textId="77777777" w:rsidR="009A7532" w:rsidRDefault="00000000">
            <w:r>
              <w:t>ERNS</w:t>
            </w:r>
          </w:p>
        </w:tc>
        <w:tc>
          <w:tcPr>
            <w:tcW w:w="2160" w:type="dxa"/>
          </w:tcPr>
          <w:p w14:paraId="0DEB4D0C" w14:textId="77777777" w:rsidR="009A7532" w:rsidRDefault="00000000">
            <w:r>
              <w:t>5%</w:t>
            </w:r>
          </w:p>
        </w:tc>
        <w:tc>
          <w:tcPr>
            <w:tcW w:w="2160" w:type="dxa"/>
          </w:tcPr>
          <w:p w14:paraId="16F76CB3" w14:textId="77777777" w:rsidR="009A7532" w:rsidRDefault="00000000">
            <w:r>
              <w:t>GBP ultrashort bond ETF (cash-like)</w:t>
            </w:r>
          </w:p>
        </w:tc>
      </w:tr>
    </w:tbl>
    <w:p w14:paraId="1F73689D" w14:textId="77777777" w:rsidR="009A7532" w:rsidRDefault="00000000">
      <w:pPr>
        <w:spacing w:after="40"/>
      </w:pPr>
      <w:r>
        <w:rPr>
          <w:b/>
        </w:rPr>
        <w:t>Key constraints (guardrails)</w:t>
      </w:r>
    </w:p>
    <w:p w14:paraId="298106EF" w14:textId="77777777" w:rsidR="009A7532" w:rsidRDefault="00000000">
      <w:pPr>
        <w:pStyle w:val="ListBullet"/>
        <w:spacing w:after="40"/>
      </w:pPr>
      <w:r>
        <w:t>Defensive sleeve: portfolio-average IG; max 15% sub‑IG (only via strategic funds); duration target 3–6y (max 8y); yield sanity band 3–4.5%.</w:t>
      </w:r>
    </w:p>
    <w:p w14:paraId="55F3C5A1" w14:textId="77777777" w:rsidR="009A7532" w:rsidRDefault="00000000">
      <w:pPr>
        <w:pStyle w:val="ListBullet"/>
        <w:spacing w:after="40"/>
      </w:pPr>
      <w:r>
        <w:t>Equity sleeve: avoid yield chasing; sector cap 25% within sleeve; UK home bias cap 20% unless deliberate.</w:t>
      </w:r>
    </w:p>
    <w:p w14:paraId="03F1A448" w14:textId="77777777" w:rsidR="009A7532" w:rsidRDefault="00000000">
      <w:pPr>
        <w:pStyle w:val="ListBullet"/>
        <w:spacing w:after="40"/>
      </w:pPr>
      <w:r>
        <w:t>Stock basket rules: max 3% per name at purchase; max 15% total in individual stocks; min 12 names; current basket list available separately.</w:t>
      </w:r>
    </w:p>
    <w:p w14:paraId="68381C1F" w14:textId="77777777" w:rsidR="009A7532" w:rsidRDefault="00000000">
      <w:pPr>
        <w:pStyle w:val="ListBullet"/>
        <w:spacing w:after="40"/>
      </w:pPr>
      <w:r>
        <w:t>Real assets caps: REITs ≤10% total; infrastructure ≤10% total; credit/asset‑backed ≤10% total; avoid long lockups initially.</w:t>
      </w:r>
    </w:p>
    <w:p w14:paraId="4B9BB36B" w14:textId="77777777" w:rsidR="009A7532" w:rsidRDefault="00000000">
      <w:pPr>
        <w:pStyle w:val="ListBullet"/>
        <w:spacing w:after="40"/>
      </w:pPr>
      <w:r>
        <w:t>Cash buffer: GBP-only; keep rate sensitivity ≤ ~1 year; refill after strong years.</w:t>
      </w:r>
    </w:p>
    <w:p w14:paraId="2F3EE7C3" w14:textId="77777777" w:rsidR="009A7532" w:rsidRDefault="00000000">
      <w:pPr>
        <w:spacing w:after="40"/>
      </w:pPr>
      <w:r>
        <w:rPr>
          <w:b/>
        </w:rPr>
        <w:t xml:space="preserve">Notes: </w:t>
      </w:r>
      <w:r>
        <w:t>This is a draft model and governance framework to guide implementation and review; final instrument selection, costs, tax wrappers (ISA/GIA), and execution plan should be confirmed before trading.</w:t>
      </w:r>
    </w:p>
    <w:sectPr w:rsidR="009A75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605265">
    <w:abstractNumId w:val="8"/>
  </w:num>
  <w:num w:numId="2" w16cid:durableId="897935735">
    <w:abstractNumId w:val="6"/>
  </w:num>
  <w:num w:numId="3" w16cid:durableId="668018464">
    <w:abstractNumId w:val="5"/>
  </w:num>
  <w:num w:numId="4" w16cid:durableId="1652102362">
    <w:abstractNumId w:val="4"/>
  </w:num>
  <w:num w:numId="5" w16cid:durableId="1648124334">
    <w:abstractNumId w:val="7"/>
  </w:num>
  <w:num w:numId="6" w16cid:durableId="1371540626">
    <w:abstractNumId w:val="3"/>
  </w:num>
  <w:num w:numId="7" w16cid:durableId="629819850">
    <w:abstractNumId w:val="2"/>
  </w:num>
  <w:num w:numId="8" w16cid:durableId="943076861">
    <w:abstractNumId w:val="1"/>
  </w:num>
  <w:num w:numId="9" w16cid:durableId="158329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7532"/>
    <w:rsid w:val="009B70B2"/>
    <w:rsid w:val="00A140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376B0"/>
  <w14:defaultImageDpi w14:val="300"/>
  <w15:docId w15:val="{C4E508ED-0F96-AB4A-8CAF-CB2BFDBD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2508</Characters>
  <Application>Microsoft Office Word</Application>
  <DocSecurity>0</DocSecurity>
  <Lines>109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Graham charles Newman</cp:lastModifiedBy>
  <cp:revision>2</cp:revision>
  <dcterms:created xsi:type="dcterms:W3CDTF">2013-12-23T23:15:00Z</dcterms:created>
  <dcterms:modified xsi:type="dcterms:W3CDTF">2026-01-30T13:24:00Z</dcterms:modified>
  <cp:category/>
</cp:coreProperties>
</file>