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B906" w14:textId="77777777" w:rsidR="00C8310F" w:rsidRPr="00DC0595" w:rsidRDefault="00000000" w:rsidP="00DC0595">
      <w:pPr>
        <w:pStyle w:val="Heading1"/>
      </w:pPr>
      <w:r w:rsidRPr="00DC0595">
        <w:t>Income Policy – Draft v1.0</w:t>
      </w:r>
    </w:p>
    <w:p w14:paraId="3376FDE1" w14:textId="76F676AE" w:rsidR="00DC0595" w:rsidRDefault="00000000" w:rsidP="00DC0595">
      <w:pPr>
        <w:pStyle w:val="Heading2"/>
      </w:pPr>
      <w:r>
        <w:t>Objective</w:t>
      </w:r>
    </w:p>
    <w:p w14:paraId="3E540B46" w14:textId="3DD1C4C8" w:rsidR="00C8310F" w:rsidRDefault="00000000">
      <w:r>
        <w:t>The primary objective of this portfolio is to provide a reliable annual income of £30,000 (nominal) while preserving the real value of capital over the long term, avoiding forced asset sales during market stress, and supporting a meaningful inheritance for children. Income stability takes precedence over short-term capital volatility.</w:t>
      </w:r>
    </w:p>
    <w:p w14:paraId="7A54A1D0" w14:textId="1C44374D" w:rsidR="00DC0595" w:rsidRDefault="00000000" w:rsidP="00DC0595">
      <w:pPr>
        <w:pStyle w:val="Heading2"/>
      </w:pPr>
      <w:r>
        <w:t xml:space="preserve">Income </w:t>
      </w:r>
      <w:r w:rsidR="00DC0595">
        <w:t>t</w:t>
      </w:r>
      <w:r>
        <w:t xml:space="preserve">arget </w:t>
      </w:r>
      <w:r w:rsidR="00DC0595">
        <w:t>and</w:t>
      </w:r>
      <w:r>
        <w:t xml:space="preserve"> </w:t>
      </w:r>
      <w:r w:rsidR="00DC0595">
        <w:t>l</w:t>
      </w:r>
      <w:r>
        <w:t>imits</w:t>
      </w:r>
    </w:p>
    <w:p w14:paraId="39414C14" w14:textId="3D1F7191" w:rsidR="00C8310F" w:rsidRDefault="00000000">
      <w:r>
        <w:t>Target income is £30,000 per annum. This figure is reviewed annually for inflation but is not automatically increased. A hard withdrawal ceiling of 4.25% of total portfolio value applies in any single year.</w:t>
      </w:r>
    </w:p>
    <w:p w14:paraId="5C88BF4B" w14:textId="26016479" w:rsidR="00DC0595" w:rsidRDefault="00000000" w:rsidP="00DC0595">
      <w:pPr>
        <w:pStyle w:val="Heading2"/>
      </w:pPr>
      <w:r>
        <w:t xml:space="preserve">Sources of </w:t>
      </w:r>
      <w:r w:rsidR="00DC0595">
        <w:t>i</w:t>
      </w:r>
      <w:r>
        <w:t>ncome</w:t>
      </w:r>
    </w:p>
    <w:p w14:paraId="19107854" w14:textId="3EBFBB7F" w:rsidR="00C8310F" w:rsidRDefault="00000000">
      <w:r>
        <w:t>Income is drawn first from natural income such as dividends, bond coupons, and fund distributions, targeting approximately 75–80% of total income in normal market conditions. If required, controlled portfolio rebalancing may be used following positive or neutral market years. The cash buffer is used only as a last resort during stressed markets.</w:t>
      </w:r>
    </w:p>
    <w:p w14:paraId="0B0D758B" w14:textId="21AB8856" w:rsidR="00DC0595" w:rsidRDefault="00000000" w:rsidP="00DC0595">
      <w:pPr>
        <w:pStyle w:val="Heading2"/>
      </w:pPr>
      <w:r>
        <w:t xml:space="preserve">Cash / </w:t>
      </w:r>
      <w:r w:rsidR="00DC0595">
        <w:t>i</w:t>
      </w:r>
      <w:r>
        <w:t xml:space="preserve">ncome </w:t>
      </w:r>
      <w:r w:rsidR="00DC0595">
        <w:t>b</w:t>
      </w:r>
      <w:r>
        <w:t xml:space="preserve">uffer </w:t>
      </w:r>
      <w:r w:rsidR="00DC0595">
        <w:t>p</w:t>
      </w:r>
      <w:r>
        <w:t>olicy</w:t>
      </w:r>
    </w:p>
    <w:p w14:paraId="27E4F8EC" w14:textId="159B8A18" w:rsidR="00C8310F" w:rsidRDefault="00000000">
      <w:r>
        <w:t>The cash buffer is maintained at approximately 1.5–2.0 years of required income. It is drawn down during stressed market conditions and replenished following strong years.</w:t>
      </w:r>
    </w:p>
    <w:p w14:paraId="0CC3DF6A" w14:textId="4D153043" w:rsidR="00DC0595" w:rsidRDefault="00000000" w:rsidP="00DC0595">
      <w:pPr>
        <w:pStyle w:val="Heading2"/>
      </w:pPr>
      <w:r>
        <w:t xml:space="preserve">Rebalancing </w:t>
      </w:r>
      <w:r w:rsidR="00DC0595">
        <w:t>r</w:t>
      </w:r>
      <w:r>
        <w:t>ules</w:t>
      </w:r>
    </w:p>
    <w:p w14:paraId="162E3760" w14:textId="2DD62E88" w:rsidR="00C8310F" w:rsidRDefault="00000000">
      <w:r>
        <w:t>Rebalancing is conducted annually with tolerance bands of ±5% per asset sleeve. Priority is given to refilling the income buffer and restoring strategic allocation.</w:t>
      </w:r>
    </w:p>
    <w:p w14:paraId="24358BD1" w14:textId="2122F35C" w:rsidR="00DC0595" w:rsidRDefault="00000000" w:rsidP="00DC0595">
      <w:pPr>
        <w:pStyle w:val="Heading2"/>
      </w:pPr>
      <w:r>
        <w:t xml:space="preserve">Dividend </w:t>
      </w:r>
      <w:r w:rsidR="00DC0595">
        <w:t>and</w:t>
      </w:r>
      <w:r>
        <w:t xml:space="preserve"> </w:t>
      </w:r>
      <w:r w:rsidR="00DC0595">
        <w:t>i</w:t>
      </w:r>
      <w:r>
        <w:t xml:space="preserve">ncome </w:t>
      </w:r>
      <w:r w:rsidR="00DC0595">
        <w:t>c</w:t>
      </w:r>
      <w:r>
        <w:t>uts</w:t>
      </w:r>
    </w:p>
    <w:p w14:paraId="060F15DA" w14:textId="5C117154" w:rsidR="00C8310F" w:rsidRDefault="00000000">
      <w:r>
        <w:t>Dividend reductions are expected and not considered failures. Assets are not sold solely due to dividend cuts unless there is permanent impairment or failure to fulfil the asset’s designated role.</w:t>
      </w:r>
    </w:p>
    <w:p w14:paraId="57AE901F" w14:textId="67C01907" w:rsidR="00DC0595" w:rsidRDefault="00000000" w:rsidP="00DC0595">
      <w:pPr>
        <w:pStyle w:val="Heading2"/>
      </w:pPr>
      <w:r>
        <w:t xml:space="preserve">Capital </w:t>
      </w:r>
      <w:r w:rsidR="00DC0595">
        <w:t>p</w:t>
      </w:r>
      <w:r>
        <w:t xml:space="preserve">rotection </w:t>
      </w:r>
      <w:r w:rsidR="00DC0595">
        <w:t>p</w:t>
      </w:r>
      <w:r>
        <w:t>rinciples</w:t>
      </w:r>
    </w:p>
    <w:p w14:paraId="0BC5F39C" w14:textId="585889E2" w:rsidR="00C8310F" w:rsidRDefault="00000000">
      <w:r>
        <w:t>The portfolio accepts temporary drawdowns and volatility but rejects panic selling, yield chasing, and structural capital depletion. Capital preservation is assessed over full market cycles.</w:t>
      </w:r>
    </w:p>
    <w:p w14:paraId="6870F758" w14:textId="71144388" w:rsidR="00DC0595" w:rsidRDefault="00000000" w:rsidP="00DC0595">
      <w:pPr>
        <w:pStyle w:val="Heading2"/>
      </w:pPr>
      <w:r>
        <w:t xml:space="preserve">Governance </w:t>
      </w:r>
      <w:r w:rsidR="00DC0595">
        <w:t>and</w:t>
      </w:r>
      <w:r>
        <w:t xml:space="preserve"> </w:t>
      </w:r>
      <w:r w:rsidR="00DC0595">
        <w:t>r</w:t>
      </w:r>
      <w:r>
        <w:t>eview</w:t>
      </w:r>
    </w:p>
    <w:p w14:paraId="441F6FFA" w14:textId="316FBF6E" w:rsidR="00C8310F" w:rsidRDefault="00000000">
      <w:r>
        <w:t>An annual review assesses income sustainability, withdrawal rate, and asset allocation drift. Strategic changes are made only for major life changes or structural improvements.</w:t>
      </w:r>
    </w:p>
    <w:sectPr w:rsidR="00C831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755010">
    <w:abstractNumId w:val="8"/>
  </w:num>
  <w:num w:numId="2" w16cid:durableId="1876963279">
    <w:abstractNumId w:val="6"/>
  </w:num>
  <w:num w:numId="3" w16cid:durableId="1459644746">
    <w:abstractNumId w:val="5"/>
  </w:num>
  <w:num w:numId="4" w16cid:durableId="1710687355">
    <w:abstractNumId w:val="4"/>
  </w:num>
  <w:num w:numId="5" w16cid:durableId="1353457030">
    <w:abstractNumId w:val="7"/>
  </w:num>
  <w:num w:numId="6" w16cid:durableId="1374232815">
    <w:abstractNumId w:val="3"/>
  </w:num>
  <w:num w:numId="7" w16cid:durableId="1787387771">
    <w:abstractNumId w:val="2"/>
  </w:num>
  <w:num w:numId="8" w16cid:durableId="1151554572">
    <w:abstractNumId w:val="1"/>
  </w:num>
  <w:num w:numId="9" w16cid:durableId="57423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D0D"/>
    <w:rsid w:val="0015074B"/>
    <w:rsid w:val="0029639D"/>
    <w:rsid w:val="00326F90"/>
    <w:rsid w:val="00AA1D8D"/>
    <w:rsid w:val="00B47730"/>
    <w:rsid w:val="00C8310F"/>
    <w:rsid w:val="00CB0664"/>
    <w:rsid w:val="00DC05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3E34E"/>
  <w14:defaultImageDpi w14:val="300"/>
  <w15:docId w15:val="{78000E08-AB68-9B45-B1ED-AC5B09BC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1703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Graham charles Newman</cp:lastModifiedBy>
  <cp:revision>2</cp:revision>
  <dcterms:created xsi:type="dcterms:W3CDTF">2013-12-23T23:15:00Z</dcterms:created>
  <dcterms:modified xsi:type="dcterms:W3CDTF">2026-01-30T09:13:00Z</dcterms:modified>
  <cp:category/>
</cp:coreProperties>
</file>