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E94C9" w14:textId="77777777" w:rsidR="00787228" w:rsidRDefault="00000000">
      <w:pPr>
        <w:pStyle w:val="Heading1"/>
      </w:pPr>
      <w:r>
        <w:t>Sleeve Constraints – Draft v1.2 (Aligned to Model Portfolio v0.2)</w:t>
      </w:r>
    </w:p>
    <w:p w14:paraId="370EAA21" w14:textId="77777777" w:rsidR="00787228" w:rsidRDefault="00000000">
      <w:r>
        <w:rPr>
          <w:sz w:val="20"/>
        </w:rPr>
        <w:t>Purpose: Convert the strategic allocation into explicit guardrails so product and stock selection stays disciplined, and ensure documentation matches the current Model Portfolio implementation (v0.2).</w:t>
      </w:r>
    </w:p>
    <w:p w14:paraId="48A175ED" w14:textId="77777777" w:rsidR="00787228" w:rsidRDefault="00000000">
      <w:pPr>
        <w:pStyle w:val="Heading2"/>
      </w:pPr>
      <w:r>
        <w:t>Current Model Portfolio Implementation (v0.2) – Snapshot</w:t>
      </w:r>
    </w:p>
    <w:p w14:paraId="7535D8F1" w14:textId="77777777" w:rsidR="00787228" w:rsidRDefault="00000000">
      <w:r>
        <w:t>Total target portfolio: £750,000 (initial model size).</w:t>
      </w:r>
    </w:p>
    <w:p w14:paraId="2DD07935" w14:textId="77777777" w:rsidR="00787228" w:rsidRDefault="00000000">
      <w:r>
        <w:t>Strategic sleeves and target weights: 35% Defensive Income; 35% Equity Income &amp; Growth; 20% Real Assets &amp; Alternatives; 10% Cash / Income Buffer.</w:t>
      </w:r>
    </w:p>
    <w:p w14:paraId="31C6B00F" w14:textId="77777777" w:rsidR="00787228" w:rsidRDefault="00000000">
      <w:r>
        <w:t>Holdings used in the current model (tickers / target weights):</w:t>
      </w:r>
    </w:p>
    <w:p w14:paraId="2E5D0611" w14:textId="77777777" w:rsidR="00787228" w:rsidRDefault="00000000">
      <w:pPr>
        <w:pStyle w:val="ListBullet"/>
      </w:pPr>
      <w:r>
        <w:t>Defensive Income (35%): AGBP 22%; IGCB 8%; GLTP 5%.</w:t>
      </w:r>
    </w:p>
    <w:p w14:paraId="41BE931E" w14:textId="77777777" w:rsidR="00787228" w:rsidRDefault="00000000">
      <w:pPr>
        <w:pStyle w:val="ListBullet"/>
      </w:pPr>
      <w:r>
        <w:t>Equity Income &amp; Growth (35%): VHYL 17%; GBDV 10%; IUKD 3%; STOCKS basket 5%.</w:t>
      </w:r>
    </w:p>
    <w:p w14:paraId="471EB0AD" w14:textId="77777777" w:rsidR="00787228" w:rsidRDefault="00000000">
      <w:pPr>
        <w:pStyle w:val="ListBullet"/>
      </w:pPr>
      <w:r>
        <w:t>Real Assets &amp; Alternatives (20%): INPP 4%; HICL 3%; INFR 3%; IWDP 7%; TFIF 3%.</w:t>
      </w:r>
    </w:p>
    <w:p w14:paraId="7F6CC153" w14:textId="77777777" w:rsidR="00787228" w:rsidRDefault="00000000">
      <w:pPr>
        <w:pStyle w:val="ListBullet"/>
      </w:pPr>
      <w:r>
        <w:t>Cash / Income Buffer (10%): GBP cash 5%; ERNS 5%.</w:t>
      </w:r>
    </w:p>
    <w:p w14:paraId="0A417D40" w14:textId="77777777" w:rsidR="00787228" w:rsidRDefault="00000000">
      <w:r>
        <w:t>Note: The above instruments are examples that meet the constraints below; replacements are acceptable if they satisfy the same role and constraints.</w:t>
      </w:r>
    </w:p>
    <w:p w14:paraId="0D6EA98A" w14:textId="77777777" w:rsidR="00787228" w:rsidRDefault="00000000">
      <w:pPr>
        <w:pStyle w:val="Heading2"/>
      </w:pPr>
      <w:r>
        <w:t>1) Defensive Income (35%) — GBP-anchored</w:t>
      </w:r>
    </w:p>
    <w:p w14:paraId="696AC9D4" w14:textId="77777777" w:rsidR="00787228" w:rsidRDefault="00000000">
      <w:r>
        <w:t>Job: Deliver the portfolio’s income floor and reduce drawdown risk.</w:t>
      </w:r>
    </w:p>
    <w:p w14:paraId="40CDBAC8" w14:textId="77777777" w:rsidR="00787228" w:rsidRDefault="00000000">
      <w:r>
        <w:t>FX policy: Predominantly GBP assets or GBP-hedged exposure (defensive sleeve should not rely on FX moves).</w:t>
      </w:r>
    </w:p>
    <w:p w14:paraId="2F8372A8" w14:textId="77777777" w:rsidR="00787228" w:rsidRDefault="00000000">
      <w:r>
        <w:t>Allowed assets:</w:t>
      </w:r>
    </w:p>
    <w:p w14:paraId="60D2755D" w14:textId="77777777" w:rsidR="00787228" w:rsidRDefault="00000000">
      <w:pPr>
        <w:pStyle w:val="ListBullet"/>
      </w:pPr>
      <w:r>
        <w:t>Global investment-grade aggregate bonds (GBP-hedged)</w:t>
      </w:r>
    </w:p>
    <w:p w14:paraId="04ED64EE" w14:textId="77777777" w:rsidR="00787228" w:rsidRDefault="00000000">
      <w:pPr>
        <w:pStyle w:val="ListBullet"/>
      </w:pPr>
      <w:r>
        <w:t>UK gilts / developed-market government bonds (investment grade)</w:t>
      </w:r>
    </w:p>
    <w:p w14:paraId="2245A068" w14:textId="77777777" w:rsidR="00787228" w:rsidRDefault="00000000">
      <w:pPr>
        <w:pStyle w:val="ListBullet"/>
      </w:pPr>
      <w:r>
        <w:t>GBP investment-grade corporate bonds</w:t>
      </w:r>
    </w:p>
    <w:p w14:paraId="6427741F" w14:textId="77777777" w:rsidR="00787228" w:rsidRDefault="00000000">
      <w:pPr>
        <w:pStyle w:val="ListBullet"/>
      </w:pPr>
      <w:r>
        <w:t>Strategic / multi-sector bond funds (limited and tightly monitored)</w:t>
      </w:r>
    </w:p>
    <w:p w14:paraId="589EA7E5" w14:textId="77777777" w:rsidR="00787228" w:rsidRDefault="00000000">
      <w:r>
        <w:t>Constraints (hard guardrails):</w:t>
      </w:r>
    </w:p>
    <w:p w14:paraId="599BE5D7" w14:textId="77777777" w:rsidR="00787228" w:rsidRDefault="00000000">
      <w:pPr>
        <w:pStyle w:val="ListBullet"/>
      </w:pPr>
      <w:r>
        <w:t>Credit quality: portfolio average investment grade (BBB- or higher). Max 15% below-IG exposure, and only if accessed via a strategic fund.</w:t>
      </w:r>
    </w:p>
    <w:p w14:paraId="4CCD474A" w14:textId="77777777" w:rsidR="00787228" w:rsidRDefault="00000000">
      <w:pPr>
        <w:pStyle w:val="ListBullet"/>
      </w:pPr>
      <w:r>
        <w:t>Duration: target 3–6 years; hard maximum 8 years (avoid unintended long-duration exposure).</w:t>
      </w:r>
    </w:p>
    <w:p w14:paraId="7A34C815" w14:textId="77777777" w:rsidR="00787228" w:rsidRDefault="00000000">
      <w:pPr>
        <w:pStyle w:val="ListBullet"/>
      </w:pPr>
      <w:r>
        <w:t>Single instrument maximum: 20% of total portfolio (applies to any one ETF/fund).</w:t>
      </w:r>
    </w:p>
    <w:p w14:paraId="55ECC48A" w14:textId="77777777" w:rsidR="00787228" w:rsidRDefault="00000000">
      <w:pPr>
        <w:pStyle w:val="ListBullet"/>
      </w:pPr>
      <w:r>
        <w:t>Yield band expectation: 3.0–4.5%. If yield is materially above this, assume hidden risk and re-underwrite.</w:t>
      </w:r>
    </w:p>
    <w:p w14:paraId="773CC629" w14:textId="77777777" w:rsidR="00787228" w:rsidRDefault="00000000">
      <w:r>
        <w:t>Model v0.2 implementation example (fits constraints):</w:t>
      </w:r>
    </w:p>
    <w:p w14:paraId="718AFF8A" w14:textId="77777777" w:rsidR="00787228" w:rsidRDefault="00000000">
      <w:pPr>
        <w:pStyle w:val="ListBullet"/>
      </w:pPr>
      <w:r>
        <w:lastRenderedPageBreak/>
        <w:t>AGBP (22%): Global aggregate IG bonds, GBP-hedged (core ballast).</w:t>
      </w:r>
    </w:p>
    <w:p w14:paraId="7C7A3981" w14:textId="77777777" w:rsidR="00787228" w:rsidRDefault="00000000">
      <w:pPr>
        <w:pStyle w:val="ListBullet"/>
      </w:pPr>
      <w:r>
        <w:t>IGCB (8%): GBP investment-grade corporate bonds (credit carry, monitored).</w:t>
      </w:r>
    </w:p>
    <w:p w14:paraId="77FD0B1D" w14:textId="77777777" w:rsidR="00787228" w:rsidRDefault="00000000">
      <w:pPr>
        <w:pStyle w:val="ListBullet"/>
      </w:pPr>
      <w:r>
        <w:t>GLTP (5%): UK gilts (sovereign ballast / liquidity).</w:t>
      </w:r>
    </w:p>
    <w:p w14:paraId="41A03E1D" w14:textId="77777777" w:rsidR="00787228" w:rsidRDefault="00000000">
      <w:r>
        <w:t>Red flags (avoid):</w:t>
      </w:r>
    </w:p>
    <w:p w14:paraId="3B7BABA3" w14:textId="77777777" w:rsidR="00787228" w:rsidRDefault="00000000">
      <w:pPr>
        <w:pStyle w:val="ListBullet"/>
      </w:pPr>
      <w:r>
        <w:t>High-yield credit as a core ‘defensive’ holding</w:t>
      </w:r>
    </w:p>
    <w:p w14:paraId="12746289" w14:textId="77777777" w:rsidR="00787228" w:rsidRDefault="00000000">
      <w:pPr>
        <w:pStyle w:val="ListBullet"/>
      </w:pPr>
      <w:r>
        <w:t>Emerging-market debt treated as defensive</w:t>
      </w:r>
    </w:p>
    <w:p w14:paraId="15F4DED7" w14:textId="77777777" w:rsidR="00787228" w:rsidRDefault="00000000">
      <w:pPr>
        <w:pStyle w:val="ListBullet"/>
      </w:pPr>
      <w:r>
        <w:t>Material unintentional FX risk inside the defensive sleeve</w:t>
      </w:r>
    </w:p>
    <w:p w14:paraId="6E159301" w14:textId="77777777" w:rsidR="00787228" w:rsidRDefault="00000000">
      <w:pPr>
        <w:pStyle w:val="ListBullet"/>
      </w:pPr>
      <w:r>
        <w:t>Concentration in a single issuer/sector within corporate bonds without intent</w:t>
      </w:r>
    </w:p>
    <w:p w14:paraId="4CB57058" w14:textId="77777777" w:rsidR="00787228" w:rsidRDefault="00000000">
      <w:pPr>
        <w:pStyle w:val="Heading2"/>
      </w:pPr>
      <w:r>
        <w:t>2) Equity Income &amp; Growth (35%) — global, mostly unhedged</w:t>
      </w:r>
    </w:p>
    <w:p w14:paraId="67A3B7DC" w14:textId="77777777" w:rsidR="00787228" w:rsidRDefault="00000000">
      <w:r>
        <w:t>Job: Inflation defence, long-term capital growth, and durable income for inheritance.</w:t>
      </w:r>
    </w:p>
    <w:p w14:paraId="0ED14F3D" w14:textId="77777777" w:rsidR="00787228" w:rsidRDefault="00000000">
      <w:r>
        <w:t>FX policy: Global equities held largely unhedged for diversification.</w:t>
      </w:r>
    </w:p>
    <w:p w14:paraId="0ED9823F" w14:textId="77777777" w:rsidR="00787228" w:rsidRDefault="00000000">
      <w:r>
        <w:t>Allowed assets:</w:t>
      </w:r>
    </w:p>
    <w:p w14:paraId="49666F5F" w14:textId="77777777" w:rsidR="00787228" w:rsidRDefault="00000000">
      <w:pPr>
        <w:pStyle w:val="ListBullet"/>
      </w:pPr>
      <w:r>
        <w:t>Global dividend / quality equity funds or ETFs</w:t>
      </w:r>
    </w:p>
    <w:p w14:paraId="79CB6A19" w14:textId="77777777" w:rsidR="00787228" w:rsidRDefault="00000000">
      <w:pPr>
        <w:pStyle w:val="ListBullet"/>
      </w:pPr>
      <w:r>
        <w:t>UK equity income as an optional satellite (capped)</w:t>
      </w:r>
    </w:p>
    <w:p w14:paraId="0BB23214" w14:textId="77777777" w:rsidR="00787228" w:rsidRDefault="00000000">
      <w:pPr>
        <w:pStyle w:val="ListBullet"/>
      </w:pPr>
      <w:r>
        <w:t>Broad global equity ETF for baseline diversification if needed</w:t>
      </w:r>
    </w:p>
    <w:p w14:paraId="4E37D972" w14:textId="77777777" w:rsidR="00787228" w:rsidRDefault="00000000">
      <w:pPr>
        <w:pStyle w:val="ListBullet"/>
      </w:pPr>
      <w:r>
        <w:t>Individual stocks (satellite basket) within the rules below</w:t>
      </w:r>
    </w:p>
    <w:p w14:paraId="4F9DBC63" w14:textId="77777777" w:rsidR="00787228" w:rsidRDefault="00000000">
      <w:r>
        <w:t>Constraints (hard guardrails):</w:t>
      </w:r>
    </w:p>
    <w:p w14:paraId="7150F0DD" w14:textId="77777777" w:rsidR="00787228" w:rsidRDefault="00000000">
      <w:pPr>
        <w:pStyle w:val="ListBullet"/>
      </w:pPr>
      <w:r>
        <w:t>Dividend philosophy: prioritise sustainability and dividend growth over headline yield.</w:t>
      </w:r>
    </w:p>
    <w:p w14:paraId="49353264" w14:textId="77777777" w:rsidR="00787228" w:rsidRDefault="00000000">
      <w:pPr>
        <w:pStyle w:val="ListBullet"/>
      </w:pPr>
      <w:r>
        <w:t>Sector concentration cap: max 25% of the equity sleeve in any one sector.</w:t>
      </w:r>
    </w:p>
    <w:p w14:paraId="18DAF395" w14:textId="77777777" w:rsidR="00787228" w:rsidRDefault="00000000">
      <w:pPr>
        <w:pStyle w:val="ListBullet"/>
      </w:pPr>
      <w:r>
        <w:t>UK home bias cap: max 20% of the equity sleeve unless explicitly chosen.</w:t>
      </w:r>
    </w:p>
    <w:p w14:paraId="22BF5906" w14:textId="77777777" w:rsidR="00787228" w:rsidRDefault="00000000">
      <w:r>
        <w:t>Individual stock rules (satellite basket):</w:t>
      </w:r>
    </w:p>
    <w:p w14:paraId="21C6F002" w14:textId="77777777" w:rsidR="00787228" w:rsidRDefault="00000000">
      <w:pPr>
        <w:pStyle w:val="ListBullet"/>
      </w:pPr>
      <w:r>
        <w:t>Max 3% of total portfolio per stock at purchase.</w:t>
      </w:r>
    </w:p>
    <w:p w14:paraId="67F23260" w14:textId="77777777" w:rsidR="00787228" w:rsidRDefault="00000000">
      <w:pPr>
        <w:pStyle w:val="ListBullet"/>
      </w:pPr>
      <w:r>
        <w:t>Max 15% of total portfolio allocated to individual stocks in aggregate.</w:t>
      </w:r>
    </w:p>
    <w:p w14:paraId="518368D0" w14:textId="77777777" w:rsidR="00787228" w:rsidRDefault="00000000">
      <w:pPr>
        <w:pStyle w:val="ListBullet"/>
      </w:pPr>
      <w:r>
        <w:t>Minimum 12 individual stock holdings in the basket (to prevent concentration).</w:t>
      </w:r>
    </w:p>
    <w:p w14:paraId="3958C888" w14:textId="77777777" w:rsidR="00787228" w:rsidRDefault="00000000">
      <w:pPr>
        <w:pStyle w:val="ListBullet"/>
      </w:pPr>
      <w:r>
        <w:t>Any single non‑UK/US country exposure cap: max 10% of total portfolio.</w:t>
      </w:r>
    </w:p>
    <w:p w14:paraId="1E11E280" w14:textId="77777777" w:rsidR="00787228" w:rsidRDefault="00000000">
      <w:pPr>
        <w:pStyle w:val="ListBullet"/>
      </w:pPr>
      <w:r>
        <w:t>Default basket design (current): 12 names split 6 UK / 3 Hong Kong / 3 Singapore; equal-weight within the stock basket unless deliberately tilted.</w:t>
      </w:r>
    </w:p>
    <w:p w14:paraId="2F2AFADA" w14:textId="77777777" w:rsidR="00787228" w:rsidRDefault="00000000">
      <w:r>
        <w:t>Model v0.2 implementation example (fits constraints):</w:t>
      </w:r>
    </w:p>
    <w:p w14:paraId="1EE6596F" w14:textId="77777777" w:rsidR="00787228" w:rsidRDefault="00000000">
      <w:pPr>
        <w:pStyle w:val="ListBullet"/>
      </w:pPr>
      <w:r>
        <w:t>VHYL (17%): Global dividend equity core.</w:t>
      </w:r>
    </w:p>
    <w:p w14:paraId="0601C1CF" w14:textId="77777777" w:rsidR="00787228" w:rsidRDefault="00000000">
      <w:pPr>
        <w:pStyle w:val="ListBullet"/>
      </w:pPr>
      <w:r>
        <w:t>GBDV (10%): Dividend-quality screen diversifier.</w:t>
      </w:r>
    </w:p>
    <w:p w14:paraId="0C74C472" w14:textId="77777777" w:rsidR="00787228" w:rsidRDefault="00000000">
      <w:pPr>
        <w:pStyle w:val="ListBullet"/>
      </w:pPr>
      <w:r>
        <w:t>IUKD (3%): Small UK income satellite.</w:t>
      </w:r>
    </w:p>
    <w:p w14:paraId="76A0FD43" w14:textId="77777777" w:rsidR="00787228" w:rsidRDefault="00000000">
      <w:pPr>
        <w:pStyle w:val="ListBullet"/>
      </w:pPr>
      <w:r>
        <w:t>STOCKS basket (5%): 12-name basket (6 UK / 3 HK / 3 SG).</w:t>
      </w:r>
    </w:p>
    <w:p w14:paraId="1920E7DB" w14:textId="77777777" w:rsidR="00787228" w:rsidRDefault="00000000">
      <w:r>
        <w:t>Stock basket (current 12-name draft) – for reference:</w:t>
      </w:r>
    </w:p>
    <w:p w14:paraId="1E6B816C" w14:textId="77777777" w:rsidR="00787228" w:rsidRDefault="00000000">
      <w:pPr>
        <w:pStyle w:val="ListBullet"/>
      </w:pPr>
      <w:r>
        <w:lastRenderedPageBreak/>
        <w:t>UK: Unilever (ULVR), Diageo (DGE), AstraZeneca (AZN), GSK (GSK), National Grid (NG.), Legal &amp; General (LGEN).</w:t>
      </w:r>
    </w:p>
    <w:p w14:paraId="1D50BCF1" w14:textId="77777777" w:rsidR="00787228" w:rsidRDefault="00000000">
      <w:pPr>
        <w:pStyle w:val="ListBullet"/>
      </w:pPr>
      <w:r>
        <w:t>HK: AIA Group (1299), HKEX (0388), Link REIT (0823).</w:t>
      </w:r>
    </w:p>
    <w:p w14:paraId="3D6D1F93" w14:textId="77777777" w:rsidR="00787228" w:rsidRDefault="00000000">
      <w:pPr>
        <w:pStyle w:val="ListBullet"/>
      </w:pPr>
      <w:r>
        <w:t>SG: DBS (D05), Singtel (Z74), ST Engineering (S63).</w:t>
      </w:r>
    </w:p>
    <w:p w14:paraId="1E6122D2" w14:textId="77777777" w:rsidR="00787228" w:rsidRDefault="00000000">
      <w:r>
        <w:t>Yield band expectation: 2.5–3.8% (higher yields require scrutiny for underlying risk).</w:t>
      </w:r>
    </w:p>
    <w:p w14:paraId="0F8192A8" w14:textId="77777777" w:rsidR="00787228" w:rsidRDefault="00000000">
      <w:pPr>
        <w:pStyle w:val="Heading2"/>
      </w:pPr>
      <w:r>
        <w:t>3) Real Assets &amp; Alternatives (20%) — diversified, liquid-first</w:t>
      </w:r>
    </w:p>
    <w:p w14:paraId="78E3EBA1" w14:textId="77777777" w:rsidR="00787228" w:rsidRDefault="00000000">
      <w:r>
        <w:t>Job: Diversify income sources and reduce reliance on equity dividends.</w:t>
      </w:r>
    </w:p>
    <w:p w14:paraId="5AD36CF5" w14:textId="77777777" w:rsidR="00787228" w:rsidRDefault="00000000">
      <w:r>
        <w:t>FX policy: Typically unhedged unless a product is GBP-based.</w:t>
      </w:r>
    </w:p>
    <w:p w14:paraId="7C07DB60" w14:textId="77777777" w:rsidR="00787228" w:rsidRDefault="00000000">
      <w:r>
        <w:t>Allowed assets:</w:t>
      </w:r>
    </w:p>
    <w:p w14:paraId="5477F30D" w14:textId="77777777" w:rsidR="00787228" w:rsidRDefault="00000000">
      <w:pPr>
        <w:pStyle w:val="ListBullet"/>
      </w:pPr>
      <w:r>
        <w:t>Global REITs (via diversified funds/ETFs)</w:t>
      </w:r>
    </w:p>
    <w:p w14:paraId="18B41942" w14:textId="77777777" w:rsidR="00787228" w:rsidRDefault="00000000">
      <w:pPr>
        <w:pStyle w:val="ListBullet"/>
      </w:pPr>
      <w:r>
        <w:t>Listed infrastructure (funds/ETFs and/or selected infrastructure investment trusts)</w:t>
      </w:r>
    </w:p>
    <w:p w14:paraId="5039C328" w14:textId="77777777" w:rsidR="00787228" w:rsidRDefault="00000000">
      <w:pPr>
        <w:pStyle w:val="ListBullet"/>
      </w:pPr>
      <w:r>
        <w:t>Asset-backed / credit income via liquid vehicles (strict transparency requirements)</w:t>
      </w:r>
    </w:p>
    <w:p w14:paraId="5300A8A0" w14:textId="77777777" w:rsidR="00787228" w:rsidRDefault="00000000">
      <w:r>
        <w:t>Caps (hard limits):</w:t>
      </w:r>
    </w:p>
    <w:p w14:paraId="5B51ECD2" w14:textId="77777777" w:rsidR="00787228" w:rsidRDefault="00000000">
      <w:pPr>
        <w:pStyle w:val="ListBullet"/>
      </w:pPr>
      <w:r>
        <w:t>REITs: max 10% of total portfolio (current model: 7% via IWDP).</w:t>
      </w:r>
    </w:p>
    <w:p w14:paraId="70F7274D" w14:textId="77777777" w:rsidR="00787228" w:rsidRDefault="00000000">
      <w:pPr>
        <w:pStyle w:val="ListBullet"/>
      </w:pPr>
      <w:r>
        <w:t>Infrastructure: max 10% of total portfolio (current model: 10% via INPP + HICL + INFR).</w:t>
      </w:r>
    </w:p>
    <w:p w14:paraId="54ABAE35" w14:textId="77777777" w:rsidR="00787228" w:rsidRDefault="00000000">
      <w:pPr>
        <w:pStyle w:val="ListBullet"/>
      </w:pPr>
      <w:r>
        <w:t>Credit / asset-backed income: max 10% of total portfolio (current model: 3% via TFIF).</w:t>
      </w:r>
    </w:p>
    <w:p w14:paraId="5946FD0C" w14:textId="77777777" w:rsidR="00787228" w:rsidRDefault="00000000">
      <w:r>
        <w:t>Additional constraints:</w:t>
      </w:r>
    </w:p>
    <w:p w14:paraId="13668E61" w14:textId="77777777" w:rsidR="00787228" w:rsidRDefault="00000000">
      <w:pPr>
        <w:pStyle w:val="ListBullet"/>
      </w:pPr>
      <w:r>
        <w:t>Liquidity: avoid long lockups until the portfolio is mature and income system is proven.</w:t>
      </w:r>
    </w:p>
    <w:p w14:paraId="6070CA9F" w14:textId="77777777" w:rsidR="00787228" w:rsidRDefault="00000000">
      <w:pPr>
        <w:pStyle w:val="ListBullet"/>
      </w:pPr>
      <w:r>
        <w:t>Credit/asset-backed income: require transparency on underlying assets, liquidity terms, leverage, fees, and historic defaults; avoid opaque ‘yield miracle’ products.</w:t>
      </w:r>
    </w:p>
    <w:p w14:paraId="621A161E" w14:textId="77777777" w:rsidR="00787228" w:rsidRDefault="00000000">
      <w:pPr>
        <w:pStyle w:val="ListBullet"/>
      </w:pPr>
      <w:r>
        <w:t>Discount/premium risk (investment trusts): monitor persistent large discounts; size positions conservatively.</w:t>
      </w:r>
    </w:p>
    <w:p w14:paraId="1DCF6D5E" w14:textId="77777777" w:rsidR="00787228" w:rsidRDefault="00000000">
      <w:pPr>
        <w:pStyle w:val="ListBullet"/>
      </w:pPr>
      <w:r>
        <w:t>Yield band expectation: 4–6%. Above this requires a clear explanation (credit/leverage/valuation risk).</w:t>
      </w:r>
    </w:p>
    <w:p w14:paraId="39A37B47" w14:textId="77777777" w:rsidR="00787228" w:rsidRDefault="00000000">
      <w:r>
        <w:t>Model v0.2 implementation example (fits constraints):</w:t>
      </w:r>
    </w:p>
    <w:p w14:paraId="4FBD1B3F" w14:textId="77777777" w:rsidR="00787228" w:rsidRDefault="00000000">
      <w:pPr>
        <w:pStyle w:val="ListBullet"/>
      </w:pPr>
      <w:r>
        <w:t>Infrastructure blend: INPP (4%) + HICL (3%) + INFR (3%) = 10% total infrastructure allocation.</w:t>
      </w:r>
    </w:p>
    <w:p w14:paraId="24CB3287" w14:textId="77777777" w:rsidR="00787228" w:rsidRDefault="00000000">
      <w:pPr>
        <w:pStyle w:val="ListBullet"/>
      </w:pPr>
      <w:r>
        <w:t>Property/REITs: IWDP (7%).</w:t>
      </w:r>
    </w:p>
    <w:p w14:paraId="225E3B70" w14:textId="77777777" w:rsidR="00787228" w:rsidRDefault="00000000">
      <w:pPr>
        <w:pStyle w:val="ListBullet"/>
      </w:pPr>
      <w:r>
        <w:t>Credit/asset-backed income: TFIF (3%) (small, monitored).</w:t>
      </w:r>
    </w:p>
    <w:p w14:paraId="141AFBBA" w14:textId="77777777" w:rsidR="00787228" w:rsidRDefault="00000000">
      <w:pPr>
        <w:pStyle w:val="Heading2"/>
      </w:pPr>
      <w:r>
        <w:t>4) Cash / Income Buffer (10%) — GBP-only</w:t>
      </w:r>
    </w:p>
    <w:p w14:paraId="6A37BF59" w14:textId="77777777" w:rsidR="00787228" w:rsidRDefault="00000000">
      <w:r>
        <w:t>Job: Prevent forced selling in down markets; provide spending stability.</w:t>
      </w:r>
    </w:p>
    <w:p w14:paraId="77B49CAF" w14:textId="77777777" w:rsidR="00787228" w:rsidRDefault="00000000">
      <w:r>
        <w:t>FX policy: GBP-only.</w:t>
      </w:r>
    </w:p>
    <w:p w14:paraId="66EBE03B" w14:textId="77777777" w:rsidR="00787228" w:rsidRDefault="00000000">
      <w:r>
        <w:lastRenderedPageBreak/>
        <w:t>Allowed assets:</w:t>
      </w:r>
    </w:p>
    <w:p w14:paraId="02061E9D" w14:textId="77777777" w:rsidR="00787228" w:rsidRDefault="00000000">
      <w:pPr>
        <w:pStyle w:val="ListBullet"/>
      </w:pPr>
      <w:r>
        <w:t>High-interest cash accounts / broker cash balance</w:t>
      </w:r>
    </w:p>
    <w:p w14:paraId="3FD12515" w14:textId="77777777" w:rsidR="00787228" w:rsidRDefault="00000000">
      <w:pPr>
        <w:pStyle w:val="ListBullet"/>
      </w:pPr>
      <w:r>
        <w:t>GBP money market funds</w:t>
      </w:r>
    </w:p>
    <w:p w14:paraId="55886B60" w14:textId="77777777" w:rsidR="00787228" w:rsidRDefault="00000000">
      <w:pPr>
        <w:pStyle w:val="ListBullet"/>
      </w:pPr>
      <w:r>
        <w:t>Very short-dated T-bills / cash-equivalents (≤ ~1 year rate sensitivity)</w:t>
      </w:r>
    </w:p>
    <w:p w14:paraId="6D8C1D0F" w14:textId="77777777" w:rsidR="00787228" w:rsidRDefault="00000000">
      <w:pPr>
        <w:pStyle w:val="ListBullet"/>
      </w:pPr>
      <w:r>
        <w:t>Ultrashort GBP bond ETFs/funds used as cash-like instruments (strict duration limits)</w:t>
      </w:r>
    </w:p>
    <w:p w14:paraId="3343CAD3" w14:textId="77777777" w:rsidR="00787228" w:rsidRDefault="00000000">
      <w:r>
        <w:t>Constraints (hard guardrails):</w:t>
      </w:r>
    </w:p>
    <w:p w14:paraId="4AC8DC97" w14:textId="77777777" w:rsidR="00787228" w:rsidRDefault="00000000">
      <w:pPr>
        <w:pStyle w:val="ListBullet"/>
      </w:pPr>
      <w:r>
        <w:t>Target size: 1.5–2.0 years of required income top-up (refined once withdrawal start-date is final).</w:t>
      </w:r>
    </w:p>
    <w:p w14:paraId="16C361D4" w14:textId="77777777" w:rsidR="00787228" w:rsidRDefault="00000000">
      <w:pPr>
        <w:pStyle w:val="ListBullet"/>
      </w:pPr>
      <w:r>
        <w:t>Rate sensitivity: keep cash-like holdings to ≤ ~1 year duration-equivalent.</w:t>
      </w:r>
    </w:p>
    <w:p w14:paraId="608CB4BE" w14:textId="77777777" w:rsidR="00787228" w:rsidRDefault="00000000">
      <w:pPr>
        <w:pStyle w:val="ListBullet"/>
      </w:pPr>
      <w:r>
        <w:t>Replenishment: refill after strong years via rebalancing; do not allow buffer to silently decay.</w:t>
      </w:r>
    </w:p>
    <w:p w14:paraId="10FEB5BE" w14:textId="77777777" w:rsidR="00787228" w:rsidRDefault="00000000">
      <w:r>
        <w:t>Model v0.2 implementation example (fits constraints):</w:t>
      </w:r>
    </w:p>
    <w:p w14:paraId="168EEFE6" w14:textId="77777777" w:rsidR="00787228" w:rsidRDefault="00000000">
      <w:pPr>
        <w:pStyle w:val="ListBullet"/>
      </w:pPr>
      <w:r>
        <w:t>GBP cash (5%).</w:t>
      </w:r>
    </w:p>
    <w:p w14:paraId="0496150A" w14:textId="77777777" w:rsidR="00787228" w:rsidRDefault="00000000">
      <w:pPr>
        <w:pStyle w:val="ListBullet"/>
      </w:pPr>
      <w:r>
        <w:t>ERNS (5%): ultrashort GBP bond ETF as a cash-like sleeve.</w:t>
      </w:r>
    </w:p>
    <w:p w14:paraId="0CB1C2E1" w14:textId="77777777" w:rsidR="00787228" w:rsidRDefault="00000000">
      <w:pPr>
        <w:pStyle w:val="Heading2"/>
      </w:pPr>
      <w:r>
        <w:t>Implementation Notes (for advisor review)</w:t>
      </w:r>
    </w:p>
    <w:p w14:paraId="1A8DE597" w14:textId="77777777" w:rsidR="00787228" w:rsidRDefault="00000000">
      <w:pPr>
        <w:pStyle w:val="ListBullet"/>
      </w:pPr>
      <w:r>
        <w:t>Broker/platform: IBKR (holdings can be implemented as LSE-listed UCITS ETFs and UK investment trusts; individual stocks per the basket rules).</w:t>
      </w:r>
    </w:p>
    <w:p w14:paraId="50ADA001" w14:textId="77777777" w:rsidR="00787228" w:rsidRDefault="00000000">
      <w:pPr>
        <w:pStyle w:val="ListBullet"/>
      </w:pPr>
      <w:r>
        <w:t>Issuer mix: BlackRock/iShares, Invesco, Vanguard, and SPDR; issuer swaps are acceptable if constraints are met.</w:t>
      </w:r>
    </w:p>
    <w:p w14:paraId="2FE03183" w14:textId="77777777" w:rsidR="00787228" w:rsidRDefault="00000000">
      <w:pPr>
        <w:pStyle w:val="ListBullet"/>
      </w:pPr>
      <w:r>
        <w:t>This constraints document is policy-level. Product/fund factsheets and costs should be reviewed at implementation and annually thereafter.</w:t>
      </w:r>
    </w:p>
    <w:sectPr w:rsidR="007872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7622612">
    <w:abstractNumId w:val="8"/>
  </w:num>
  <w:num w:numId="2" w16cid:durableId="1594045300">
    <w:abstractNumId w:val="6"/>
  </w:num>
  <w:num w:numId="3" w16cid:durableId="2066681068">
    <w:abstractNumId w:val="5"/>
  </w:num>
  <w:num w:numId="4" w16cid:durableId="1952862483">
    <w:abstractNumId w:val="4"/>
  </w:num>
  <w:num w:numId="5" w16cid:durableId="124080954">
    <w:abstractNumId w:val="7"/>
  </w:num>
  <w:num w:numId="6" w16cid:durableId="868879309">
    <w:abstractNumId w:val="3"/>
  </w:num>
  <w:num w:numId="7" w16cid:durableId="1083067871">
    <w:abstractNumId w:val="2"/>
  </w:num>
  <w:num w:numId="8" w16cid:durableId="1033925932">
    <w:abstractNumId w:val="1"/>
  </w:num>
  <w:num w:numId="9" w16cid:durableId="102486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7228"/>
    <w:rsid w:val="00A14008"/>
    <w:rsid w:val="00AA1D8D"/>
    <w:rsid w:val="00B47730"/>
    <w:rsid w:val="00CB0664"/>
    <w:rsid w:val="00F05B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5DB76"/>
  <w14:defaultImageDpi w14:val="300"/>
  <w15:docId w15:val="{C4E508ED-0F96-AB4A-8CAF-CB2BFDBDD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957</Words>
  <Characters>5928</Characters>
  <Application>Microsoft Office Word</Application>
  <DocSecurity>0</DocSecurity>
  <Lines>119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Graham charles Newman</cp:lastModifiedBy>
  <cp:revision>2</cp:revision>
  <dcterms:created xsi:type="dcterms:W3CDTF">2013-12-23T23:15:00Z</dcterms:created>
  <dcterms:modified xsi:type="dcterms:W3CDTF">2026-01-30T13:23:00Z</dcterms:modified>
  <cp:category/>
</cp:coreProperties>
</file>