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6"/>
        </w:rPr>
        <w:t>KALM ACCOUNTING TREATMENT MEMO</w:t>
      </w:r>
    </w:p>
    <w:p>
      <w:pPr>
        <w:jc w:val="center"/>
      </w:pPr>
      <w:r>
        <w:rPr>
          <w:i/>
        </w:rPr>
        <w:t>Deferred stock transfer into single KALM Zoho Books and Inventory organisation</w:t>
      </w:r>
    </w:p>
    <w:p>
      <w:pPr>
        <w:spacing w:after="120" w:line="264" w:lineRule="auto"/>
      </w:pPr>
      <w:r>
        <w:t>Prepared: 2026-07-15T11:51:38+02:00</w:t>
      </w:r>
    </w:p>
    <w:p>
      <w:pPr>
        <w:spacing w:after="120" w:line="264" w:lineRule="auto"/>
      </w:pPr>
      <w:r>
        <w:t>Accounting treatment: debit Inventory Asset and credit Related Party Payable - KS Active Stock Transfer for the approved transfer value.</w:t>
      </w:r>
    </w:p>
    <w:p>
      <w:pPr>
        <w:spacing w:after="120" w:line="264" w:lineRule="auto"/>
      </w:pPr>
      <w:r>
        <w:t>Do not treat the transfer as sales revenue. Do not post VAT unless verified VAT registration and tax treatment are confirmed.</w:t>
      </w:r>
    </w:p>
    <w:p>
      <w:pPr>
        <w:spacing w:after="120" w:line="264" w:lineRule="auto"/>
      </w:pPr>
      <w:r>
        <w:t>Zoho Inventory is the operational inventory master after transfer. The storefront and intranet must mirror accepted Zoho export state.</w:t>
      </w:r>
    </w:p>
    <w:p>
      <w:pPr>
        <w:spacing w:after="120" w:line="264" w:lineRule="auto"/>
      </w:pPr>
      <w:r>
        <w:t>If Zoho supports purchase receipt/vendor bill workflow, use that. If not, use opening stock import plus a management-approved journal without duplicating inventory value.</w:t>
      </w:r>
    </w:p>
    <w:p>
      <w:pPr>
        <w:spacing w:after="120" w:line="264" w:lineRule="auto"/>
      </w:pPr>
      <w:r>
        <w:t>Transfer value to post: R 17,062.05.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