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64" w:lineRule="auto"/>
      </w:pPr>
      <w:r>
        <w:rPr>
          <w:rFonts w:ascii="Calibri" w:hAnsi="Calibri"/>
          <w:b/>
          <w:i w:val="0"/>
          <w:color w:val="2E74B5"/>
          <w:sz w:val="20"/>
        </w:rPr>
        <w:t>TECHNICAL ASSESSMENT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i w:val="0"/>
          <w:color w:val="0B2545"/>
          <w:sz w:val="50"/>
        </w:rPr>
        <w:t>Four-Country DuckDB Warehouse</w:t>
      </w:r>
    </w:p>
    <w:p>
      <w:pPr>
        <w:keepNext w:val="0"/>
        <w:spacing w:before="0" w:after="300" w:line="264" w:lineRule="auto"/>
      </w:pPr>
      <w:r>
        <w:rPr>
          <w:rFonts w:ascii="Calibri" w:hAnsi="Calibri"/>
          <w:b w:val="0"/>
          <w:i w:val="0"/>
          <w:color w:val="667085"/>
          <w:sz w:val="26"/>
        </w:rPr>
        <w:t>Architecture review, data inspection findings, usage guide and improvement roadmap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Prepared: </w:t>
      </w:r>
      <w:r>
        <w:rPr>
          <w:rFonts w:ascii="Calibri" w:hAnsi="Calibri"/>
          <w:b w:val="0"/>
          <w:i w:val="0"/>
          <w:color w:val="000000"/>
          <w:sz w:val="22"/>
        </w:rPr>
        <w:t>17 July 2026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Scope: </w:t>
      </w:r>
      <w:r>
        <w:rPr>
          <w:rFonts w:ascii="Calibri" w:hAnsi="Calibri"/>
          <w:b w:val="0"/>
          <w:i w:val="0"/>
          <w:color w:val="000000"/>
          <w:sz w:val="22"/>
        </w:rPr>
        <w:t>Uganda (UG), Kenya (KY), Zambia (ZM), Tanzania (TZ)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Warehouse: </w:t>
      </w:r>
      <w:r>
        <w:rPr>
          <w:rFonts w:ascii="Calibri" w:hAnsi="Calibri"/>
          <w:b w:val="0"/>
          <w:i w:val="0"/>
          <w:color w:val="000000"/>
          <w:sz w:val="22"/>
        </w:rPr>
        <w:t>ask_ai/data/warehouse.duckdb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2"/>
        </w:rPr>
        <w:t>Read-only inspection; no data or code changes</w:t>
      </w:r>
    </w:p>
    <w:p>
      <w:pPr>
        <w:spacing w:before="120" w:after="200" w:line="264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Executive conclusion: </w:t>
      </w:r>
      <w:r>
        <w:rPr>
          <w:rFonts w:ascii="Calibri" w:hAnsi="Calibri"/>
          <w:b w:val="0"/>
          <w:i w:val="0"/>
          <w:color w:val="0B2545"/>
          <w:sz w:val="22"/>
        </w:rPr>
        <w:t>DuckDB is a strong fit for the current scale and read-heavy analytical workload. The architecture is directionally correct, but the synchronization controls and financial-data handling need improvement before the warehouse should be treated as authoritative for production reporting or credit decisions.</w:t>
      </w:r>
    </w:p>
    <w:p>
      <w:pPr>
        <w:pStyle w:val="Heading1"/>
      </w:pPr>
      <w:r>
        <w:t>1. Conversation purpose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report consolidates the discussion about synchronizing four country SQL Server databases into a shared DuckDB warehouse. It records what was inspected, how the current warehouse operates, whether DuckDB is suitable, how to view the data, the main risks, and a recommended path forward.</w:t>
      </w:r>
    </w:p>
    <w:p>
      <w:pPr>
        <w:pStyle w:val="Heading1"/>
      </w:pPr>
      <w:r>
        <w:t>2. Warehouse inspection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Measure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Observed value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Database size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340.5 MiB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Comfortably within DuckDB's practical range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Warehouse tables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Raw copies plus derived analytical aggregates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Total rows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Approx. 4.16 million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modest analytical workload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Countries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UG, KY, ZM, TZ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All four appear in core member and loan tables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Duplicate key checks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None found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Core composite grains appear unique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Warehouse modified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 July 2026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Freshness is not formally recorded</w:t>
            </w:r>
          </w:p>
        </w:tc>
      </w:tr>
    </w:tbl>
    <w:p>
      <w:pPr>
        <w:spacing w:after="80"/>
      </w:pPr>
    </w:p>
    <w:p>
      <w:pPr>
        <w:pStyle w:val="Heading2"/>
      </w:pPr>
      <w:r>
        <w:t>Positive findings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No duplicate (country, MemberId) or (country, LoanId) combinations were detected.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No loans were found without a corresponding member in the same country.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No collection-summary rows were found without a corresponding loan.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Derived collection and schedule tables had no duplicate rows at their intended analytical grains.</w:t>
      </w:r>
    </w:p>
    <w:p>
      <w:r>
        <w:br w:type="page"/>
      </w:r>
    </w:p>
    <w:p>
      <w:pPr>
        <w:pStyle w:val="Heading2"/>
      </w:pPr>
      <w:r>
        <w:t>Material gaps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600"/>
        <w:gridCol w:w="4260"/>
      </w:tblGrid>
      <w:tr>
        <w:trPr>
          <w:tblHeader w:val="true"/>
        </w:trPr>
        <w:tc>
          <w:tcPr>
            <w:tcW w:type="dxa" w:w="250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Finding</w:t>
            </w:r>
          </w:p>
        </w:tc>
        <w:tc>
          <w:tcPr>
            <w:tcW w:type="dxa" w:w="260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42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Business impact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Incomplete branch dimension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AdBranch contains only UG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317,748 KY/TZ/ZM loans cannot join to a branch record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Missing configured table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MfMemberDeposit is absent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Savings/deposit analysis may be incomplete or unavailable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Unverified freshness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sync-run metadata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Users cannot distinguish current, stale, skipped or failed data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Floating-point money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Financial values stored as DOUBLE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Possible rounding drift in financial reconciliation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Sensitive information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PII exists in local tables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Requires masking, access control, retention and secure storage</w:t>
            </w:r>
          </w:p>
        </w:tc>
      </w:tr>
    </w:tbl>
    <w:p>
      <w:pPr>
        <w:spacing w:after="80"/>
      </w:pPr>
    </w:p>
    <w:p>
      <w:pPr>
        <w:pStyle w:val="Heading1"/>
      </w:pPr>
      <w:r>
        <w:t>3. How data is stored today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Python synchronization process connects to each country's SQL Server catalog.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Raw source tables are read in bounded pages using a key or deterministic order where available.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country discriminator—UG, KY, ZM or TZ—is inserted into every warehouse row.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each country and table, existing rows are deleted and the new snapshot is inserted within a DuckDB transaction.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Large collection and schedule datasets are aggregated on SQL Server before being copied into DuckDB.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Consumer queries open the DuckDB file read-only and use country-aware joins and filters.</w:t>
      </w:r>
    </w:p>
    <w:p>
      <w:pPr>
        <w:spacing w:before="120" w:after="200" w:line="264" w:lineRule="auto"/>
        <w:ind w:left="173" w:right="115"/>
        <w:shd w:fill="FFF7E0"/>
        <w:pBdr>
          <w:left w:val="single" w:sz="18" w:space="6" w:color="7A5A00"/>
        </w:pBdr>
      </w:pPr>
      <w:r>
        <w:rPr>
          <w:rFonts w:ascii="Calibri" w:hAnsi="Calibri"/>
          <w:b/>
          <w:i w:val="0"/>
          <w:color w:val="7A5A00"/>
          <w:sz w:val="22"/>
        </w:rPr>
        <w:t xml:space="preserve">Key convention: </w:t>
      </w:r>
      <w:r>
        <w:rPr>
          <w:rFonts w:ascii="Calibri" w:hAnsi="Calibri"/>
          <w:b w:val="0"/>
          <w:i w:val="0"/>
          <w:color w:val="0B2545"/>
          <w:sz w:val="22"/>
        </w:rPr>
        <w:t>Source identifiers are not globally unique. Treat (country, MemberId), (country, LoanId), (country, BranchId) and similar pairs as the effective keys.</w:t>
      </w:r>
    </w:p>
    <w:p>
      <w:pPr>
        <w:pStyle w:val="Heading2"/>
      </w:pPr>
      <w:r>
        <w:t>Derived analytical tables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750"/>
        <w:gridCol w:w="381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Table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Grain</w:t>
            </w:r>
          </w:p>
        </w:tc>
        <w:tc>
          <w:tcPr>
            <w:tcW w:type="dxa" w:w="3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Primary use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LoanCollectionSummary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Country × loan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Collection, arrears and overdue analysis per loan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CollectionDaily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Country × branch × date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Daily collection trends and short date-range reports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CollectionMonthly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Country × branch × officer × month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Officer, branch and country trend comparisons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ScheduleMonthly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Country × branch × month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Expected-versus-realized installment analysis</w:t>
            </w:r>
          </w:p>
        </w:tc>
      </w:tr>
    </w:tbl>
    <w:p>
      <w:pPr>
        <w:spacing w:after="80"/>
      </w:pPr>
    </w:p>
    <w:p>
      <w:pPr>
        <w:pStyle w:val="Heading1"/>
      </w:pPr>
      <w:r>
        <w:t>4. Is Python and DuckDB suitable?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Yes, for the present operating model. Python is the orchestration and analysis layer; DuckDB is the embedded analytical database. The current 340.5 MiB / 4.16-million-row warehouse is small for DuckDB and aligns well with its columnar OLAP execution model.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Suitable when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Reconsider when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One scheduled process performs writes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Many independent services must write concurrently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Applications mostly execute read-only analysis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Hundreds of interactive users require centralized access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Refreshes are batch-based—hourly, daily or nightly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Continuous transactional ingestion is mandatory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The warehouse runs on one controlled machine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High availability, replication and automatic failover are required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BI, reporting, AI SQL and local analysis are priorities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The database must act as a multi-tenant operational system</w:t>
            </w:r>
          </w:p>
        </w:tc>
      </w:tr>
    </w:tbl>
    <w:p>
      <w:pPr>
        <w:spacing w:after="80"/>
      </w:pPr>
    </w:p>
    <w:p>
      <w:pPr>
        <w:spacing w:before="120" w:after="200" w:line="264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Important distinction: </w:t>
      </w:r>
      <w:r>
        <w:rPr>
          <w:rFonts w:ascii="Calibri" w:hAnsi="Calibri"/>
          <w:b w:val="0"/>
          <w:i w:val="0"/>
          <w:color w:val="0B2545"/>
          <w:sz w:val="22"/>
        </w:rPr>
        <w:t>The observed missing tables, stale-country risk, silent failures and monetary-type concerns are synchronization-design issues—not fundamental DuckDB limitations.</w:t>
      </w:r>
    </w:p>
    <w:p>
      <w:pPr>
        <w:pStyle w:val="Heading1"/>
      </w:pPr>
      <w:r>
        <w:t>5. How to view the warehouse</w:t>
      </w:r>
    </w:p>
    <w:p>
      <w:pPr>
        <w:pStyle w:val="Heading2"/>
      </w:pPr>
      <w:r>
        <w:t>Option A — Terminal with Python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i w:val="0"/>
          <w:color w:val="000000"/>
          <w:sz w:val="22"/>
        </w:rPr>
        <w:t>List tables: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18"/>
        </w:rPr>
        <w:t>python3 -c 'import duckdb; con=duckdb.connect("ask_ai/data/warehouse.duckdb", read_only=True); print(con.execute("SHOW TABLES").fetchdf().to_string(index=False))'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i w:val="0"/>
          <w:color w:val="000000"/>
          <w:sz w:val="22"/>
        </w:rPr>
        <w:t>Preview members: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18"/>
        </w:rPr>
        <w:t>python3 -c 'import duckdb; con=duckdb.connect("ask_ai/data/warehouse.duckdb", read_only=True); print(con.execute("SELECT * FROM MfMember LIMIT 20").fetchdf().to_string(index=False))'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/>
          <w:i w:val="0"/>
          <w:color w:val="000000"/>
          <w:sz w:val="22"/>
        </w:rPr>
        <w:t>Count members by country: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 w:val="0"/>
          <w:color w:val="0B2545"/>
          <w:sz w:val="18"/>
        </w:rPr>
        <w:t>SELECT country, COUNT(*) AS members FROM MfMember GROUP BY country ORDER BY country;</w:t>
      </w:r>
    </w:p>
    <w:p>
      <w:pPr>
        <w:pStyle w:val="Heading2"/>
      </w:pPr>
      <w:r>
        <w:t>Option B — Graphical database browser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Open DBeaver, DataGrip, or a VS Code DuckDB extension.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Create a DuckDB connection and select ask_ai/data/warehouse.duckdb.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Open the main schema and browse tables or execute SQL.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 read-only mode whenever the tool supports it.</w:t>
      </w:r>
    </w:p>
    <w:p>
      <w:pPr>
        <w:pStyle w:val="Heading2"/>
      </w:pPr>
      <w:r>
        <w:t>Option C — Existing Ask AI API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existing application can translate business questions into guarded read-only SQL. Examples include “How many active members are there in each country?”, “Show total outstanding loans by country,” and “Compare monthly collections across branches.”</w:t>
      </w:r>
    </w:p>
    <w:p>
      <w:pPr>
        <w:pStyle w:val="Heading1"/>
      </w:pPr>
      <w:r>
        <w:t>6. Recommended improvement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60"/>
        <w:gridCol w:w="618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Phase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Action</w:t>
            </w:r>
          </w:p>
        </w:tc>
        <w:tc>
          <w:tcPr>
            <w:tcW w:type="dxa" w:w="61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Expected result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Secure credentials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Remove credential defaults from code, rotate exposed credentials, and use read-only service accounts plus environment-managed secrets.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Define the source manifest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Document mandatory and optional tables, country coverage, keys, grains, types and freshness expectations.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Add sync observability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Record run ID, country, table, source/target counts, timestamps, status, errors and watermarks; alert on failures and staleness.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Stage before publishing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Load and validate a candidate snapshot, then atomically publish it. Retain the last successful snapshot for rollback.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 consistent source reads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Prefer SQL Server snapshot isolation or read-committed snapshot instead of READ UNCOMMITTED for financial reporting.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Protect financial precision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Map monetary values to appropriately sized DECIMAL types instead of DOUBLE.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Enforce quality gates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Check country coverage, unique keys, relationships, counts, control totals, nulls and abnormal row-count movements.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Govern sensitive data</w:t>
            </w:r>
          </w:p>
        </w:tc>
        <w:tc>
          <w:tcPr>
            <w:tcW w:type="dxa" w:w="6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Mask unnecessary PII, restrict AI/BI views, encrypt storage, and define access, retention and audit policies.</w:t>
            </w:r>
          </w:p>
        </w:tc>
      </w:tr>
    </w:tbl>
    <w:p>
      <w:pPr>
        <w:spacing w:after="80"/>
      </w:pPr>
    </w:p>
    <w:p>
      <w:pPr>
        <w:pStyle w:val="Heading2"/>
      </w:pPr>
      <w:r>
        <w:t>Recommended target flow</w:t>
      </w:r>
    </w:p>
    <w:p>
      <w:pPr>
        <w:keepNext w:val="0"/>
        <w:spacing w:before="0" w:after="200" w:line="264" w:lineRule="auto"/>
      </w:pPr>
      <w:r>
        <w:rPr>
          <w:rFonts w:ascii="Calibri" w:hAnsi="Calibri"/>
          <w:b/>
          <w:i w:val="0"/>
          <w:color w:val="0B2545"/>
          <w:sz w:val="22"/>
        </w:rPr>
        <w:t>Four read-only SQL Server sources → consistent staged extraction → data-quality and financial reconciliation → atomic DuckDB snapshot publication → curated and masked analytical views → dashboards, Ask AI, reports and risk models.</w:t>
      </w:r>
    </w:p>
    <w:p>
      <w:pPr>
        <w:pStyle w:val="Heading1"/>
      </w:pPr>
      <w:r>
        <w:t>7. Future uses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Executive dashboards for portfolio, disbursement, outstanding balance, arrears and collections.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Country, branch and officer performance comparisons using governed business definitions.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Member and loan risk assessments using traceable, versioned analytical features.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Collection forecasting, delinquency early warnings, vintage analysis and borrower cohorts.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Natural-language analytics through the existing read-only text-to-SQL service.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Historical trend analysis after versioned snapshots or incremental history are retained.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Secure exports to Parquet for reproducible analytics and downstream data-science workflows.</w:t>
      </w:r>
    </w:p>
    <w:p>
      <w:pPr>
        <w:pStyle w:val="Heading1"/>
      </w:pPr>
      <w:r>
        <w:t>8. Immediate decision</w:t>
      </w:r>
    </w:p>
    <w:p>
      <w:pPr>
        <w:spacing w:before="120" w:after="200" w:line="264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Recommendation: </w:t>
      </w:r>
      <w:r>
        <w:rPr>
          <w:rFonts w:ascii="Calibri" w:hAnsi="Calibri"/>
          <w:b w:val="0"/>
          <w:i w:val="0"/>
          <w:color w:val="0B2545"/>
          <w:sz w:val="22"/>
        </w:rPr>
        <w:t>Keep DuckDB for the current phase. Do not migrate solely because it is embedded or accessed through Python. First make the sync trustworthy: fix country coverage, add run metadata and validation, preserve decimal precision, publish atomically, and protect credentials and PII.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Consider a client-server analytical platform only when centralized multi-user access, substantial concurrent writing, continuous ingestion, replication, or high availability becomes a firm requirement.</w:t>
      </w:r>
    </w:p>
    <w:p>
      <w:pPr>
        <w:pStyle w:val="Heading1"/>
      </w:pPr>
      <w:r>
        <w:t>Reference links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DuckDB overview: https://duckdb.org/why_duckdb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DuckDB concurrency model: https://duckdb.org/docs/current/connect/concurrency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DuckDB Python API: https://duckdb.org/docs/stable/clients/python/overview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DuckDB workload tuning: https://duckdb.org/docs/current/guides/performance/how_to_tune_workloads</w:t>
      </w:r>
    </w:p>
    <w:p>
      <w:pPr>
        <w:pStyle w:val="Heading1"/>
      </w:pPr>
      <w:r>
        <w:t>Sharing and handling checklist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Share this report rather than the warehouse database when recipients only need the assessment.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Do not send warehouse.duckdb through public email or public file links; it contains customer-level PII.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Before sharing source code, remove embedded credentials and rotate any credential previously committed to the repository.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technical reviewers, share the sync code and a masked test database instead of production customer data.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management audiences, use the executive conclusion, material gaps, roadmap and immediate decision sections.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7"/>
      </w:rPr>
      <w:t>MICROFINANCE ANALYTICS  |  TECHNICAL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Four-Country DuckDB Warehouse — Assessment and Guide</dc:title>
  <dc:subject>Warehouse architecture review and recommended roadmap</dc:subject>
  <dc:creator/>
  <cp:keywords>DuckDB, Python, warehouse, microfinance, analytics</cp:keywords>
  <dc:description>Prepared from a read-only technical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