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CE5" w:rsidRPr="00861B8E" w:rsidRDefault="00D329C9" w:rsidP="004279DA">
      <w:pPr>
        <w:rPr>
          <w:rFonts w:cs="Arial"/>
          <w:sz w:val="21"/>
          <w:szCs w:val="21"/>
          <w:lang w:val="en-US"/>
        </w:rPr>
      </w:pPr>
      <w:r>
        <w:rPr>
          <w:rFonts w:cs="Arial"/>
          <w:sz w:val="21"/>
          <w:szCs w:val="21"/>
          <w:lang w:val="en-US"/>
        </w:rPr>
        <w:t xml:space="preserve"> </w:t>
      </w:r>
    </w:p>
    <w:tbl>
      <w:tblPr>
        <w:tblW w:w="0" w:type="auto"/>
        <w:tblCellMar>
          <w:left w:w="0" w:type="dxa"/>
          <w:right w:w="0" w:type="dxa"/>
        </w:tblCellMar>
        <w:tblLook w:val="01E0" w:firstRow="1" w:lastRow="1" w:firstColumn="1" w:lastColumn="1" w:noHBand="0" w:noVBand="0"/>
      </w:tblPr>
      <w:tblGrid>
        <w:gridCol w:w="1139"/>
        <w:gridCol w:w="1921"/>
        <w:gridCol w:w="3036"/>
        <w:gridCol w:w="3371"/>
      </w:tblGrid>
      <w:tr w:rsidR="0043536C" w:rsidTr="00EB3ABD">
        <w:trPr>
          <w:trHeight w:hRule="exact" w:val="164"/>
        </w:trPr>
        <w:tc>
          <w:tcPr>
            <w:tcW w:w="1139" w:type="dxa"/>
            <w:tcBorders>
              <w:top w:val="single" w:sz="4" w:space="0" w:color="auto"/>
            </w:tcBorders>
          </w:tcPr>
          <w:p w:rsidR="00BA2242" w:rsidRPr="00861B8E" w:rsidRDefault="00B05992" w:rsidP="00EB3ABD">
            <w:pPr>
              <w:rPr>
                <w:rFonts w:cs="Arial"/>
                <w:lang w:val="en-US"/>
              </w:rPr>
            </w:pPr>
          </w:p>
        </w:tc>
        <w:tc>
          <w:tcPr>
            <w:tcW w:w="8328" w:type="dxa"/>
            <w:gridSpan w:val="3"/>
            <w:tcBorders>
              <w:top w:val="single" w:sz="4" w:space="0" w:color="auto"/>
            </w:tcBorders>
          </w:tcPr>
          <w:p w:rsidR="00BA2242" w:rsidRPr="00861B8E" w:rsidRDefault="00B05992" w:rsidP="00EB3ABD">
            <w:pPr>
              <w:rPr>
                <w:rFonts w:cs="Arial"/>
                <w:lang w:val="en-US"/>
              </w:rPr>
            </w:pPr>
          </w:p>
        </w:tc>
      </w:tr>
      <w:tr w:rsidR="0043536C" w:rsidTr="00EB3ABD">
        <w:tc>
          <w:tcPr>
            <w:tcW w:w="1139" w:type="dxa"/>
          </w:tcPr>
          <w:p w:rsidR="00BA2242" w:rsidRPr="0093387A" w:rsidRDefault="00D329C9" w:rsidP="00EB3ABD">
            <w:pPr>
              <w:pStyle w:val="ArcelorMittalparagraphe"/>
              <w:rPr>
                <w:rFonts w:ascii="Arial" w:hAnsi="Arial" w:cs="Arial"/>
                <w:color w:val="414141"/>
              </w:rPr>
            </w:pPr>
            <w:r w:rsidRPr="0093387A">
              <w:rPr>
                <w:rFonts w:ascii="Arial" w:hAnsi="Arial" w:cs="Arial"/>
                <w:color w:val="414141"/>
              </w:rPr>
              <w:t>To</w:t>
            </w:r>
          </w:p>
        </w:tc>
        <w:tc>
          <w:tcPr>
            <w:tcW w:w="8328" w:type="dxa"/>
            <w:gridSpan w:val="3"/>
          </w:tcPr>
          <w:p w:rsidR="00BA2242" w:rsidRPr="0093387A" w:rsidRDefault="00BA29B6" w:rsidP="00EB3ABD">
            <w:pPr>
              <w:pStyle w:val="ArcelorMittalparagraphe"/>
              <w:rPr>
                <w:rFonts w:ascii="Arial" w:hAnsi="Arial" w:cs="Arial"/>
                <w:color w:val="414141"/>
              </w:rPr>
            </w:pPr>
            <w:r>
              <w:rPr>
                <w:rFonts w:ascii="Arial" w:hAnsi="Arial" w:cs="Arial"/>
                <w:color w:val="414141"/>
              </w:rPr>
              <w:t>Bernard Beauzamy</w:t>
            </w:r>
          </w:p>
        </w:tc>
      </w:tr>
      <w:tr w:rsidR="0043536C" w:rsidRPr="00BA29B6" w:rsidTr="00EB3ABD">
        <w:tc>
          <w:tcPr>
            <w:tcW w:w="1139" w:type="dxa"/>
          </w:tcPr>
          <w:p w:rsidR="00BA2242" w:rsidRPr="0093387A" w:rsidRDefault="00D329C9" w:rsidP="00EB3ABD">
            <w:pPr>
              <w:pStyle w:val="ArcelorMittalparagraphe"/>
              <w:rPr>
                <w:rFonts w:ascii="Arial" w:hAnsi="Arial" w:cs="Arial"/>
                <w:color w:val="414141"/>
              </w:rPr>
            </w:pPr>
            <w:r w:rsidRPr="0093387A">
              <w:rPr>
                <w:rFonts w:ascii="Arial" w:hAnsi="Arial" w:cs="Arial"/>
                <w:color w:val="414141"/>
              </w:rPr>
              <w:t>Company</w:t>
            </w:r>
          </w:p>
        </w:tc>
        <w:tc>
          <w:tcPr>
            <w:tcW w:w="8328" w:type="dxa"/>
            <w:gridSpan w:val="3"/>
          </w:tcPr>
          <w:p w:rsidR="00BA2242" w:rsidRPr="00BA29B6" w:rsidRDefault="00BA29B6" w:rsidP="00EB3ABD">
            <w:pPr>
              <w:pStyle w:val="ArcelorMittalparagraphe"/>
              <w:rPr>
                <w:rFonts w:ascii="Arial" w:hAnsi="Arial" w:cs="Arial"/>
                <w:color w:val="414141"/>
                <w:lang w:val="fr-FR"/>
              </w:rPr>
            </w:pPr>
            <w:r w:rsidRPr="00BA29B6">
              <w:rPr>
                <w:rFonts w:ascii="Arial" w:hAnsi="Arial" w:cs="Arial"/>
                <w:color w:val="414141"/>
                <w:lang w:val="fr-FR"/>
              </w:rPr>
              <w:t>Société de Calcul Mathématique SA</w:t>
            </w:r>
          </w:p>
        </w:tc>
      </w:tr>
      <w:tr w:rsidR="0043536C" w:rsidTr="00EB3ABD">
        <w:tc>
          <w:tcPr>
            <w:tcW w:w="1139" w:type="dxa"/>
          </w:tcPr>
          <w:p w:rsidR="00BA2242" w:rsidRPr="0093387A" w:rsidRDefault="00D329C9" w:rsidP="00EB3ABD">
            <w:pPr>
              <w:pStyle w:val="ArcelorMittalparagraphe"/>
              <w:rPr>
                <w:rFonts w:ascii="Arial" w:hAnsi="Arial" w:cs="Arial"/>
                <w:color w:val="414141"/>
              </w:rPr>
            </w:pPr>
            <w:r w:rsidRPr="0093387A">
              <w:rPr>
                <w:rFonts w:ascii="Arial" w:hAnsi="Arial" w:cs="Arial"/>
                <w:color w:val="414141"/>
              </w:rPr>
              <w:t>From</w:t>
            </w:r>
          </w:p>
        </w:tc>
        <w:tc>
          <w:tcPr>
            <w:tcW w:w="8328" w:type="dxa"/>
            <w:gridSpan w:val="3"/>
          </w:tcPr>
          <w:p w:rsidR="00BA2242" w:rsidRPr="0093387A" w:rsidRDefault="00BA29B6" w:rsidP="00EB3ABD">
            <w:pPr>
              <w:pStyle w:val="ArcelorMittalparagraphe"/>
              <w:rPr>
                <w:rFonts w:ascii="Arial" w:hAnsi="Arial" w:cs="Arial"/>
                <w:color w:val="414141"/>
                <w:lang w:val="fr-FR"/>
              </w:rPr>
            </w:pPr>
            <w:r>
              <w:rPr>
                <w:rFonts w:ascii="Arial" w:hAnsi="Arial" w:cs="Arial"/>
                <w:color w:val="414141"/>
                <w:lang w:val="fr-FR"/>
              </w:rPr>
              <w:t>G. Fricout, A. Gay</w:t>
            </w:r>
          </w:p>
        </w:tc>
      </w:tr>
      <w:tr w:rsidR="0043536C" w:rsidTr="00EB3ABD">
        <w:tc>
          <w:tcPr>
            <w:tcW w:w="1139" w:type="dxa"/>
          </w:tcPr>
          <w:p w:rsidR="00BA2242" w:rsidRPr="0093387A" w:rsidRDefault="00D329C9" w:rsidP="00EB3ABD">
            <w:pPr>
              <w:pStyle w:val="ArcelorMittalparagraphe"/>
              <w:rPr>
                <w:rFonts w:ascii="Arial" w:hAnsi="Arial" w:cs="Arial"/>
                <w:color w:val="414141"/>
                <w:lang w:val="fr-FR"/>
              </w:rPr>
            </w:pPr>
            <w:r w:rsidRPr="0093387A">
              <w:rPr>
                <w:rFonts w:ascii="Arial" w:hAnsi="Arial" w:cs="Arial"/>
                <w:color w:val="414141"/>
                <w:lang w:val="fr-FR"/>
              </w:rPr>
              <w:t>Date</w:t>
            </w:r>
          </w:p>
        </w:tc>
        <w:tc>
          <w:tcPr>
            <w:tcW w:w="8328" w:type="dxa"/>
            <w:gridSpan w:val="3"/>
          </w:tcPr>
          <w:p w:rsidR="00BA2242" w:rsidRPr="0093387A" w:rsidRDefault="00D329C9" w:rsidP="00EB3ABD">
            <w:pPr>
              <w:pStyle w:val="ArcelorMittalparagraphe"/>
              <w:rPr>
                <w:rFonts w:ascii="Arial" w:hAnsi="Arial" w:cs="Arial"/>
                <w:color w:val="414141"/>
                <w:lang w:val="fr-FR"/>
              </w:rPr>
            </w:pPr>
            <w:r w:rsidRPr="0093387A">
              <w:rPr>
                <w:rFonts w:ascii="Arial" w:hAnsi="Arial" w:cs="Arial"/>
                <w:color w:val="414141"/>
              </w:rPr>
              <w:fldChar w:fldCharType="begin">
                <w:ffData>
                  <w:name w:val=""/>
                  <w:enabled/>
                  <w:calcOnExit w:val="0"/>
                  <w:textInput>
                    <w:default w:val="Date"/>
                  </w:textInput>
                </w:ffData>
              </w:fldChar>
            </w:r>
            <w:r w:rsidRPr="0093387A">
              <w:rPr>
                <w:rFonts w:ascii="Arial" w:hAnsi="Arial" w:cs="Arial"/>
                <w:color w:val="414141"/>
                <w:lang w:val="fr-FR"/>
              </w:rPr>
              <w:instrText xml:space="preserve"> FORMTEXT </w:instrText>
            </w:r>
            <w:r w:rsidRPr="0093387A">
              <w:rPr>
                <w:rFonts w:ascii="Arial" w:hAnsi="Arial" w:cs="Arial"/>
                <w:color w:val="414141"/>
              </w:rPr>
            </w:r>
            <w:r w:rsidRPr="0093387A">
              <w:rPr>
                <w:rFonts w:ascii="Arial" w:hAnsi="Arial" w:cs="Arial"/>
                <w:color w:val="414141"/>
              </w:rPr>
              <w:fldChar w:fldCharType="separate"/>
            </w:r>
            <w:r w:rsidRPr="0093387A">
              <w:rPr>
                <w:rFonts w:ascii="Arial" w:hAnsi="Arial" w:cs="Arial"/>
                <w:noProof/>
                <w:color w:val="414141"/>
                <w:lang w:val="fr-FR"/>
              </w:rPr>
              <w:t>Date</w:t>
            </w:r>
            <w:r w:rsidRPr="0093387A">
              <w:rPr>
                <w:rFonts w:ascii="Arial" w:hAnsi="Arial" w:cs="Arial"/>
                <w:color w:val="414141"/>
              </w:rPr>
              <w:fldChar w:fldCharType="end"/>
            </w:r>
          </w:p>
        </w:tc>
      </w:tr>
      <w:tr w:rsidR="0043536C" w:rsidTr="00CA3618">
        <w:tc>
          <w:tcPr>
            <w:tcW w:w="1139" w:type="dxa"/>
          </w:tcPr>
          <w:p w:rsidR="00BA2242" w:rsidRPr="0093387A" w:rsidRDefault="00D329C9" w:rsidP="00EB3ABD">
            <w:pPr>
              <w:pStyle w:val="ArcelorMittalparagraphe"/>
              <w:rPr>
                <w:rFonts w:ascii="Arial" w:hAnsi="Arial" w:cs="Arial"/>
                <w:color w:val="414141"/>
                <w:lang w:val="fr-FR"/>
              </w:rPr>
            </w:pPr>
            <w:r w:rsidRPr="0093387A">
              <w:rPr>
                <w:rFonts w:ascii="Arial" w:hAnsi="Arial" w:cs="Arial"/>
                <w:color w:val="414141"/>
                <w:lang w:val="fr-FR"/>
              </w:rPr>
              <w:t>Pages</w:t>
            </w:r>
          </w:p>
        </w:tc>
        <w:tc>
          <w:tcPr>
            <w:tcW w:w="8328" w:type="dxa"/>
            <w:gridSpan w:val="3"/>
          </w:tcPr>
          <w:p w:rsidR="00BA2242" w:rsidRPr="0093387A" w:rsidRDefault="00D329C9" w:rsidP="00EB3ABD">
            <w:pPr>
              <w:pStyle w:val="ArcelorMittalparagraphe"/>
              <w:rPr>
                <w:rFonts w:ascii="Arial" w:hAnsi="Arial" w:cs="Arial"/>
                <w:color w:val="414141"/>
              </w:rPr>
            </w:pPr>
            <w:r w:rsidRPr="0093387A">
              <w:rPr>
                <w:rFonts w:ascii="Arial" w:hAnsi="Arial" w:cs="Arial"/>
                <w:color w:val="414141"/>
              </w:rPr>
              <w:fldChar w:fldCharType="begin"/>
            </w:r>
            <w:r w:rsidRPr="0093387A">
              <w:rPr>
                <w:rFonts w:ascii="Arial" w:hAnsi="Arial" w:cs="Arial"/>
                <w:color w:val="414141"/>
              </w:rPr>
              <w:instrText xml:space="preserve"> PAGE </w:instrText>
            </w:r>
            <w:r w:rsidRPr="0093387A">
              <w:rPr>
                <w:rFonts w:ascii="Arial" w:hAnsi="Arial" w:cs="Arial"/>
                <w:color w:val="414141"/>
              </w:rPr>
              <w:fldChar w:fldCharType="separate"/>
            </w:r>
            <w:r w:rsidRPr="0093387A">
              <w:rPr>
                <w:rFonts w:ascii="Arial" w:hAnsi="Arial" w:cs="Arial"/>
                <w:noProof/>
                <w:color w:val="414141"/>
              </w:rPr>
              <w:t>1</w:t>
            </w:r>
            <w:r w:rsidRPr="0093387A">
              <w:rPr>
                <w:rFonts w:ascii="Arial" w:hAnsi="Arial" w:cs="Arial"/>
                <w:color w:val="414141"/>
              </w:rPr>
              <w:fldChar w:fldCharType="end"/>
            </w:r>
            <w:r w:rsidRPr="0093387A">
              <w:rPr>
                <w:rFonts w:ascii="Arial" w:hAnsi="Arial" w:cs="Arial"/>
                <w:color w:val="414141"/>
              </w:rPr>
              <w:t xml:space="preserve"> of </w:t>
            </w:r>
            <w:r w:rsidRPr="0093387A">
              <w:rPr>
                <w:rFonts w:ascii="Arial" w:hAnsi="Arial" w:cs="Arial"/>
                <w:color w:val="414141"/>
              </w:rPr>
              <w:fldChar w:fldCharType="begin"/>
            </w:r>
            <w:r w:rsidRPr="0093387A">
              <w:rPr>
                <w:rFonts w:ascii="Arial" w:hAnsi="Arial" w:cs="Arial"/>
                <w:color w:val="414141"/>
              </w:rPr>
              <w:instrText xml:space="preserve"> NUMPAGES </w:instrText>
            </w:r>
            <w:r w:rsidRPr="0093387A">
              <w:rPr>
                <w:rFonts w:ascii="Arial" w:hAnsi="Arial" w:cs="Arial"/>
                <w:color w:val="414141"/>
              </w:rPr>
              <w:fldChar w:fldCharType="separate"/>
            </w:r>
            <w:r w:rsidR="00BA29B6">
              <w:rPr>
                <w:rFonts w:ascii="Arial" w:hAnsi="Arial" w:cs="Arial"/>
                <w:noProof/>
                <w:color w:val="414141"/>
              </w:rPr>
              <w:t>3</w:t>
            </w:r>
            <w:r w:rsidRPr="0093387A">
              <w:rPr>
                <w:rFonts w:ascii="Arial" w:hAnsi="Arial" w:cs="Arial"/>
                <w:color w:val="414141"/>
              </w:rPr>
              <w:fldChar w:fldCharType="end"/>
            </w:r>
          </w:p>
        </w:tc>
      </w:tr>
      <w:tr w:rsidR="0043536C" w:rsidTr="00CA3618">
        <w:trPr>
          <w:trHeight w:val="264"/>
        </w:trPr>
        <w:tc>
          <w:tcPr>
            <w:tcW w:w="1139" w:type="dxa"/>
          </w:tcPr>
          <w:p w:rsidR="00BA2242" w:rsidRPr="0093387A" w:rsidRDefault="00D329C9" w:rsidP="00EB3ABD">
            <w:pPr>
              <w:pStyle w:val="ArcelorMittalparagraphe"/>
              <w:rPr>
                <w:rFonts w:ascii="Arial" w:hAnsi="Arial" w:cs="Arial"/>
                <w:color w:val="414141"/>
                <w:szCs w:val="21"/>
              </w:rPr>
            </w:pPr>
            <w:r w:rsidRPr="0093387A">
              <w:rPr>
                <w:rFonts w:ascii="Arial" w:hAnsi="Arial" w:cs="Arial"/>
                <w:color w:val="414141"/>
                <w:szCs w:val="21"/>
              </w:rPr>
              <w:t>Copy</w:t>
            </w:r>
          </w:p>
        </w:tc>
        <w:tc>
          <w:tcPr>
            <w:tcW w:w="8328" w:type="dxa"/>
            <w:gridSpan w:val="3"/>
          </w:tcPr>
          <w:p w:rsidR="00BA2242" w:rsidRPr="0093387A" w:rsidRDefault="00B05992" w:rsidP="00EB3ABD">
            <w:pPr>
              <w:pStyle w:val="ArcelorMittalparagraphe"/>
              <w:rPr>
                <w:rFonts w:ascii="Arial" w:hAnsi="Arial" w:cs="Arial"/>
                <w:color w:val="414141"/>
              </w:rPr>
            </w:pPr>
          </w:p>
        </w:tc>
      </w:tr>
      <w:tr w:rsidR="00CA3618" w:rsidTr="00CA3618">
        <w:trPr>
          <w:trHeight w:val="264"/>
        </w:trPr>
        <w:tc>
          <w:tcPr>
            <w:tcW w:w="1139" w:type="dxa"/>
            <w:tcBorders>
              <w:bottom w:val="single" w:sz="4" w:space="0" w:color="auto"/>
            </w:tcBorders>
          </w:tcPr>
          <w:p w:rsidR="00CA3618" w:rsidRPr="0093387A" w:rsidRDefault="00CA3618" w:rsidP="00EB3ABD">
            <w:pPr>
              <w:pStyle w:val="ArcelorMittalparagraphe"/>
              <w:rPr>
                <w:rFonts w:ascii="Arial" w:hAnsi="Arial" w:cs="Arial"/>
                <w:color w:val="414141"/>
                <w:szCs w:val="21"/>
              </w:rPr>
            </w:pPr>
          </w:p>
        </w:tc>
        <w:tc>
          <w:tcPr>
            <w:tcW w:w="8328" w:type="dxa"/>
            <w:gridSpan w:val="3"/>
            <w:tcBorders>
              <w:bottom w:val="single" w:sz="4" w:space="0" w:color="auto"/>
            </w:tcBorders>
          </w:tcPr>
          <w:p w:rsidR="00CA3618" w:rsidRPr="0093387A" w:rsidRDefault="00CA3618" w:rsidP="00EB3ABD">
            <w:pPr>
              <w:pStyle w:val="ArcelorMittalparagraphe"/>
              <w:rPr>
                <w:rFonts w:ascii="Arial" w:hAnsi="Arial" w:cs="Arial"/>
                <w:color w:val="414141"/>
              </w:rPr>
            </w:pPr>
          </w:p>
        </w:tc>
      </w:tr>
      <w:tr w:rsidR="0043536C" w:rsidRPr="00BA29B6" w:rsidTr="00EB3ABD">
        <w:trPr>
          <w:trHeight w:val="434"/>
        </w:trPr>
        <w:tc>
          <w:tcPr>
            <w:tcW w:w="1139" w:type="dxa"/>
          </w:tcPr>
          <w:p w:rsidR="00BA2242" w:rsidRPr="0093387A" w:rsidRDefault="00D329C9" w:rsidP="00EB3ABD">
            <w:pPr>
              <w:rPr>
                <w:rFonts w:cs="Arial"/>
                <w:color w:val="414141"/>
                <w:sz w:val="21"/>
                <w:szCs w:val="21"/>
                <w:lang w:val="en-US"/>
              </w:rPr>
            </w:pPr>
            <w:r w:rsidRPr="0093387A">
              <w:rPr>
                <w:rFonts w:cs="Arial"/>
                <w:color w:val="414141"/>
                <w:sz w:val="21"/>
                <w:szCs w:val="21"/>
                <w:lang w:val="en-US"/>
              </w:rPr>
              <w:t>Subject</w:t>
            </w:r>
          </w:p>
        </w:tc>
        <w:tc>
          <w:tcPr>
            <w:tcW w:w="8328" w:type="dxa"/>
            <w:gridSpan w:val="3"/>
          </w:tcPr>
          <w:p w:rsidR="00BA2242" w:rsidRPr="00BA29B6" w:rsidRDefault="00BA29B6" w:rsidP="00EB3ABD">
            <w:pPr>
              <w:rPr>
                <w:rFonts w:cs="Arial"/>
                <w:b/>
                <w:color w:val="414141"/>
                <w:sz w:val="21"/>
                <w:szCs w:val="21"/>
                <w:lang w:val="fr-FR"/>
              </w:rPr>
            </w:pPr>
            <w:r w:rsidRPr="00BA29B6">
              <w:rPr>
                <w:rFonts w:cs="Arial"/>
                <w:b/>
                <w:color w:val="414141"/>
                <w:sz w:val="21"/>
                <w:szCs w:val="21"/>
                <w:lang w:val="fr-FR"/>
              </w:rPr>
              <w:t>Description des données fournies p</w:t>
            </w:r>
            <w:r>
              <w:rPr>
                <w:rFonts w:cs="Arial"/>
                <w:b/>
                <w:color w:val="414141"/>
                <w:sz w:val="21"/>
                <w:szCs w:val="21"/>
                <w:lang w:val="fr-FR"/>
              </w:rPr>
              <w:t>our le projet d’usure des Rouleaux de Laminage</w:t>
            </w:r>
          </w:p>
        </w:tc>
      </w:tr>
      <w:tr w:rsidR="0043536C" w:rsidTr="001D591C">
        <w:trPr>
          <w:trHeight w:val="738"/>
        </w:trPr>
        <w:tc>
          <w:tcPr>
            <w:tcW w:w="1139" w:type="dxa"/>
            <w:tcBorders>
              <w:bottom w:val="single" w:sz="4" w:space="0" w:color="auto"/>
            </w:tcBorders>
          </w:tcPr>
          <w:p w:rsidR="00BA2242" w:rsidRPr="0093387A" w:rsidRDefault="00D329C9" w:rsidP="00EB3ABD">
            <w:pPr>
              <w:rPr>
                <w:rFonts w:cs="Arial"/>
                <w:color w:val="414141"/>
                <w:sz w:val="21"/>
                <w:szCs w:val="21"/>
                <w:lang w:val="en-US"/>
              </w:rPr>
            </w:pPr>
            <w:r w:rsidRPr="0093387A">
              <w:rPr>
                <w:rFonts w:cs="Arial"/>
                <w:color w:val="414141"/>
                <w:sz w:val="21"/>
                <w:szCs w:val="21"/>
                <w:lang w:val="en-US"/>
              </w:rPr>
              <w:t>Ref</w:t>
            </w:r>
          </w:p>
        </w:tc>
        <w:tc>
          <w:tcPr>
            <w:tcW w:w="1921" w:type="dxa"/>
            <w:tcBorders>
              <w:bottom w:val="single" w:sz="4" w:space="0" w:color="auto"/>
            </w:tcBorders>
          </w:tcPr>
          <w:p w:rsidR="00BA2242" w:rsidRPr="0093387A" w:rsidRDefault="00B05992" w:rsidP="00EB3ABD">
            <w:pPr>
              <w:rPr>
                <w:rFonts w:cs="Arial"/>
                <w:color w:val="414141"/>
                <w:sz w:val="21"/>
                <w:szCs w:val="21"/>
                <w:lang w:val="en-US"/>
              </w:rPr>
            </w:pPr>
          </w:p>
        </w:tc>
        <w:tc>
          <w:tcPr>
            <w:tcW w:w="3036" w:type="dxa"/>
            <w:tcBorders>
              <w:bottom w:val="single" w:sz="4" w:space="0" w:color="auto"/>
            </w:tcBorders>
          </w:tcPr>
          <w:p w:rsidR="00BA2242" w:rsidRPr="0093387A" w:rsidRDefault="00C10396" w:rsidP="00EB3ABD">
            <w:pPr>
              <w:rPr>
                <w:rFonts w:cs="Arial"/>
                <w:color w:val="414141"/>
                <w:sz w:val="21"/>
                <w:szCs w:val="21"/>
                <w:lang w:val="en-US"/>
              </w:rPr>
            </w:pPr>
            <w:r w:rsidRPr="00C10396">
              <w:rPr>
                <w:rFonts w:cs="Arial"/>
                <w:color w:val="414141"/>
                <w:sz w:val="21"/>
                <w:szCs w:val="21"/>
                <w:lang w:val="fr-FR"/>
              </w:rPr>
              <w:t>Programme</w:t>
            </w:r>
            <w:r w:rsidRPr="0093387A">
              <w:rPr>
                <w:rFonts w:cs="Arial"/>
                <w:color w:val="414141"/>
                <w:sz w:val="21"/>
                <w:szCs w:val="21"/>
                <w:lang w:val="en-US"/>
              </w:rPr>
              <w:t xml:space="preserve"> :</w:t>
            </w:r>
            <w:r w:rsidR="00D329C9" w:rsidRPr="0093387A">
              <w:rPr>
                <w:rFonts w:cs="Arial"/>
                <w:color w:val="414141"/>
                <w:sz w:val="21"/>
                <w:szCs w:val="21"/>
                <w:lang w:val="en-US"/>
              </w:rPr>
              <w:t xml:space="preserve"> </w:t>
            </w:r>
          </w:p>
          <w:p w:rsidR="00BA2242" w:rsidRPr="0093387A" w:rsidRDefault="004A69EE" w:rsidP="00EB3ABD">
            <w:pPr>
              <w:rPr>
                <w:rFonts w:cs="Arial"/>
                <w:color w:val="414141"/>
                <w:sz w:val="21"/>
                <w:szCs w:val="21"/>
                <w:lang w:val="en-US"/>
              </w:rPr>
            </w:pPr>
            <w:r w:rsidRPr="0093387A">
              <w:rPr>
                <w:rFonts w:cs="Arial"/>
                <w:color w:val="414141"/>
                <w:sz w:val="21"/>
                <w:szCs w:val="21"/>
                <w:lang w:val="en-US"/>
              </w:rPr>
              <w:t>Axis</w:t>
            </w:r>
            <w:r w:rsidR="00D329C9" w:rsidRPr="0093387A">
              <w:rPr>
                <w:rFonts w:cs="Arial"/>
                <w:color w:val="414141"/>
                <w:sz w:val="21"/>
                <w:szCs w:val="21"/>
                <w:lang w:val="en-US"/>
              </w:rPr>
              <w:t>:</w:t>
            </w:r>
          </w:p>
        </w:tc>
        <w:tc>
          <w:tcPr>
            <w:tcW w:w="3371" w:type="dxa"/>
            <w:tcBorders>
              <w:bottom w:val="single" w:sz="4" w:space="0" w:color="auto"/>
            </w:tcBorders>
          </w:tcPr>
          <w:p w:rsidR="00BA2242" w:rsidRPr="0093387A" w:rsidRDefault="004A69EE" w:rsidP="00EB3ABD">
            <w:pPr>
              <w:rPr>
                <w:rFonts w:cs="Arial"/>
                <w:color w:val="414141"/>
                <w:sz w:val="21"/>
                <w:szCs w:val="21"/>
                <w:lang w:val="en-US"/>
              </w:rPr>
            </w:pPr>
            <w:r w:rsidRPr="0093387A">
              <w:rPr>
                <w:rFonts w:cs="Arial"/>
                <w:color w:val="414141"/>
                <w:sz w:val="21"/>
                <w:szCs w:val="21"/>
                <w:lang w:val="en-US"/>
              </w:rPr>
              <w:t>Project</w:t>
            </w:r>
            <w:r w:rsidR="00D329C9" w:rsidRPr="0093387A">
              <w:rPr>
                <w:rFonts w:cs="Arial"/>
                <w:color w:val="414141"/>
                <w:sz w:val="21"/>
                <w:szCs w:val="21"/>
                <w:lang w:val="en-US"/>
              </w:rPr>
              <w:t xml:space="preserve">: </w:t>
            </w:r>
          </w:p>
        </w:tc>
      </w:tr>
    </w:tbl>
    <w:p w:rsidR="00BA2242" w:rsidRPr="00861B8E" w:rsidRDefault="00B05992" w:rsidP="00861B8E">
      <w:pPr>
        <w:pStyle w:val="ArcelorMittal"/>
        <w:ind w:firstLine="720"/>
        <w:rPr>
          <w:rFonts w:ascii="Arial" w:hAnsi="Arial" w:cs="Arial"/>
        </w:rPr>
      </w:pPr>
    </w:p>
    <w:p w:rsidR="007563DF" w:rsidRPr="00861B8E" w:rsidRDefault="00D329C9" w:rsidP="00861B8E">
      <w:pPr>
        <w:pStyle w:val="ArcelorMittal"/>
        <w:tabs>
          <w:tab w:val="left" w:pos="915"/>
        </w:tabs>
        <w:rPr>
          <w:rFonts w:ascii="Arial" w:hAnsi="Arial" w:cs="Arial"/>
          <w:sz w:val="22"/>
          <w:szCs w:val="22"/>
          <w:lang w:val="fr-FR"/>
        </w:rPr>
      </w:pPr>
      <w:r>
        <w:rPr>
          <w:rFonts w:ascii="Arial" w:hAnsi="Arial" w:cs="Arial"/>
          <w:sz w:val="22"/>
          <w:szCs w:val="22"/>
          <w:lang w:val="fr-FR"/>
        </w:rPr>
        <w:tab/>
      </w:r>
    </w:p>
    <w:p w:rsidR="0010119D" w:rsidRDefault="0010119D">
      <w:pPr>
        <w:spacing w:line="240" w:lineRule="auto"/>
        <w:rPr>
          <w:rFonts w:cs="Arial"/>
          <w:b/>
          <w:bCs/>
          <w:kern w:val="32"/>
          <w:sz w:val="32"/>
          <w:szCs w:val="32"/>
          <w:lang w:val="fr-FR"/>
        </w:rPr>
      </w:pPr>
      <w:r>
        <w:br w:type="page"/>
      </w:r>
    </w:p>
    <w:p w:rsidR="00BA29B6" w:rsidRPr="00BA29B6" w:rsidRDefault="00BA29B6" w:rsidP="00A225DC">
      <w:pPr>
        <w:pStyle w:val="Titre1"/>
      </w:pPr>
      <w:bookmarkStart w:id="0" w:name="_GoBack"/>
      <w:bookmarkEnd w:id="0"/>
      <w:r w:rsidRPr="00BA29B6">
        <w:lastRenderedPageBreak/>
        <w:t>Rapide rappel du contexte</w:t>
      </w:r>
    </w:p>
    <w:p w:rsidR="00BA29B6" w:rsidRPr="00BA29B6" w:rsidRDefault="00BA29B6" w:rsidP="00BA29B6">
      <w:pPr>
        <w:pStyle w:val="Sous-titre"/>
        <w:rPr>
          <w:lang w:val="fr-FR"/>
        </w:rPr>
      </w:pPr>
      <w:r>
        <w:rPr>
          <w:lang w:val="fr-FR"/>
        </w:rPr>
        <w:t>E</w:t>
      </w:r>
      <w:r w:rsidRPr="00BA29B6">
        <w:rPr>
          <w:lang w:val="fr-FR"/>
        </w:rPr>
        <w:t>xplicité plus précisément dans les annexes au contrat</w:t>
      </w:r>
    </w:p>
    <w:p w:rsidR="00BA29B6" w:rsidRPr="00BA29B6" w:rsidRDefault="00BA29B6" w:rsidP="00A225DC">
      <w:pPr>
        <w:pStyle w:val="NewNormal"/>
      </w:pPr>
      <w:r w:rsidRPr="00BA29B6">
        <w:t xml:space="preserve">L'étude consiste à prédire l'usure de rouleaux de laminage à chaud. Ces rouleaux sont utilisés pour réduire l'épaisseur de brames d'acier, pour les faire passer de 20cm à 1-3mm d'épaisseur en une douzaines de 'cages', </w:t>
      </w:r>
      <w:r w:rsidR="00C10396" w:rsidRPr="00BA29B6">
        <w:t>chacune</w:t>
      </w:r>
      <w:r w:rsidRPr="00BA29B6">
        <w:t xml:space="preserve"> constituées de deux rouleaux de travail (un en haut 'top', un en bas 'bottom'). On se penche plus précisément ici sur les deux dernières cages (6e et 7e cages 'finisseuses', notées F6 et F7). Quatre rouleaux sont donc étudiés ici, nommés F6t, F6b, F7t et F7b.</w:t>
      </w:r>
    </w:p>
    <w:p w:rsidR="00BA29B6" w:rsidRPr="00BA29B6" w:rsidRDefault="00BA29B6" w:rsidP="00A225DC">
      <w:pPr>
        <w:pStyle w:val="NewNormal"/>
      </w:pPr>
      <w:r w:rsidRPr="00BA29B6">
        <w:t>Le laminage des brames se composent de campagnes successives, chaque campagne étant constitué de 100 à 300 brames environ, passées à la suite. Les rouleaux sont changés à la fin des campagnes. </w:t>
      </w:r>
      <w:r w:rsidRPr="00BA29B6">
        <w:rPr>
          <w:b/>
          <w:bCs/>
        </w:rPr>
        <w:t>L'usure des rouleaux n'est mesurée qu'une fois qu'ils sont changés, donc à la fin de chaque campagne.</w:t>
      </w:r>
    </w:p>
    <w:p w:rsidR="00BA29B6" w:rsidRPr="00BA29B6" w:rsidRDefault="00BA29B6" w:rsidP="00A225DC">
      <w:pPr>
        <w:pStyle w:val="NewNormal"/>
      </w:pPr>
      <w:r w:rsidRPr="00BA29B6">
        <w:t>Le dataset comprend donc les détails des brames constituant chaque campagne et les usures mesurées sur les rouleaux à la fin de chacune de ces campagnes. Le dataset est composé de 395 campagnes pour un total de 51 710 brames.</w:t>
      </w:r>
    </w:p>
    <w:p w:rsidR="00BA29B6" w:rsidRPr="00BA29B6" w:rsidRDefault="00BA29B6" w:rsidP="00A225DC">
      <w:pPr>
        <w:pStyle w:val="Titre2"/>
      </w:pPr>
      <w:r w:rsidRPr="00BA29B6">
        <w:t>Format de l'usure</w:t>
      </w:r>
    </w:p>
    <w:p w:rsidR="00BA29B6" w:rsidRPr="00BA29B6" w:rsidRDefault="00BA29B6" w:rsidP="00A225DC">
      <w:pPr>
        <w:pStyle w:val="NewNormal"/>
      </w:pPr>
      <w:r w:rsidRPr="00BA29B6">
        <w:t>L'usure de chaque rouleau est mesurée après la campagne sur toute la longueur du rouleau, obtenant ainsi un profile d'usure, tel que visible en exemple sur l</w:t>
      </w:r>
      <w:r>
        <w:t>a</w:t>
      </w:r>
      <w:r w:rsidR="0084798D">
        <w:t xml:space="preserve"> </w:t>
      </w:r>
      <w:r w:rsidR="0084798D">
        <w:fldChar w:fldCharType="begin"/>
      </w:r>
      <w:r w:rsidR="0084798D">
        <w:instrText xml:space="preserve"> REF _Ref25227195 \h </w:instrText>
      </w:r>
      <w:r w:rsidR="0084798D">
        <w:fldChar w:fldCharType="separate"/>
      </w:r>
      <w:r w:rsidR="0084798D" w:rsidRPr="00BA29B6">
        <w:t xml:space="preserve">Figure </w:t>
      </w:r>
      <w:r w:rsidR="0084798D" w:rsidRPr="00BA29B6">
        <w:rPr>
          <w:noProof/>
        </w:rPr>
        <w:t>1</w:t>
      </w:r>
      <w:r w:rsidR="0084798D">
        <w:fldChar w:fldCharType="end"/>
      </w:r>
      <w:r w:rsidRPr="00BA29B6">
        <w:t>.</w:t>
      </w:r>
    </w:p>
    <w:p w:rsidR="00BA29B6" w:rsidRDefault="00BA29B6" w:rsidP="00A225DC">
      <w:pPr>
        <w:pStyle w:val="NewNormal"/>
      </w:pPr>
      <w:r w:rsidRPr="00BA29B6">
        <w:t>L'estimation du profile complet étant très complexe voire impossible en l'absence de donnée localisée pour les brames, le travail pourra se concentrer sur une étude de l'usure moyenne au centre du cylindre, appelée par la suite </w:t>
      </w:r>
      <w:r w:rsidRPr="00BA29B6">
        <w:rPr>
          <w:i/>
          <w:iCs/>
        </w:rPr>
        <w:t>usure au centre</w:t>
      </w:r>
      <w:r w:rsidRPr="00BA29B6">
        <w:t xml:space="preserve">. Cette usure au centre est aussi représentée sur </w:t>
      </w:r>
      <w:r w:rsidR="0084798D">
        <w:t xml:space="preserve">la </w:t>
      </w:r>
      <w:r w:rsidR="0084798D">
        <w:fldChar w:fldCharType="begin"/>
      </w:r>
      <w:r w:rsidR="0084798D">
        <w:instrText xml:space="preserve"> REF _Ref25227195 \h </w:instrText>
      </w:r>
      <w:r w:rsidR="0084798D">
        <w:fldChar w:fldCharType="separate"/>
      </w:r>
      <w:r w:rsidR="0084798D" w:rsidRPr="00BA29B6">
        <w:t xml:space="preserve">Figure </w:t>
      </w:r>
      <w:r w:rsidR="0084798D" w:rsidRPr="00BA29B6">
        <w:rPr>
          <w:noProof/>
        </w:rPr>
        <w:t>1</w:t>
      </w:r>
      <w:r w:rsidR="0084798D">
        <w:fldChar w:fldCharType="end"/>
      </w:r>
      <w:r w:rsidRPr="00BA29B6">
        <w:t>.</w:t>
      </w:r>
    </w:p>
    <w:p w:rsidR="00BA29B6" w:rsidRDefault="00BA29B6" w:rsidP="005274C6">
      <w:pPr>
        <w:pStyle w:val="NewNormal"/>
        <w:jc w:val="center"/>
      </w:pPr>
      <w:r>
        <w:rPr>
          <w:noProof/>
        </w:rPr>
        <w:drawing>
          <wp:inline distT="0" distB="0" distL="0" distR="0">
            <wp:extent cx="2520000" cy="1890000"/>
            <wp:effectExtent l="0" t="0" r="0" b="0"/>
            <wp:docPr id="11" name="Image 11"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ME_ProfileExampl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r>
        <w:rPr>
          <w:noProof/>
        </w:rPr>
        <w:drawing>
          <wp:inline distT="0" distB="0" distL="0" distR="0">
            <wp:extent cx="2520000" cy="1890000"/>
            <wp:effectExtent l="0" t="0" r="0" b="0"/>
            <wp:docPr id="12" name="Image 12"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ME_ProfileExample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p w:rsidR="00BA29B6" w:rsidRPr="00BA29B6" w:rsidRDefault="00BA29B6" w:rsidP="00BA29B6">
      <w:pPr>
        <w:pStyle w:val="Lgende"/>
        <w:rPr>
          <w:lang w:val="fr-FR"/>
        </w:rPr>
      </w:pPr>
      <w:bookmarkStart w:id="1" w:name="_Ref25227195"/>
      <w:r w:rsidRPr="00BA29B6">
        <w:rPr>
          <w:lang w:val="fr-FR"/>
        </w:rPr>
        <w:t xml:space="preserve">Figure </w:t>
      </w:r>
      <w:r>
        <w:fldChar w:fldCharType="begin"/>
      </w:r>
      <w:r w:rsidRPr="00BA29B6">
        <w:rPr>
          <w:lang w:val="fr-FR"/>
        </w:rPr>
        <w:instrText xml:space="preserve"> SEQ Figure \* ARABIC </w:instrText>
      </w:r>
      <w:r>
        <w:fldChar w:fldCharType="separate"/>
      </w:r>
      <w:r w:rsidRPr="00BA29B6">
        <w:rPr>
          <w:noProof/>
          <w:lang w:val="fr-FR"/>
        </w:rPr>
        <w:t>1</w:t>
      </w:r>
      <w:r>
        <w:fldChar w:fldCharType="end"/>
      </w:r>
      <w:bookmarkEnd w:id="1"/>
      <w:r w:rsidRPr="00BA29B6">
        <w:rPr>
          <w:lang w:val="fr-FR"/>
        </w:rPr>
        <w:t xml:space="preserve"> </w:t>
      </w:r>
      <w:r>
        <w:rPr>
          <w:lang w:val="fr-FR"/>
        </w:rPr>
        <w:t>–</w:t>
      </w:r>
      <w:r w:rsidRPr="00BA29B6">
        <w:rPr>
          <w:lang w:val="fr-FR"/>
        </w:rPr>
        <w:t xml:space="preserve"> Deux</w:t>
      </w:r>
      <w:r>
        <w:rPr>
          <w:lang w:val="fr-FR"/>
        </w:rPr>
        <w:t xml:space="preserve"> exemples de profils de campagnes.</w:t>
      </w:r>
    </w:p>
    <w:p w:rsidR="00BA29B6" w:rsidRPr="00BA29B6" w:rsidRDefault="00BA29B6" w:rsidP="00A225DC">
      <w:pPr>
        <w:pStyle w:val="Titre1"/>
      </w:pPr>
      <w:r>
        <w:lastRenderedPageBreak/>
        <w:t>Organisation des fichiers</w:t>
      </w:r>
    </w:p>
    <w:p w:rsidR="00BA29B6" w:rsidRPr="00BA29B6" w:rsidRDefault="00BA29B6" w:rsidP="00A225DC">
      <w:pPr>
        <w:pStyle w:val="NewNormal"/>
      </w:pPr>
      <w:r w:rsidRPr="00BA29B6">
        <w:t>Les données liées aux campagnes de laminage et d'usures des rouleaux sont stockées dans deux fichiers principaux et un dossier :</w:t>
      </w:r>
    </w:p>
    <w:p w:rsidR="00BA29B6" w:rsidRPr="00BA29B6" w:rsidRDefault="00BA29B6" w:rsidP="00A225DC">
      <w:pPr>
        <w:pStyle w:val="NewNormal"/>
        <w:numPr>
          <w:ilvl w:val="0"/>
          <w:numId w:val="5"/>
        </w:numPr>
      </w:pPr>
      <w:r w:rsidRPr="00BA29B6">
        <w:t>WearDataForDatamining.xlsx</w:t>
      </w:r>
    </w:p>
    <w:p w:rsidR="00BA29B6" w:rsidRPr="00BA29B6" w:rsidRDefault="00BA29B6" w:rsidP="00A225DC">
      <w:pPr>
        <w:pStyle w:val="NewNormal"/>
        <w:numPr>
          <w:ilvl w:val="0"/>
          <w:numId w:val="5"/>
        </w:numPr>
      </w:pPr>
      <w:r w:rsidRPr="00BA29B6">
        <w:t>WearCentres.xlsx</w:t>
      </w:r>
    </w:p>
    <w:p w:rsidR="00BA29B6" w:rsidRPr="00BA29B6" w:rsidRDefault="00BA29B6" w:rsidP="00A225DC">
      <w:pPr>
        <w:pStyle w:val="NewNormal"/>
        <w:numPr>
          <w:ilvl w:val="0"/>
          <w:numId w:val="5"/>
        </w:numPr>
      </w:pPr>
      <w:r w:rsidRPr="00BA29B6">
        <w:t>Wear_profiles\ (dossier)</w:t>
      </w:r>
    </w:p>
    <w:p w:rsidR="00BA29B6" w:rsidRPr="00BA29B6" w:rsidRDefault="00BA29B6" w:rsidP="00A225DC">
      <w:pPr>
        <w:pStyle w:val="Titre2"/>
      </w:pPr>
      <w:r w:rsidRPr="00BA29B6">
        <w:t>WearDataForDatamining.xlsx</w:t>
      </w:r>
    </w:p>
    <w:p w:rsidR="00BA29B6" w:rsidRPr="00BA29B6" w:rsidRDefault="00BA29B6" w:rsidP="00A225DC">
      <w:pPr>
        <w:pStyle w:val="NewNormal"/>
      </w:pPr>
      <w:r w:rsidRPr="00BA29B6">
        <w:t>Ce fichier Excel contient les données et caractéristiques de l'ensemble des brames et campagnes.</w:t>
      </w:r>
    </w:p>
    <w:p w:rsidR="00BA29B6" w:rsidRPr="00BA29B6" w:rsidRDefault="00BA29B6" w:rsidP="00A225DC">
      <w:pPr>
        <w:pStyle w:val="Titre3"/>
      </w:pPr>
      <w:r w:rsidRPr="00BA29B6">
        <w:t>Onglet Strips_data</w:t>
      </w:r>
    </w:p>
    <w:p w:rsidR="00BA29B6" w:rsidRPr="00BA29B6" w:rsidRDefault="00BA29B6" w:rsidP="00A225DC">
      <w:pPr>
        <w:pStyle w:val="NewNormal"/>
        <w:rPr>
          <w:lang w:val="en-GB"/>
        </w:rPr>
      </w:pPr>
      <w:r w:rsidRPr="00BA29B6">
        <w:t xml:space="preserve">Le premier onglet 'Strips_data' contient la liste de toutes les brames, chacune identifiée par son numéro de campagne (de 1 à 395) et son numéro au sein de la campagne (commençant à 1 jusqu'à maximum 306). Pour chaque brame, de nombreuses caractéristiques physiques sont présentes, en cas de non-compréhension de la nature physique d'une </w:t>
      </w:r>
      <w:r w:rsidR="00C10396" w:rsidRPr="00BA29B6">
        <w:t>des variables</w:t>
      </w:r>
      <w:r w:rsidRPr="00BA29B6">
        <w:t xml:space="preserve">, ne pas hésiter à revenir vers les équipes d'ArcelorMittal. </w:t>
      </w:r>
      <w:r w:rsidRPr="00C10396">
        <w:t xml:space="preserve">Quelques colonnes remarquables </w:t>
      </w:r>
      <w:r w:rsidR="00C10396" w:rsidRPr="00C10396">
        <w:t>sont</w:t>
      </w:r>
      <w:r w:rsidR="00C10396" w:rsidRPr="00BA29B6">
        <w:rPr>
          <w:lang w:val="en-GB"/>
        </w:rPr>
        <w:t xml:space="preserve"> :</w:t>
      </w:r>
    </w:p>
    <w:p w:rsidR="00BA29B6" w:rsidRPr="00BA29B6" w:rsidRDefault="00BA29B6" w:rsidP="00A225DC">
      <w:pPr>
        <w:pStyle w:val="NewNormal"/>
        <w:numPr>
          <w:ilvl w:val="0"/>
          <w:numId w:val="6"/>
        </w:numPr>
      </w:pPr>
      <w:r w:rsidRPr="00BA29B6">
        <w:t>Strip Grade Family</w:t>
      </w:r>
      <w:r w:rsidR="00B90757">
        <w:t xml:space="preserve"> </w:t>
      </w:r>
      <w:r w:rsidRPr="00BA29B6">
        <w:t>: Il s'agit d'une catégorisation réalisée 'à la main' par les équipes du site concerné.</w:t>
      </w:r>
    </w:p>
    <w:p w:rsidR="00BA29B6" w:rsidRPr="00BA29B6" w:rsidRDefault="00BA29B6" w:rsidP="00A225DC">
      <w:pPr>
        <w:pStyle w:val="NewNormal"/>
        <w:numPr>
          <w:ilvl w:val="0"/>
          <w:numId w:val="6"/>
        </w:numPr>
      </w:pPr>
      <w:r w:rsidRPr="00BA29B6">
        <w:t>Strip lengths</w:t>
      </w:r>
      <w:r w:rsidR="00B90757">
        <w:t xml:space="preserve"> </w:t>
      </w:r>
      <w:r w:rsidRPr="00BA29B6">
        <w:t>: Il ne faut pas oublier que lors du laminage, l'épaisseur de la brame diminuant, sa longueur augmente. Ainsi, pour chaque brame, sa longueur en sortie de la cage 6 n'est pas la même que celle en sortie de la cage 7. La longueur en sortie de la cage 5 correspond donc à celle en entrée de la cage 6.</w:t>
      </w:r>
    </w:p>
    <w:p w:rsidR="00BA29B6" w:rsidRPr="00BA29B6" w:rsidRDefault="00BA29B6" w:rsidP="00A225DC">
      <w:pPr>
        <w:pStyle w:val="NewNormal"/>
        <w:numPr>
          <w:ilvl w:val="0"/>
          <w:numId w:val="6"/>
        </w:numPr>
      </w:pPr>
      <w:r w:rsidRPr="00BA29B6">
        <w:t>Shifting</w:t>
      </w:r>
      <w:r w:rsidR="00C10396">
        <w:t xml:space="preserve"> </w:t>
      </w:r>
      <w:r w:rsidRPr="00BA29B6">
        <w:t>: Cette valeur correspond à un décalage de la brame par rapport au centre du rouleau, dans un objectif d'une meilleure répartition des forces le long du rouleau. Dans le cas d'une étude du profil d'usure, cette valeur peut être importante, auquel cas une discussion avec les équipes d'ArcelorMittal est recommandée pour clarifier les sens de décalage par rapport au rouleau.</w:t>
      </w:r>
    </w:p>
    <w:p w:rsidR="00BA29B6" w:rsidRPr="00BA29B6" w:rsidRDefault="00BA29B6" w:rsidP="00A225DC">
      <w:pPr>
        <w:pStyle w:val="NewNormal"/>
        <w:numPr>
          <w:ilvl w:val="0"/>
          <w:numId w:val="6"/>
        </w:numPr>
      </w:pPr>
      <w:r w:rsidRPr="00BA29B6">
        <w:t>Colonnes AS à BN</w:t>
      </w:r>
      <w:r w:rsidR="00C10396">
        <w:t xml:space="preserve"> </w:t>
      </w:r>
      <w:r w:rsidRPr="00BA29B6">
        <w:t xml:space="preserve">: Ces dernières valeurs correspondent à d'autres mesures ou à d'autres modèles (propres à l'usine) pour </w:t>
      </w:r>
      <w:r w:rsidR="00C10396" w:rsidRPr="00BA29B6">
        <w:t>certaines valeurs</w:t>
      </w:r>
      <w:r w:rsidRPr="00BA29B6">
        <w:t>, d'où leur mise à part.</w:t>
      </w:r>
    </w:p>
    <w:p w:rsidR="00BA29B6" w:rsidRPr="00BA29B6" w:rsidRDefault="00BA29B6" w:rsidP="00A225DC">
      <w:pPr>
        <w:pStyle w:val="Titre3"/>
      </w:pPr>
      <w:r w:rsidRPr="00BA29B6">
        <w:t>Onglet Campaign_data</w:t>
      </w:r>
    </w:p>
    <w:p w:rsidR="00BA29B6" w:rsidRPr="00BA29B6" w:rsidRDefault="00BA29B6" w:rsidP="00A225DC">
      <w:pPr>
        <w:pStyle w:val="NewNormal"/>
        <w:rPr>
          <w:lang w:val="en-GB"/>
        </w:rPr>
      </w:pPr>
      <w:r w:rsidRPr="00BA29B6">
        <w:t xml:space="preserve">Le second onglet 'Campaign_data' contient les données propres à chaque campagne, et peuvent être croisées avec celles du premier onglet, grâce au numéro de campagne (de 1 à 395). </w:t>
      </w:r>
      <w:r w:rsidR="00E03475">
        <w:t xml:space="preserve"> </w:t>
      </w:r>
      <w:r w:rsidR="00E03475" w:rsidRPr="00C10396">
        <w:t>Q</w:t>
      </w:r>
      <w:r w:rsidRPr="00C10396">
        <w:t xml:space="preserve">uelques colonnes </w:t>
      </w:r>
      <w:r w:rsidR="00C10396" w:rsidRPr="00C10396">
        <w:t>remarquables</w:t>
      </w:r>
      <w:r w:rsidR="00C10396" w:rsidRPr="00BA29B6">
        <w:rPr>
          <w:lang w:val="en-GB"/>
        </w:rPr>
        <w:t xml:space="preserve"> :</w:t>
      </w:r>
    </w:p>
    <w:p w:rsidR="00BA29B6" w:rsidRPr="00BA29B6" w:rsidRDefault="00BA29B6" w:rsidP="00A225DC">
      <w:pPr>
        <w:pStyle w:val="NewNormal"/>
        <w:numPr>
          <w:ilvl w:val="0"/>
          <w:numId w:val="7"/>
        </w:numPr>
      </w:pPr>
      <w:r w:rsidRPr="00BA29B6">
        <w:lastRenderedPageBreak/>
        <w:t xml:space="preserve">Line </w:t>
      </w:r>
      <w:r w:rsidR="00C10396" w:rsidRPr="00BA29B6">
        <w:t>Up :</w:t>
      </w:r>
      <w:r w:rsidRPr="00BA29B6">
        <w:t xml:space="preserve"> Comme pour les familles de brames, il s'agit d'une catégorisation des campagnes.</w:t>
      </w:r>
    </w:p>
    <w:p w:rsidR="00BA29B6" w:rsidRPr="00BA29B6" w:rsidRDefault="00BA29B6" w:rsidP="00A225DC">
      <w:pPr>
        <w:pStyle w:val="NewNormal"/>
        <w:numPr>
          <w:ilvl w:val="0"/>
          <w:numId w:val="7"/>
        </w:numPr>
      </w:pPr>
      <w:r w:rsidRPr="00BA29B6">
        <w:t xml:space="preserve">Colonnes J à </w:t>
      </w:r>
      <w:r w:rsidR="00C10396" w:rsidRPr="00BA29B6">
        <w:t>M :</w:t>
      </w:r>
      <w:r w:rsidRPr="00BA29B6">
        <w:t xml:space="preserve"> Nom du fournisseur et modèle du cylindre. Cette information peut être intéressante en tant que catégorisation (clustering) des rouleaux, et est utilisée dans les modèles internes d'ArcelorMittal.</w:t>
      </w:r>
    </w:p>
    <w:p w:rsidR="00BA29B6" w:rsidRPr="00BA29B6" w:rsidRDefault="00BA29B6" w:rsidP="00A225DC">
      <w:pPr>
        <w:pStyle w:val="NewNormal"/>
        <w:numPr>
          <w:ilvl w:val="0"/>
          <w:numId w:val="7"/>
        </w:numPr>
      </w:pPr>
      <w:r w:rsidRPr="00BA29B6">
        <w:t xml:space="preserve">Colonnes Y à </w:t>
      </w:r>
      <w:r w:rsidR="00C10396" w:rsidRPr="00BA29B6">
        <w:t>AH :</w:t>
      </w:r>
      <w:r w:rsidRPr="00BA29B6">
        <w:t xml:space="preserve"> Décompte pour chaque campagne du nombre de brames appartenant à chaque famille, spécifiées dans l'onglet précédent.</w:t>
      </w:r>
    </w:p>
    <w:p w:rsidR="00BA29B6" w:rsidRPr="00BA29B6" w:rsidRDefault="00BA29B6" w:rsidP="00A225DC">
      <w:pPr>
        <w:pStyle w:val="Titre2"/>
      </w:pPr>
      <w:r w:rsidRPr="00BA29B6">
        <w:t>WearCentres.xlsx</w:t>
      </w:r>
    </w:p>
    <w:p w:rsidR="00BA29B6" w:rsidRPr="00BA29B6" w:rsidRDefault="00BA29B6" w:rsidP="00A225DC">
      <w:pPr>
        <w:pStyle w:val="NewNormal"/>
      </w:pPr>
      <w:r w:rsidRPr="00BA29B6">
        <w:t>Ce fichier Excel contient tout simplement la mesure de l'usure au centre pour les quatre rouleaux de chaque campagne, toujours identifiées par leur numéro de 1 à 395.</w:t>
      </w:r>
    </w:p>
    <w:p w:rsidR="00BA29B6" w:rsidRPr="00BA29B6" w:rsidRDefault="00BA29B6" w:rsidP="00A225DC">
      <w:pPr>
        <w:pStyle w:val="NewNormal"/>
      </w:pPr>
      <w:r w:rsidRPr="00BA29B6">
        <w:t xml:space="preserve">Beaucoup de valeur sont manquantes, et (d'après quelques observations personnelles), certaines pourraient être aberrantes (notamment quelques valeurs négatives). Mais le tri et traitement est laissé au soin du </w:t>
      </w:r>
      <w:r w:rsidR="00B8256C">
        <w:t>D</w:t>
      </w:r>
      <w:r w:rsidRPr="00BA29B6">
        <w:t xml:space="preserve">ata </w:t>
      </w:r>
      <w:r w:rsidR="00B8256C">
        <w:t>A</w:t>
      </w:r>
      <w:r w:rsidRPr="00BA29B6">
        <w:t>nalyst et les données sont livrées brutes.</w:t>
      </w:r>
    </w:p>
    <w:p w:rsidR="00BA29B6" w:rsidRPr="00BA29B6" w:rsidRDefault="00BA29B6" w:rsidP="00A225DC">
      <w:pPr>
        <w:pStyle w:val="Titre2"/>
      </w:pPr>
      <w:r w:rsidRPr="00BA29B6">
        <w:t>Dossier Wear_profiles\</w:t>
      </w:r>
    </w:p>
    <w:p w:rsidR="00BA29B6" w:rsidRPr="00BA29B6" w:rsidRDefault="00BA29B6" w:rsidP="00A225DC">
      <w:pPr>
        <w:pStyle w:val="NewNormal"/>
      </w:pPr>
      <w:r w:rsidRPr="00BA29B6">
        <w:t xml:space="preserve">Ce dossier contient un fichier Excel par campagnes (quelques campagnes sont manquantes néanmoins), chaque fichier contenant les mesures des </w:t>
      </w:r>
      <w:r w:rsidR="00B8256C" w:rsidRPr="00BA29B6">
        <w:t>profils</w:t>
      </w:r>
      <w:r w:rsidRPr="00BA29B6">
        <w:t xml:space="preserve"> d'usure pour les quatre rouleaux.</w:t>
      </w:r>
    </w:p>
    <w:p w:rsidR="00BA29B6" w:rsidRPr="00BA29B6" w:rsidRDefault="00BA29B6" w:rsidP="00A225DC">
      <w:pPr>
        <w:pStyle w:val="NewNormal"/>
      </w:pPr>
      <w:r w:rsidRPr="00BA29B6">
        <w:t>Les profils d'usures sont mesurés une fois le rouleau enlevé de la ligne et refroidi, avant qu'il ne soit corrigé pour revenir à une forme 'neuve' et réutilisé pour une prochaine campagne. Ils sont mesurés sur 64 points le long du rouleau, et dans les fichiers, une abscisse est liée à chaque point de mesure.</w:t>
      </w:r>
    </w:p>
    <w:p w:rsidR="00BA29B6" w:rsidRPr="00BA29B6" w:rsidRDefault="00BA29B6" w:rsidP="00A225DC">
      <w:pPr>
        <w:pStyle w:val="NewNormal"/>
      </w:pPr>
      <w:r w:rsidRPr="00BA29B6">
        <w:t>Chaque fichier contient deux onglets f6 et f7 (les premiers onglets) contenant les mesures pour les rouleaux </w:t>
      </w:r>
      <w:r w:rsidRPr="00BA29B6">
        <w:rPr>
          <w:i/>
          <w:iCs/>
        </w:rPr>
        <w:t>top</w:t>
      </w:r>
      <w:r w:rsidRPr="00BA29B6">
        <w:t> et </w:t>
      </w:r>
      <w:r w:rsidRPr="00BA29B6">
        <w:rPr>
          <w:i/>
          <w:iCs/>
        </w:rPr>
        <w:t>bottom</w:t>
      </w:r>
      <w:r w:rsidRPr="00BA29B6">
        <w:t>. Pour chaque rouleau (F6t, F6b, etc.) sont présents le profil avant la campagne (FIRST FRESH GROUND), après la campagne (Adjusted Profile) et après correction (avant d'être réutilisé pour une prochaine campagne, Real Profile - 2ND FRESH GROUND). La valeur qui nous intéresse étant l'usure, c'est à dire la quantité de matière enlevée, elle est obtenue en soustrayant le profile après campagne au profil avant campagne. </w:t>
      </w:r>
      <w:r w:rsidRPr="00BA29B6">
        <w:rPr>
          <w:b/>
          <w:bCs/>
        </w:rPr>
        <w:t>Cette mesure de l'usure est présente dans la colonne appelée </w:t>
      </w:r>
      <w:r w:rsidRPr="00BA29B6">
        <w:rPr>
          <w:b/>
          <w:bCs/>
          <w:i/>
          <w:iCs/>
        </w:rPr>
        <w:t>Top Wear, mm</w:t>
      </w:r>
      <w:r w:rsidRPr="00BA29B6">
        <w:rPr>
          <w:b/>
          <w:bCs/>
        </w:rPr>
        <w:t> ou </w:t>
      </w:r>
      <w:r w:rsidRPr="00BA29B6">
        <w:rPr>
          <w:b/>
          <w:bCs/>
          <w:i/>
          <w:iCs/>
        </w:rPr>
        <w:t>Bottom Wear, mm</w:t>
      </w:r>
    </w:p>
    <w:p w:rsidR="00863DFD" w:rsidRPr="00BA29B6" w:rsidRDefault="00863DFD" w:rsidP="00BA29B6">
      <w:pPr>
        <w:spacing w:line="240" w:lineRule="auto"/>
        <w:rPr>
          <w:rFonts w:cs="Arial"/>
          <w:sz w:val="22"/>
          <w:szCs w:val="22"/>
          <w:lang w:val="fr-FR"/>
        </w:rPr>
      </w:pPr>
    </w:p>
    <w:sectPr w:rsidR="00863DFD" w:rsidRPr="00BA29B6" w:rsidSect="00EE75C5">
      <w:headerReference w:type="default" r:id="rId13"/>
      <w:footerReference w:type="default" r:id="rId14"/>
      <w:headerReference w:type="first" r:id="rId15"/>
      <w:footerReference w:type="first" r:id="rId16"/>
      <w:type w:val="continuous"/>
      <w:pgSz w:w="11906" w:h="16838" w:code="9"/>
      <w:pgMar w:top="3062" w:right="851" w:bottom="1985" w:left="1588" w:header="567" w:footer="136"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992" w:rsidRDefault="00B05992">
      <w:pPr>
        <w:spacing w:line="240" w:lineRule="auto"/>
      </w:pPr>
      <w:r>
        <w:separator/>
      </w:r>
    </w:p>
    <w:p w:rsidR="00B05992" w:rsidRDefault="00B05992"/>
  </w:endnote>
  <w:endnote w:type="continuationSeparator" w:id="0">
    <w:p w:rsidR="00B05992" w:rsidRDefault="00B05992">
      <w:pPr>
        <w:spacing w:line="240" w:lineRule="auto"/>
      </w:pPr>
      <w:r>
        <w:continuationSeparator/>
      </w:r>
    </w:p>
    <w:p w:rsidR="00B05992" w:rsidRDefault="00B05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undrySterling-Book">
    <w:panose1 w:val="00000400000000000000"/>
    <w:charset w:val="00"/>
    <w:family w:val="auto"/>
    <w:pitch w:val="variable"/>
    <w:sig w:usb0="800000A7" w:usb1="0000004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AG Rounded Light">
    <w:altName w:val="Century Gothic"/>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900058289"/>
      <w:docPartObj>
        <w:docPartGallery w:val="Page Numbers (Bottom of Page)"/>
        <w:docPartUnique/>
      </w:docPartObj>
    </w:sdtPr>
    <w:sdtEndPr/>
    <w:sdtContent>
      <w:p w:rsidR="00C66010" w:rsidRPr="00861B8E" w:rsidRDefault="007876F5" w:rsidP="007876F5">
        <w:pPr>
          <w:pStyle w:val="Pieddepage"/>
          <w:jc w:val="right"/>
          <w:rPr>
            <w:rFonts w:cs="Arial"/>
          </w:rPr>
        </w:pPr>
        <w:r w:rsidRPr="00861B8E">
          <w:rPr>
            <w:rFonts w:cs="Arial"/>
          </w:rPr>
          <w:fldChar w:fldCharType="begin"/>
        </w:r>
        <w:r w:rsidRPr="00861B8E">
          <w:rPr>
            <w:rFonts w:cs="Arial"/>
          </w:rPr>
          <w:instrText>PAGE   \* MERGEFORMAT</w:instrText>
        </w:r>
        <w:r w:rsidRPr="00861B8E">
          <w:rPr>
            <w:rFonts w:cs="Arial"/>
          </w:rPr>
          <w:fldChar w:fldCharType="separate"/>
        </w:r>
        <w:r w:rsidR="0044551D" w:rsidRPr="0044551D">
          <w:rPr>
            <w:rFonts w:cs="Arial"/>
            <w:noProof/>
            <w:lang w:val="fr-FR"/>
          </w:rPr>
          <w:t>2</w:t>
        </w:r>
        <w:r w:rsidRPr="00861B8E">
          <w:rPr>
            <w:rFonts w:cs="Arial"/>
          </w:rPr>
          <w:fldChar w:fldCharType="end"/>
        </w:r>
      </w:p>
      <w:tbl>
        <w:tblPr>
          <w:tblW w:w="11624" w:type="dxa"/>
          <w:tblCellMar>
            <w:left w:w="0" w:type="dxa"/>
            <w:right w:w="0" w:type="dxa"/>
          </w:tblCellMar>
          <w:tblLook w:val="01E0" w:firstRow="1" w:lastRow="1" w:firstColumn="1" w:lastColumn="1" w:noHBand="0" w:noVBand="0"/>
        </w:tblPr>
        <w:tblGrid>
          <w:gridCol w:w="2835"/>
          <w:gridCol w:w="2835"/>
          <w:gridCol w:w="2835"/>
          <w:gridCol w:w="3119"/>
        </w:tblGrid>
        <w:tr w:rsidR="00725976" w:rsidRPr="008D5691" w:rsidTr="00725976">
          <w:trPr>
            <w:trHeight w:val="1180"/>
          </w:trPr>
          <w:tc>
            <w:tcPr>
              <w:tcW w:w="2835" w:type="dxa"/>
            </w:tcPr>
            <w:p w:rsidR="00725976" w:rsidRPr="0093387A" w:rsidRDefault="00725976" w:rsidP="00725976">
              <w:pPr>
                <w:pStyle w:val="Pieddepage"/>
                <w:rPr>
                  <w:rStyle w:val="FooterBold"/>
                  <w:lang w:val="en-US"/>
                </w:rPr>
              </w:pPr>
              <w:r w:rsidRPr="0093387A">
                <w:rPr>
                  <w:rStyle w:val="FooterBold"/>
                  <w:lang w:val="en-US"/>
                </w:rPr>
                <w:t>ArcelorMittal Maizières Research SA</w:t>
              </w:r>
            </w:p>
            <w:p w:rsidR="00725976" w:rsidRPr="0093387A" w:rsidRDefault="00725976" w:rsidP="00725976">
              <w:pPr>
                <w:pStyle w:val="Pieddepage"/>
                <w:rPr>
                  <w:szCs w:val="15"/>
                  <w:lang w:val="en-US"/>
                </w:rPr>
              </w:pPr>
              <w:r w:rsidRPr="0093387A">
                <w:rPr>
                  <w:lang w:val="en-US"/>
                </w:rPr>
                <w:t>BP 30320</w:t>
              </w:r>
            </w:p>
            <w:p w:rsidR="00725976" w:rsidRPr="0093387A" w:rsidRDefault="00725976" w:rsidP="00725976">
              <w:pPr>
                <w:pStyle w:val="Pieddepage"/>
                <w:rPr>
                  <w:szCs w:val="15"/>
                  <w:lang w:val="fr-FR"/>
                </w:rPr>
              </w:pPr>
              <w:r w:rsidRPr="0093387A">
                <w:rPr>
                  <w:lang w:val="fr-FR"/>
                </w:rPr>
                <w:t>Voie Romaine</w:t>
              </w:r>
            </w:p>
            <w:p w:rsidR="00725976" w:rsidRPr="0093387A" w:rsidRDefault="00725976" w:rsidP="00725976">
              <w:pPr>
                <w:pStyle w:val="Pieddepage"/>
                <w:rPr>
                  <w:szCs w:val="15"/>
                  <w:lang w:val="fr-FR"/>
                </w:rPr>
              </w:pPr>
              <w:r w:rsidRPr="0093387A">
                <w:rPr>
                  <w:lang w:val="fr-FR"/>
                </w:rPr>
                <w:t>57283 Maizières-lès-Metz Cedex</w:t>
              </w:r>
            </w:p>
            <w:p w:rsidR="00725976" w:rsidRPr="0093387A" w:rsidRDefault="00725976" w:rsidP="00725976">
              <w:pPr>
                <w:pStyle w:val="Pieddepage"/>
                <w:rPr>
                  <w:rFonts w:cs="Arial"/>
                  <w:szCs w:val="15"/>
                  <w:lang w:val="fr-FR"/>
                </w:rPr>
              </w:pPr>
              <w:smartTag w:uri="urn:schemas-microsoft-com:office:smarttags" w:element="place">
                <w:smartTag w:uri="urn:schemas-microsoft-com:office:smarttags" w:element="country-region">
                  <w:r w:rsidRPr="0093387A">
                    <w:t>France</w:t>
                  </w:r>
                </w:smartTag>
              </w:smartTag>
            </w:p>
          </w:tc>
          <w:tc>
            <w:tcPr>
              <w:tcW w:w="2835" w:type="dxa"/>
            </w:tcPr>
            <w:p w:rsidR="00725976" w:rsidRPr="0093387A" w:rsidRDefault="00725976" w:rsidP="00725976">
              <w:pPr>
                <w:pStyle w:val="Pieddepage"/>
                <w:rPr>
                  <w:szCs w:val="15"/>
                  <w:lang w:val="fr-FR"/>
                </w:rPr>
              </w:pPr>
              <w:r w:rsidRPr="0093387A">
                <w:rPr>
                  <w:rStyle w:val="FooterBold"/>
                  <w:lang w:val="fr-FR"/>
                </w:rPr>
                <w:t>T</w:t>
              </w:r>
              <w:r w:rsidRPr="0093387A">
                <w:t> </w:t>
              </w:r>
              <w:r w:rsidRPr="0093387A">
                <w:rPr>
                  <w:lang w:val="fr-FR"/>
                </w:rPr>
                <w:t>+33 (0)3 87 70 40 00</w:t>
              </w:r>
            </w:p>
            <w:p w:rsidR="00725976" w:rsidRPr="0093387A" w:rsidRDefault="00725976" w:rsidP="00725976">
              <w:pPr>
                <w:pStyle w:val="Pieddepage"/>
                <w:rPr>
                  <w:szCs w:val="15"/>
                  <w:lang w:val="fr-FR"/>
                </w:rPr>
              </w:pPr>
              <w:r w:rsidRPr="0093387A">
                <w:rPr>
                  <w:rStyle w:val="FooterBold"/>
                  <w:lang w:val="fr-FR"/>
                </w:rPr>
                <w:t>F</w:t>
              </w:r>
              <w:r w:rsidRPr="0093387A">
                <w:t> </w:t>
              </w:r>
              <w:r w:rsidRPr="0093387A">
                <w:rPr>
                  <w:lang w:val="fr-FR"/>
                </w:rPr>
                <w:t>+33 (0)3 87 70 41 10</w:t>
              </w:r>
            </w:p>
            <w:p w:rsidR="00725976" w:rsidRPr="0093387A" w:rsidRDefault="007876F5" w:rsidP="00725976">
              <w:pPr>
                <w:pStyle w:val="Pieddepage"/>
                <w:rPr>
                  <w:szCs w:val="15"/>
                  <w:lang w:val="fr-FR"/>
                </w:rPr>
              </w:pPr>
              <w:r w:rsidRPr="0093387A">
                <w:rPr>
                  <w:lang w:val="fr-FR"/>
                </w:rPr>
                <w:t>corporate</w:t>
              </w:r>
              <w:r w:rsidR="00725976" w:rsidRPr="0093387A">
                <w:rPr>
                  <w:lang w:val="fr-FR"/>
                </w:rPr>
                <w:t>.arcelormittal.com</w:t>
              </w:r>
            </w:p>
            <w:p w:rsidR="00725976" w:rsidRPr="0093387A" w:rsidRDefault="00725976" w:rsidP="00725976">
              <w:pPr>
                <w:pStyle w:val="Pieddepage"/>
                <w:rPr>
                  <w:rFonts w:cs="Arial"/>
                  <w:szCs w:val="15"/>
                  <w:lang w:val="fr-FR"/>
                </w:rPr>
              </w:pPr>
            </w:p>
          </w:tc>
          <w:tc>
            <w:tcPr>
              <w:tcW w:w="2835" w:type="dxa"/>
            </w:tcPr>
            <w:p w:rsidR="00725976" w:rsidRPr="00861B8E" w:rsidRDefault="00725976" w:rsidP="00725976">
              <w:pPr>
                <w:pStyle w:val="Pieddepage"/>
                <w:rPr>
                  <w:rFonts w:cs="Arial"/>
                  <w:szCs w:val="15"/>
                  <w:lang w:val="fr-FR"/>
                </w:rPr>
              </w:pPr>
            </w:p>
          </w:tc>
          <w:tc>
            <w:tcPr>
              <w:tcW w:w="3119" w:type="dxa"/>
            </w:tcPr>
            <w:p w:rsidR="00725976" w:rsidRPr="00861B8E" w:rsidRDefault="00725976" w:rsidP="00725976">
              <w:pPr>
                <w:pStyle w:val="Footer89"/>
                <w:spacing w:line="180" w:lineRule="exact"/>
                <w:rPr>
                  <w:rFonts w:cs="Arial"/>
                  <w:lang w:val="fr-FR"/>
                </w:rPr>
              </w:pPr>
            </w:p>
          </w:tc>
        </w:tr>
      </w:tbl>
      <w:p w:rsidR="00C66010" w:rsidRPr="00861B8E" w:rsidRDefault="00B05992" w:rsidP="007876F5">
        <w:pPr>
          <w:pStyle w:val="Pieddepage"/>
          <w:rPr>
            <w:rFonts w:cs="Arial"/>
          </w:rPr>
        </w:pPr>
      </w:p>
    </w:sdtContent>
  </w:sdt>
  <w:p w:rsidR="00000000" w:rsidRDefault="00B059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892807920"/>
      <w:docPartObj>
        <w:docPartGallery w:val="Page Numbers (Bottom of Page)"/>
        <w:docPartUnique/>
      </w:docPartObj>
    </w:sdtPr>
    <w:sdtEndPr/>
    <w:sdtContent>
      <w:p w:rsidR="00C66010" w:rsidRPr="00A54EE5" w:rsidRDefault="007F34D7" w:rsidP="007876F5">
        <w:pPr>
          <w:pStyle w:val="Pieddepage"/>
          <w:jc w:val="right"/>
          <w:rPr>
            <w:rFonts w:cs="Arial"/>
          </w:rPr>
        </w:pPr>
        <w:r>
          <w:rPr>
            <w:rFonts w:cs="Arial"/>
          </w:rPr>
          <w:t>1</w:t>
        </w:r>
      </w:p>
      <w:tbl>
        <w:tblPr>
          <w:tblW w:w="11624" w:type="dxa"/>
          <w:tblCellMar>
            <w:left w:w="0" w:type="dxa"/>
            <w:right w:w="0" w:type="dxa"/>
          </w:tblCellMar>
          <w:tblLook w:val="01E0" w:firstRow="1" w:lastRow="1" w:firstColumn="1" w:lastColumn="1" w:noHBand="0" w:noVBand="0"/>
        </w:tblPr>
        <w:tblGrid>
          <w:gridCol w:w="2835"/>
          <w:gridCol w:w="2835"/>
          <w:gridCol w:w="2835"/>
          <w:gridCol w:w="3119"/>
        </w:tblGrid>
        <w:tr w:rsidR="00725976" w:rsidRPr="008D5691" w:rsidTr="00725976">
          <w:trPr>
            <w:trHeight w:val="1180"/>
          </w:trPr>
          <w:tc>
            <w:tcPr>
              <w:tcW w:w="2835" w:type="dxa"/>
            </w:tcPr>
            <w:p w:rsidR="00725976" w:rsidRPr="0093387A" w:rsidRDefault="00725976" w:rsidP="00725976">
              <w:pPr>
                <w:pStyle w:val="Pieddepage"/>
                <w:rPr>
                  <w:rStyle w:val="FooterBold"/>
                  <w:lang w:val="en-US"/>
                </w:rPr>
              </w:pPr>
              <w:r w:rsidRPr="0093387A">
                <w:rPr>
                  <w:rStyle w:val="FooterBold"/>
                  <w:lang w:val="en-US"/>
                </w:rPr>
                <w:t>ArcelorMittal Maizières Research SA</w:t>
              </w:r>
            </w:p>
            <w:p w:rsidR="00725976" w:rsidRPr="0093387A" w:rsidRDefault="00725976" w:rsidP="00725976">
              <w:pPr>
                <w:pStyle w:val="Pieddepage"/>
                <w:rPr>
                  <w:szCs w:val="15"/>
                  <w:lang w:val="en-US"/>
                </w:rPr>
              </w:pPr>
              <w:r w:rsidRPr="0093387A">
                <w:rPr>
                  <w:lang w:val="en-US"/>
                </w:rPr>
                <w:t>BP 30320</w:t>
              </w:r>
            </w:p>
            <w:p w:rsidR="00725976" w:rsidRPr="0093387A" w:rsidRDefault="00725976" w:rsidP="00725976">
              <w:pPr>
                <w:pStyle w:val="Pieddepage"/>
                <w:rPr>
                  <w:szCs w:val="15"/>
                  <w:lang w:val="fr-FR"/>
                </w:rPr>
              </w:pPr>
              <w:r w:rsidRPr="0093387A">
                <w:rPr>
                  <w:lang w:val="fr-FR"/>
                </w:rPr>
                <w:t>Voie Romaine</w:t>
              </w:r>
            </w:p>
            <w:p w:rsidR="00725976" w:rsidRPr="0093387A" w:rsidRDefault="00725976" w:rsidP="00725976">
              <w:pPr>
                <w:pStyle w:val="Pieddepage"/>
                <w:rPr>
                  <w:szCs w:val="15"/>
                  <w:lang w:val="fr-FR"/>
                </w:rPr>
              </w:pPr>
              <w:r w:rsidRPr="0093387A">
                <w:rPr>
                  <w:lang w:val="fr-FR"/>
                </w:rPr>
                <w:t>57283 Maizières-lès-Metz Cedex</w:t>
              </w:r>
            </w:p>
            <w:p w:rsidR="00725976" w:rsidRPr="0093387A" w:rsidRDefault="00725976" w:rsidP="00725976">
              <w:pPr>
                <w:pStyle w:val="Pieddepage"/>
                <w:rPr>
                  <w:rFonts w:cs="Arial"/>
                  <w:szCs w:val="15"/>
                  <w:lang w:val="fr-FR"/>
                </w:rPr>
              </w:pPr>
              <w:smartTag w:uri="urn:schemas-microsoft-com:office:smarttags" w:element="place">
                <w:smartTag w:uri="urn:schemas-microsoft-com:office:smarttags" w:element="country-region">
                  <w:r w:rsidRPr="0093387A">
                    <w:t>France</w:t>
                  </w:r>
                </w:smartTag>
              </w:smartTag>
            </w:p>
          </w:tc>
          <w:tc>
            <w:tcPr>
              <w:tcW w:w="2835" w:type="dxa"/>
            </w:tcPr>
            <w:p w:rsidR="00725976" w:rsidRPr="0093387A" w:rsidRDefault="00725976" w:rsidP="00725976">
              <w:pPr>
                <w:pStyle w:val="Pieddepage"/>
                <w:rPr>
                  <w:szCs w:val="15"/>
                  <w:lang w:val="fr-FR"/>
                </w:rPr>
              </w:pPr>
              <w:r w:rsidRPr="0093387A">
                <w:rPr>
                  <w:rStyle w:val="FooterBold"/>
                  <w:lang w:val="fr-FR"/>
                </w:rPr>
                <w:t>T</w:t>
              </w:r>
              <w:r w:rsidRPr="0093387A">
                <w:t> </w:t>
              </w:r>
              <w:r w:rsidRPr="0093387A">
                <w:rPr>
                  <w:lang w:val="fr-FR"/>
                </w:rPr>
                <w:t>+33 (0)3 87 70 40 00</w:t>
              </w:r>
            </w:p>
            <w:p w:rsidR="00725976" w:rsidRPr="0093387A" w:rsidRDefault="00725976" w:rsidP="00725976">
              <w:pPr>
                <w:pStyle w:val="Pieddepage"/>
                <w:rPr>
                  <w:szCs w:val="15"/>
                  <w:lang w:val="fr-FR"/>
                </w:rPr>
              </w:pPr>
              <w:r w:rsidRPr="0093387A">
                <w:rPr>
                  <w:rStyle w:val="FooterBold"/>
                  <w:lang w:val="fr-FR"/>
                </w:rPr>
                <w:t>F</w:t>
              </w:r>
              <w:r w:rsidRPr="0093387A">
                <w:t> </w:t>
              </w:r>
              <w:r w:rsidRPr="0093387A">
                <w:rPr>
                  <w:lang w:val="fr-FR"/>
                </w:rPr>
                <w:t>+33 (0)3 87 70 41 10</w:t>
              </w:r>
            </w:p>
            <w:p w:rsidR="00725976" w:rsidRPr="0093387A" w:rsidRDefault="007876F5" w:rsidP="00725976">
              <w:pPr>
                <w:pStyle w:val="Pieddepage"/>
                <w:rPr>
                  <w:szCs w:val="15"/>
                  <w:lang w:val="fr-FR"/>
                </w:rPr>
              </w:pPr>
              <w:r w:rsidRPr="0093387A">
                <w:rPr>
                  <w:lang w:val="fr-FR"/>
                </w:rPr>
                <w:t>corporate</w:t>
              </w:r>
              <w:r w:rsidR="00725976" w:rsidRPr="0093387A">
                <w:rPr>
                  <w:lang w:val="fr-FR"/>
                </w:rPr>
                <w:t>.arcelormittal.com</w:t>
              </w:r>
            </w:p>
            <w:p w:rsidR="00725976" w:rsidRPr="0093387A" w:rsidRDefault="00725976" w:rsidP="00725976">
              <w:pPr>
                <w:pStyle w:val="Pieddepage"/>
                <w:rPr>
                  <w:rFonts w:cs="Arial"/>
                  <w:szCs w:val="15"/>
                  <w:lang w:val="fr-FR"/>
                </w:rPr>
              </w:pPr>
            </w:p>
          </w:tc>
          <w:tc>
            <w:tcPr>
              <w:tcW w:w="2835" w:type="dxa"/>
            </w:tcPr>
            <w:p w:rsidR="00725976" w:rsidRPr="00A54EE5" w:rsidRDefault="00725976" w:rsidP="00725976">
              <w:pPr>
                <w:pStyle w:val="Pieddepage"/>
                <w:rPr>
                  <w:rFonts w:cs="Arial"/>
                  <w:szCs w:val="15"/>
                  <w:lang w:val="fr-FR"/>
                </w:rPr>
              </w:pPr>
            </w:p>
          </w:tc>
          <w:tc>
            <w:tcPr>
              <w:tcW w:w="3119" w:type="dxa"/>
            </w:tcPr>
            <w:p w:rsidR="00725976" w:rsidRPr="00A54EE5" w:rsidRDefault="00725976" w:rsidP="00725976">
              <w:pPr>
                <w:pStyle w:val="Footer89"/>
                <w:spacing w:line="180" w:lineRule="exact"/>
                <w:rPr>
                  <w:rFonts w:cs="Arial"/>
                  <w:lang w:val="fr-FR"/>
                </w:rPr>
              </w:pPr>
            </w:p>
          </w:tc>
        </w:tr>
      </w:tbl>
      <w:p w:rsidR="00C66010" w:rsidRPr="00A54EE5" w:rsidRDefault="00B05992">
        <w:pPr>
          <w:pStyle w:val="Pieddepage"/>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992" w:rsidRDefault="00B05992">
      <w:pPr>
        <w:spacing w:line="240" w:lineRule="auto"/>
      </w:pPr>
      <w:r>
        <w:separator/>
      </w:r>
    </w:p>
    <w:p w:rsidR="00B05992" w:rsidRDefault="00B05992"/>
  </w:footnote>
  <w:footnote w:type="continuationSeparator" w:id="0">
    <w:p w:rsidR="00B05992" w:rsidRDefault="00B05992">
      <w:pPr>
        <w:spacing w:line="240" w:lineRule="auto"/>
      </w:pPr>
      <w:r>
        <w:continuationSeparator/>
      </w:r>
    </w:p>
    <w:p w:rsidR="00B05992" w:rsidRDefault="00B05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74D" w:rsidRDefault="0099355F">
    <w:pPr>
      <w:pStyle w:val="En-tte"/>
    </w:pPr>
    <w:r>
      <w:rPr>
        <w:noProof/>
        <w:lang w:val="fr-FR" w:eastAsia="fr-FR"/>
      </w:rPr>
      <mc:AlternateContent>
        <mc:Choice Requires="wps">
          <w:drawing>
            <wp:anchor distT="0" distB="0" distL="114300" distR="114300" simplePos="0" relativeHeight="251667456" behindDoc="0" locked="1" layoutInCell="1" allowOverlap="1" wp14:anchorId="0F2BFE11" wp14:editId="25BE7C70">
              <wp:simplePos x="0" y="0"/>
              <wp:positionH relativeFrom="column">
                <wp:posOffset>-2908617</wp:posOffset>
              </wp:positionH>
              <wp:positionV relativeFrom="paragraph">
                <wp:posOffset>5045392</wp:posOffset>
              </wp:positionV>
              <wp:extent cx="4588510" cy="421005"/>
              <wp:effectExtent l="3175" t="0" r="4445" b="2540"/>
              <wp:wrapNone/>
              <wp:docPr id="10" name="Rectangle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8851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
                            <a:solidFill>
                              <a:srgbClr val="000000"/>
                            </a:solidFill>
                            <a:miter lim="800000"/>
                            <a:headEnd/>
                            <a:tailEnd/>
                          </a14:hiddenLine>
                        </a:ext>
                      </a:extLst>
                    </wps:spPr>
                    <wps:txbx>
                      <w:txbxContent>
                        <w:p w:rsidR="0099355F" w:rsidRPr="0093387A" w:rsidRDefault="001A70E3" w:rsidP="0099355F">
                          <w:pPr>
                            <w:pStyle w:val="HeaderRoman"/>
                            <w:spacing w:before="100" w:beforeAutospacing="1" w:after="100" w:afterAutospacing="1" w:line="240" w:lineRule="auto"/>
                            <w:contextualSpacing/>
                            <w:jc w:val="center"/>
                            <w:rPr>
                              <w:rFonts w:cs="Arial"/>
                              <w:spacing w:val="0"/>
                              <w:sz w:val="14"/>
                              <w:szCs w:val="14"/>
                            </w:rPr>
                          </w:pPr>
                          <w:r>
                            <w:rPr>
                              <w:rFonts w:cs="Arial"/>
                              <w:spacing w:val="0"/>
                              <w:sz w:val="14"/>
                              <w:szCs w:val="14"/>
                            </w:rPr>
                            <w:t>© 2019</w:t>
                          </w:r>
                          <w:r w:rsidR="0099355F" w:rsidRPr="0093387A">
                            <w:rPr>
                              <w:rFonts w:cs="Arial"/>
                              <w:spacing w:val="0"/>
                              <w:sz w:val="14"/>
                              <w:szCs w:val="14"/>
                            </w:rPr>
                            <w:t xml:space="preserve"> – ArcelorMittal – All rights reserved all countries</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Cannot be disclosed, used, or reproduced without prior written specific authorisation by ArcelorMittal</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CONFIDENTIAL – Privileged Information – ArcelorMittal's proprietary information</w:t>
                          </w:r>
                        </w:p>
                        <w:p w:rsidR="0099355F" w:rsidRPr="0093387A" w:rsidRDefault="0099355F" w:rsidP="0099355F">
                          <w:pPr>
                            <w:spacing w:before="100" w:beforeAutospacing="1" w:after="100" w:afterAutospacing="1" w:line="240" w:lineRule="auto"/>
                            <w:contextualSpacing/>
                            <w:rPr>
                              <w:rFonts w:asciiTheme="minorHAnsi" w:hAnsiTheme="minorHAnsi"/>
                              <w:color w:val="414141"/>
                              <w:sz w:val="14"/>
                              <w:szCs w:val="14"/>
                            </w:rPr>
                          </w:pPr>
                        </w:p>
                        <w:p w:rsidR="0099355F" w:rsidRPr="0093387A" w:rsidRDefault="0099355F" w:rsidP="0099355F">
                          <w:pPr>
                            <w:pStyle w:val="HeaderRoman"/>
                            <w:spacing w:before="100" w:beforeAutospacing="1" w:after="100" w:afterAutospacing="1" w:line="240" w:lineRule="auto"/>
                            <w:contextualSpacing/>
                            <w:jc w:val="center"/>
                            <w:rPr>
                              <w:rFonts w:cs="Arial"/>
                              <w:spacing w:val="0"/>
                              <w:sz w:val="16"/>
                              <w:szCs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BFE11" id="Rectangle 1027" o:spid="_x0000_s1026" style="position:absolute;margin-left:-229pt;margin-top:397.25pt;width:361.3pt;height:33.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" filled="f" stroked="f" strokeweight=".01pt">
              <v:textbox style="layout-flow:vertical;mso-layout-flow-alt:bottom-to-top" inset="0,0,0,0">
                <w:txbxContent>
                  <w:p w:rsidR="0099355F" w:rsidRPr="0093387A" w:rsidRDefault="001A70E3" w:rsidP="0099355F">
                    <w:pPr>
                      <w:pStyle w:val="HeaderRoman"/>
                      <w:spacing w:before="100" w:beforeAutospacing="1" w:after="100" w:afterAutospacing="1" w:line="240" w:lineRule="auto"/>
                      <w:contextualSpacing/>
                      <w:jc w:val="center"/>
                      <w:rPr>
                        <w:rFonts w:cs="Arial"/>
                        <w:spacing w:val="0"/>
                        <w:sz w:val="14"/>
                        <w:szCs w:val="14"/>
                      </w:rPr>
                    </w:pPr>
                    <w:r>
                      <w:rPr>
                        <w:rFonts w:cs="Arial"/>
                        <w:spacing w:val="0"/>
                        <w:sz w:val="14"/>
                        <w:szCs w:val="14"/>
                      </w:rPr>
                      <w:t>© 2019</w:t>
                    </w:r>
                    <w:r w:rsidR="0099355F" w:rsidRPr="0093387A">
                      <w:rPr>
                        <w:rFonts w:cs="Arial"/>
                        <w:spacing w:val="0"/>
                        <w:sz w:val="14"/>
                        <w:szCs w:val="14"/>
                      </w:rPr>
                      <w:t xml:space="preserve"> – ArcelorMittal – All rights reserved all countries</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Cannot be disclosed, used, or reproduced without prior written specific authorisation by ArcelorMittal</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CONFIDENTIAL – Privileged Information – ArcelorMittal's proprietary information</w:t>
                    </w:r>
                  </w:p>
                  <w:p w:rsidR="0099355F" w:rsidRPr="0093387A" w:rsidRDefault="0099355F" w:rsidP="0099355F">
                    <w:pPr>
                      <w:spacing w:before="100" w:beforeAutospacing="1" w:after="100" w:afterAutospacing="1" w:line="240" w:lineRule="auto"/>
                      <w:contextualSpacing/>
                      <w:rPr>
                        <w:rFonts w:asciiTheme="minorHAnsi" w:hAnsiTheme="minorHAnsi"/>
                        <w:color w:val="414141"/>
                        <w:sz w:val="14"/>
                        <w:szCs w:val="14"/>
                      </w:rPr>
                    </w:pPr>
                  </w:p>
                  <w:p w:rsidR="0099355F" w:rsidRPr="0093387A" w:rsidRDefault="0099355F" w:rsidP="0099355F">
                    <w:pPr>
                      <w:pStyle w:val="HeaderRoman"/>
                      <w:spacing w:before="100" w:beforeAutospacing="1" w:after="100" w:afterAutospacing="1" w:line="240" w:lineRule="auto"/>
                      <w:contextualSpacing/>
                      <w:jc w:val="center"/>
                      <w:rPr>
                        <w:rFonts w:cs="Arial"/>
                        <w:spacing w:val="0"/>
                        <w:sz w:val="16"/>
                        <w:szCs w:val="16"/>
                      </w:rPr>
                    </w:pPr>
                  </w:p>
                </w:txbxContent>
              </v:textbox>
              <w10:anchorlock/>
            </v:rect>
          </w:pict>
        </mc:Fallback>
      </mc:AlternateContent>
    </w:r>
    <w:r w:rsidR="00C154DE">
      <w:rPr>
        <w:noProof/>
        <w:szCs w:val="24"/>
        <w:vertAlign w:val="subscript"/>
        <w:lang w:val="fr-FR" w:eastAsia="fr-FR"/>
      </w:rPr>
      <mc:AlternateContent>
        <mc:Choice Requires="wps">
          <w:drawing>
            <wp:anchor distT="0" distB="0" distL="114300" distR="114300" simplePos="0" relativeHeight="251662336" behindDoc="0" locked="0" layoutInCell="1" allowOverlap="1" wp14:anchorId="5C81F63D" wp14:editId="451A645E">
              <wp:simplePos x="0" y="0"/>
              <wp:positionH relativeFrom="margin">
                <wp:align>left</wp:align>
              </wp:positionH>
              <wp:positionV relativeFrom="page">
                <wp:posOffset>360045</wp:posOffset>
              </wp:positionV>
              <wp:extent cx="2818765" cy="471805"/>
              <wp:effectExtent l="0" t="0" r="635"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8765"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
                            <a:solidFill>
                              <a:srgbClr val="000000"/>
                            </a:solidFill>
                            <a:miter lim="800000"/>
                            <a:headEnd/>
                            <a:tailEnd/>
                          </a14:hiddenLine>
                        </a:ext>
                      </a:extLst>
                    </wps:spPr>
                    <wps:txbx>
                      <w:txbxContent>
                        <w:p w:rsidR="00E5474D" w:rsidRPr="00861B8E" w:rsidRDefault="00D37898" w:rsidP="006A0FDB">
                          <w:pPr>
                            <w:pStyle w:val="En-tte"/>
                            <w:rPr>
                              <w:rFonts w:cs="Arial"/>
                              <w:b w:val="0"/>
                              <w:lang w:val="en-US"/>
                            </w:rPr>
                          </w:pPr>
                          <w:r w:rsidRPr="0093387A">
                            <w:rPr>
                              <w:rFonts w:cs="Arial"/>
                              <w:lang w:val="en-US"/>
                            </w:rPr>
                            <w:t>Global Research and Development</w:t>
                          </w:r>
                        </w:p>
                        <w:p w:rsidR="00E5474D" w:rsidRPr="00CB70CB" w:rsidRDefault="00B05992" w:rsidP="00E5474D">
                          <w:pPr>
                            <w:spacing w:line="220" w:lineRule="exact"/>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1F63D" id="Rectangle 5" o:spid="_x0000_s1027" style="position:absolute;margin-left:0;margin-top:28.35pt;width:221.95pt;height:37.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" filled="f" stroked="f" strokeweight=".01pt">
              <v:textbox inset="0,0,0,0">
                <w:txbxContent>
                  <w:p w:rsidR="00E5474D" w:rsidRPr="00861B8E" w:rsidRDefault="00D37898" w:rsidP="006A0FDB">
                    <w:pPr>
                      <w:pStyle w:val="En-tte"/>
                      <w:rPr>
                        <w:rFonts w:cs="Arial"/>
                        <w:b w:val="0"/>
                        <w:lang w:val="en-US"/>
                      </w:rPr>
                    </w:pPr>
                    <w:r w:rsidRPr="0093387A">
                      <w:rPr>
                        <w:rFonts w:cs="Arial"/>
                        <w:lang w:val="en-US"/>
                      </w:rPr>
                      <w:t>Global Research and Development</w:t>
                    </w:r>
                  </w:p>
                  <w:p w:rsidR="00E5474D" w:rsidRPr="00CB70CB" w:rsidRDefault="00B05992" w:rsidP="00E5474D">
                    <w:pPr>
                      <w:spacing w:line="220" w:lineRule="exact"/>
                      <w:rPr>
                        <w:lang w:val="en-US"/>
                      </w:rPr>
                    </w:pPr>
                  </w:p>
                </w:txbxContent>
              </v:textbox>
              <w10:wrap anchorx="margin" anchory="page"/>
            </v:rect>
          </w:pict>
        </mc:Fallback>
      </mc:AlternateContent>
    </w:r>
    <w:r w:rsidR="00D329C9">
      <w:rPr>
        <w:noProof/>
        <w:lang w:val="fr-FR" w:eastAsia="fr-FR"/>
      </w:rPr>
      <w:drawing>
        <wp:anchor distT="0" distB="0" distL="114300" distR="114300" simplePos="0" relativeHeight="251664384" behindDoc="0" locked="0" layoutInCell="1" allowOverlap="1" wp14:anchorId="5C81F63E" wp14:editId="5ECB5724">
          <wp:simplePos x="0" y="0"/>
          <wp:positionH relativeFrom="margin">
            <wp:align>right</wp:align>
          </wp:positionH>
          <wp:positionV relativeFrom="page">
            <wp:posOffset>360045</wp:posOffset>
          </wp:positionV>
          <wp:extent cx="1080000" cy="446400"/>
          <wp:effectExtent l="0" t="0" r="6350" b="0"/>
          <wp:wrapNone/>
          <wp:docPr id="2" name="Image 2" descr="am_plogo_k_pos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_plogo_k_pos [Conver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446400"/>
                  </a:xfrm>
                  <a:prstGeom prst="rect">
                    <a:avLst/>
                  </a:prstGeom>
                  <a:noFill/>
                  <a:ln>
                    <a:noFill/>
                  </a:ln>
                </pic:spPr>
              </pic:pic>
            </a:graphicData>
          </a:graphic>
        </wp:anchor>
      </w:drawing>
    </w:r>
  </w:p>
  <w:p w:rsidR="00000000" w:rsidRDefault="00B059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E30" w:rsidRPr="003329B5" w:rsidRDefault="0099355F">
    <w:pPr>
      <w:pStyle w:val="En-tte"/>
    </w:pPr>
    <w:r>
      <w:rPr>
        <w:noProof/>
        <w:lang w:val="fr-FR" w:eastAsia="fr-FR"/>
      </w:rPr>
      <w:drawing>
        <wp:anchor distT="0" distB="0" distL="114300" distR="114300" simplePos="0" relativeHeight="251665408" behindDoc="1" locked="0" layoutInCell="1" allowOverlap="1" wp14:anchorId="58778D19" wp14:editId="20BFF8E8">
          <wp:simplePos x="0" y="0"/>
          <wp:positionH relativeFrom="margin">
            <wp:align>left</wp:align>
          </wp:positionH>
          <wp:positionV relativeFrom="paragraph">
            <wp:posOffset>1293826</wp:posOffset>
          </wp:positionV>
          <wp:extent cx="819048" cy="285714"/>
          <wp:effectExtent l="0" t="0" r="635"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o.png"/>
                  <pic:cNvPicPr/>
                </pic:nvPicPr>
                <pic:blipFill>
                  <a:blip r:embed="rId1">
                    <a:extLst>
                      <a:ext uri="{28A0092B-C50C-407E-A947-70E740481C1C}">
                        <a14:useLocalDpi xmlns:a14="http://schemas.microsoft.com/office/drawing/2010/main" val="0"/>
                      </a:ext>
                    </a:extLst>
                  </a:blip>
                  <a:stretch>
                    <a:fillRect/>
                  </a:stretch>
                </pic:blipFill>
                <pic:spPr>
                  <a:xfrm>
                    <a:off x="0" y="0"/>
                    <a:ext cx="819048" cy="285714"/>
                  </a:xfrm>
                  <a:prstGeom prst="rect">
                    <a:avLst/>
                  </a:prstGeom>
                </pic:spPr>
              </pic:pic>
            </a:graphicData>
          </a:graphic>
          <wp14:sizeRelH relativeFrom="page">
            <wp14:pctWidth>0</wp14:pctWidth>
          </wp14:sizeRelH>
          <wp14:sizeRelV relativeFrom="page">
            <wp14:pctHeight>0</wp14:pctHeight>
          </wp14:sizeRelV>
        </wp:anchor>
      </w:drawing>
    </w:r>
    <w:r w:rsidR="00D329C9">
      <w:rPr>
        <w:noProof/>
        <w:lang w:val="fr-FR" w:eastAsia="fr-FR"/>
      </w:rPr>
      <w:drawing>
        <wp:anchor distT="0" distB="0" distL="114300" distR="114300" simplePos="0" relativeHeight="251660288" behindDoc="0" locked="0" layoutInCell="1" allowOverlap="1" wp14:anchorId="5C81F642" wp14:editId="28024A54">
          <wp:simplePos x="0" y="0"/>
          <wp:positionH relativeFrom="margin">
            <wp:align>right</wp:align>
          </wp:positionH>
          <wp:positionV relativeFrom="page">
            <wp:posOffset>360045</wp:posOffset>
          </wp:positionV>
          <wp:extent cx="2160000" cy="889834"/>
          <wp:effectExtent l="0" t="0" r="0" b="5715"/>
          <wp:wrapNone/>
          <wp:docPr id="9" name="Image 9" descr="am_plogo_k_pos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_plogo_k_pos [Conver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0000" cy="889834"/>
                  </a:xfrm>
                  <a:prstGeom prst="rect">
                    <a:avLst/>
                  </a:prstGeom>
                  <a:noFill/>
                  <a:ln>
                    <a:noFill/>
                  </a:ln>
                </pic:spPr>
              </pic:pic>
            </a:graphicData>
          </a:graphic>
        </wp:anchor>
      </w:drawing>
    </w:r>
    <w:r w:rsidR="00C154DE">
      <w:rPr>
        <w:noProof/>
        <w:lang w:val="fr-FR" w:eastAsia="fr-FR"/>
      </w:rPr>
      <mc:AlternateContent>
        <mc:Choice Requires="wps">
          <w:drawing>
            <wp:anchor distT="0" distB="0" distL="114300" distR="114300" simplePos="0" relativeHeight="251659264" behindDoc="0" locked="1" layoutInCell="1" allowOverlap="1" wp14:anchorId="5C81F644" wp14:editId="0EB53929">
              <wp:simplePos x="0" y="0"/>
              <wp:positionH relativeFrom="column">
                <wp:posOffset>-2908935</wp:posOffset>
              </wp:positionH>
              <wp:positionV relativeFrom="paragraph">
                <wp:posOffset>5045710</wp:posOffset>
              </wp:positionV>
              <wp:extent cx="4588510" cy="421005"/>
              <wp:effectExtent l="3175" t="0" r="4445" b="2540"/>
              <wp:wrapNone/>
              <wp:docPr id="3" name="Rectangle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8851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
                            <a:solidFill>
                              <a:srgbClr val="000000"/>
                            </a:solidFill>
                            <a:miter lim="800000"/>
                            <a:headEnd/>
                            <a:tailEnd/>
                          </a14:hiddenLine>
                        </a:ext>
                      </a:extLst>
                    </wps:spPr>
                    <wps:txbx>
                      <w:txbxContent>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w:t>
                          </w:r>
                          <w:r w:rsidR="001A70E3">
                            <w:rPr>
                              <w:rFonts w:cs="Arial"/>
                              <w:spacing w:val="0"/>
                              <w:sz w:val="14"/>
                              <w:szCs w:val="14"/>
                            </w:rPr>
                            <w:t xml:space="preserve"> 2019</w:t>
                          </w:r>
                          <w:r w:rsidRPr="0093387A">
                            <w:rPr>
                              <w:rFonts w:cs="Arial"/>
                              <w:spacing w:val="0"/>
                              <w:sz w:val="14"/>
                              <w:szCs w:val="14"/>
                            </w:rPr>
                            <w:t xml:space="preserve"> – ArcelorMittal – All rights reserved all countries</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Cannot be disclosed, used, or reproduced without prior written specific authorisation by ArcelorMittal</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CONFIDENTIAL – Privileged Information – ArcelorMittal's proprietary information</w:t>
                          </w:r>
                        </w:p>
                        <w:p w:rsidR="0099355F" w:rsidRPr="0093387A" w:rsidRDefault="0099355F" w:rsidP="0099355F">
                          <w:pPr>
                            <w:spacing w:before="100" w:beforeAutospacing="1" w:after="100" w:afterAutospacing="1" w:line="240" w:lineRule="auto"/>
                            <w:contextualSpacing/>
                            <w:rPr>
                              <w:rFonts w:asciiTheme="minorHAnsi" w:hAnsiTheme="minorHAnsi"/>
                              <w:color w:val="414141"/>
                              <w:sz w:val="14"/>
                              <w:szCs w:val="14"/>
                            </w:rPr>
                          </w:pPr>
                        </w:p>
                        <w:p w:rsidR="001A5CB9" w:rsidRPr="0093387A" w:rsidRDefault="001A5CB9" w:rsidP="001A5CB9">
                          <w:pPr>
                            <w:pStyle w:val="HeaderRoman"/>
                            <w:spacing w:before="100" w:beforeAutospacing="1" w:after="100" w:afterAutospacing="1" w:line="240" w:lineRule="auto"/>
                            <w:contextualSpacing/>
                            <w:jc w:val="center"/>
                            <w:rPr>
                              <w:rFonts w:cs="Arial"/>
                              <w:spacing w:val="0"/>
                              <w:sz w:val="16"/>
                              <w:szCs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1F644" id="_x0000_s1028" style="position:absolute;margin-left:-229.05pt;margin-top:397.3pt;width:361.3pt;height:33.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" filled="f" stroked="f" strokeweight=".01pt">
              <v:textbox style="layout-flow:vertical;mso-layout-flow-alt:bottom-to-top" inset="0,0,0,0">
                <w:txbxContent>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w:t>
                    </w:r>
                    <w:r w:rsidR="001A70E3">
                      <w:rPr>
                        <w:rFonts w:cs="Arial"/>
                        <w:spacing w:val="0"/>
                        <w:sz w:val="14"/>
                        <w:szCs w:val="14"/>
                      </w:rPr>
                      <w:t xml:space="preserve"> 2019</w:t>
                    </w:r>
                    <w:r w:rsidRPr="0093387A">
                      <w:rPr>
                        <w:rFonts w:cs="Arial"/>
                        <w:spacing w:val="0"/>
                        <w:sz w:val="14"/>
                        <w:szCs w:val="14"/>
                      </w:rPr>
                      <w:t xml:space="preserve"> – ArcelorMittal – All rights reserved all countries</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Cannot be disclosed, used, or reproduced without prior written specific authorisation by ArcelorMittal</w:t>
                    </w:r>
                  </w:p>
                  <w:p w:rsidR="0099355F" w:rsidRPr="0093387A" w:rsidRDefault="0099355F" w:rsidP="0099355F">
                    <w:pPr>
                      <w:pStyle w:val="HeaderRoman"/>
                      <w:spacing w:before="100" w:beforeAutospacing="1" w:after="100" w:afterAutospacing="1" w:line="240" w:lineRule="auto"/>
                      <w:contextualSpacing/>
                      <w:jc w:val="center"/>
                      <w:rPr>
                        <w:rFonts w:cs="Arial"/>
                        <w:spacing w:val="0"/>
                        <w:sz w:val="14"/>
                        <w:szCs w:val="14"/>
                      </w:rPr>
                    </w:pPr>
                    <w:r w:rsidRPr="0093387A">
                      <w:rPr>
                        <w:rFonts w:cs="Arial"/>
                        <w:spacing w:val="0"/>
                        <w:sz w:val="14"/>
                        <w:szCs w:val="14"/>
                      </w:rPr>
                      <w:t>CONFIDENTIAL – Privileged Information – ArcelorMittal's proprietary information</w:t>
                    </w:r>
                  </w:p>
                  <w:p w:rsidR="0099355F" w:rsidRPr="0093387A" w:rsidRDefault="0099355F" w:rsidP="0099355F">
                    <w:pPr>
                      <w:spacing w:before="100" w:beforeAutospacing="1" w:after="100" w:afterAutospacing="1" w:line="240" w:lineRule="auto"/>
                      <w:contextualSpacing/>
                      <w:rPr>
                        <w:rFonts w:asciiTheme="minorHAnsi" w:hAnsiTheme="minorHAnsi"/>
                        <w:color w:val="414141"/>
                        <w:sz w:val="14"/>
                        <w:szCs w:val="14"/>
                      </w:rPr>
                    </w:pPr>
                  </w:p>
                  <w:p w:rsidR="001A5CB9" w:rsidRPr="0093387A" w:rsidRDefault="001A5CB9" w:rsidP="001A5CB9">
                    <w:pPr>
                      <w:pStyle w:val="HeaderRoman"/>
                      <w:spacing w:before="100" w:beforeAutospacing="1" w:after="100" w:afterAutospacing="1" w:line="240" w:lineRule="auto"/>
                      <w:contextualSpacing/>
                      <w:jc w:val="center"/>
                      <w:rPr>
                        <w:rFonts w:cs="Arial"/>
                        <w:spacing w:val="0"/>
                        <w:sz w:val="16"/>
                        <w:szCs w:val="16"/>
                      </w:rPr>
                    </w:pPr>
                  </w:p>
                </w:txbxContent>
              </v:textbox>
              <w10:anchorlock/>
            </v:rect>
          </w:pict>
        </mc:Fallback>
      </mc:AlternateContent>
    </w:r>
    <w:r w:rsidR="00C154DE">
      <w:rPr>
        <w:noProof/>
        <w:szCs w:val="24"/>
        <w:vertAlign w:val="subscript"/>
        <w:lang w:val="fr-FR" w:eastAsia="fr-FR"/>
      </w:rPr>
      <mc:AlternateContent>
        <mc:Choice Requires="wps">
          <w:drawing>
            <wp:anchor distT="0" distB="0" distL="114300" distR="114300" simplePos="0" relativeHeight="251658240" behindDoc="0" locked="0" layoutInCell="1" allowOverlap="1" wp14:anchorId="5C81F645" wp14:editId="707C5880">
              <wp:simplePos x="0" y="0"/>
              <wp:positionH relativeFrom="margin">
                <wp:align>left</wp:align>
              </wp:positionH>
              <wp:positionV relativeFrom="page">
                <wp:posOffset>360045</wp:posOffset>
              </wp:positionV>
              <wp:extent cx="2818765" cy="471805"/>
              <wp:effectExtent l="0" t="0" r="635"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8765"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
                            <a:solidFill>
                              <a:srgbClr val="000000"/>
                            </a:solidFill>
                            <a:miter lim="800000"/>
                            <a:headEnd/>
                            <a:tailEnd/>
                          </a14:hiddenLine>
                        </a:ext>
                      </a:extLst>
                    </wps:spPr>
                    <wps:txbx>
                      <w:txbxContent>
                        <w:p w:rsidR="00045483" w:rsidRPr="0093387A" w:rsidRDefault="00725976" w:rsidP="006A0FDB">
                          <w:pPr>
                            <w:pStyle w:val="En-tte"/>
                            <w:rPr>
                              <w:rFonts w:cs="Arial"/>
                              <w:b w:val="0"/>
                              <w:lang w:val="en-US"/>
                            </w:rPr>
                          </w:pPr>
                          <w:r w:rsidRPr="0093387A">
                            <w:rPr>
                              <w:rFonts w:cs="Arial"/>
                              <w:lang w:val="en-US"/>
                            </w:rPr>
                            <w:t>Global Research and Development</w:t>
                          </w:r>
                        </w:p>
                        <w:p w:rsidR="00023E30" w:rsidRPr="00861B8E" w:rsidRDefault="00D329C9" w:rsidP="00023E30">
                          <w:pPr>
                            <w:pStyle w:val="En-tte"/>
                            <w:rPr>
                              <w:rFonts w:cs="Arial"/>
                              <w:b w:val="0"/>
                              <w:lang w:val="en-US"/>
                            </w:rPr>
                          </w:pPr>
                          <w:r w:rsidRPr="00861B8E">
                            <w:rPr>
                              <w:rFonts w:cs="Arial"/>
                              <w:lang w:val="en-US"/>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1F645" id="Rectangle 9" o:spid="_x0000_s1029" style="position:absolute;margin-left:0;margin-top:28.35pt;width:221.95pt;height:37.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" filled="f" stroked="f" strokeweight=".01pt">
              <v:textbox inset="0,0,0,0">
                <w:txbxContent>
                  <w:p w:rsidR="00045483" w:rsidRPr="0093387A" w:rsidRDefault="00725976" w:rsidP="006A0FDB">
                    <w:pPr>
                      <w:pStyle w:val="En-tte"/>
                      <w:rPr>
                        <w:rFonts w:cs="Arial"/>
                        <w:b w:val="0"/>
                        <w:lang w:val="en-US"/>
                      </w:rPr>
                    </w:pPr>
                    <w:r w:rsidRPr="0093387A">
                      <w:rPr>
                        <w:rFonts w:cs="Arial"/>
                        <w:lang w:val="en-US"/>
                      </w:rPr>
                      <w:t>Global Research and Development</w:t>
                    </w:r>
                  </w:p>
                  <w:p w:rsidR="00023E30" w:rsidRPr="00861B8E" w:rsidRDefault="00D329C9" w:rsidP="00023E30">
                    <w:pPr>
                      <w:pStyle w:val="En-tte"/>
                      <w:rPr>
                        <w:rFonts w:cs="Arial"/>
                        <w:b w:val="0"/>
                        <w:lang w:val="en-US"/>
                      </w:rPr>
                    </w:pPr>
                    <w:r w:rsidRPr="00861B8E">
                      <w:rPr>
                        <w:rFonts w:cs="Arial"/>
                        <w:lang w:val="en-US"/>
                      </w:rPr>
                      <w:br/>
                    </w: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7F84D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4E422C"/>
    <w:multiLevelType w:val="multilevel"/>
    <w:tmpl w:val="C77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85680"/>
    <w:multiLevelType w:val="multilevel"/>
    <w:tmpl w:val="47D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07F35"/>
    <w:multiLevelType w:val="multilevel"/>
    <w:tmpl w:val="B9C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00FF"/>
    <w:multiLevelType w:val="hybridMultilevel"/>
    <w:tmpl w:val="B78E3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C419E"/>
    <w:multiLevelType w:val="hybridMultilevel"/>
    <w:tmpl w:val="FAFC6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ED3FE6"/>
    <w:multiLevelType w:val="hybridMultilevel"/>
    <w:tmpl w:val="3B4A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9B6"/>
    <w:rsid w:val="00045483"/>
    <w:rsid w:val="0010119D"/>
    <w:rsid w:val="0015207B"/>
    <w:rsid w:val="001617ED"/>
    <w:rsid w:val="001A5CB9"/>
    <w:rsid w:val="001A70E3"/>
    <w:rsid w:val="001D591C"/>
    <w:rsid w:val="002247C3"/>
    <w:rsid w:val="00336B59"/>
    <w:rsid w:val="003D04C4"/>
    <w:rsid w:val="003E6F3C"/>
    <w:rsid w:val="0043536C"/>
    <w:rsid w:val="0044551D"/>
    <w:rsid w:val="0049189F"/>
    <w:rsid w:val="004A69EE"/>
    <w:rsid w:val="00510892"/>
    <w:rsid w:val="005274C6"/>
    <w:rsid w:val="005836DC"/>
    <w:rsid w:val="00633C4C"/>
    <w:rsid w:val="00660D17"/>
    <w:rsid w:val="006A0FDB"/>
    <w:rsid w:val="00725976"/>
    <w:rsid w:val="007876F5"/>
    <w:rsid w:val="007F34D7"/>
    <w:rsid w:val="0084798D"/>
    <w:rsid w:val="00863DFD"/>
    <w:rsid w:val="008D5691"/>
    <w:rsid w:val="0093387A"/>
    <w:rsid w:val="00936E37"/>
    <w:rsid w:val="00971525"/>
    <w:rsid w:val="0099355F"/>
    <w:rsid w:val="00A225DC"/>
    <w:rsid w:val="00B05992"/>
    <w:rsid w:val="00B8187D"/>
    <w:rsid w:val="00B8256C"/>
    <w:rsid w:val="00B90757"/>
    <w:rsid w:val="00BA29B6"/>
    <w:rsid w:val="00BF6164"/>
    <w:rsid w:val="00C10396"/>
    <w:rsid w:val="00C154DE"/>
    <w:rsid w:val="00C26377"/>
    <w:rsid w:val="00CA3618"/>
    <w:rsid w:val="00CF1291"/>
    <w:rsid w:val="00D329C9"/>
    <w:rsid w:val="00D37898"/>
    <w:rsid w:val="00DF1425"/>
    <w:rsid w:val="00E03475"/>
    <w:rsid w:val="00EE75C5"/>
  </w:rsids>
  <m:mathPr>
    <m:mathFont m:val="Cambria Math"/>
    <m:brkBin m:val="before"/>
    <m:brkBinSub m:val="--"/>
    <m:smallFrac m:val="0"/>
    <m:dispDef/>
    <m:lMargin m:val="0"/>
    <m:rMargin m:val="0"/>
    <m:defJc m:val="centerGroup"/>
    <m:wrapRight/>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C81F5E7"/>
  <w15:docId w15:val="{F7C91C21-08F4-4FE5-8339-798DC06D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80" w:lineRule="exact"/>
    </w:pPr>
    <w:rPr>
      <w:rFonts w:ascii="Arial" w:hAnsi="Arial"/>
      <w:szCs w:val="24"/>
      <w:lang w:val="en-GB" w:eastAsia="en-GB"/>
    </w:rPr>
  </w:style>
  <w:style w:type="paragraph" w:styleId="Titre1">
    <w:name w:val="heading 1"/>
    <w:basedOn w:val="NewNormal"/>
    <w:next w:val="NewNormal"/>
    <w:qFormat/>
    <w:pPr>
      <w:keepNext/>
      <w:outlineLvl w:val="0"/>
    </w:pPr>
    <w:rPr>
      <w:b/>
      <w:bCs/>
      <w:kern w:val="32"/>
      <w:sz w:val="32"/>
      <w:szCs w:val="32"/>
    </w:rPr>
  </w:style>
  <w:style w:type="paragraph" w:styleId="Titre2">
    <w:name w:val="heading 2"/>
    <w:basedOn w:val="NewNormal"/>
    <w:next w:val="NewNormal"/>
    <w:qFormat/>
    <w:pPr>
      <w:keepNext/>
      <w:outlineLvl w:val="1"/>
    </w:pPr>
    <w:rPr>
      <w:b/>
      <w:bCs/>
      <w:iCs/>
      <w:sz w:val="28"/>
      <w:szCs w:val="28"/>
    </w:rPr>
  </w:style>
  <w:style w:type="paragraph" w:styleId="Titre3">
    <w:name w:val="heading 3"/>
    <w:basedOn w:val="NewNormal"/>
    <w:next w:val="Normal"/>
    <w:qFormat/>
    <w:pPr>
      <w:keepNext/>
      <w:outlineLvl w:val="2"/>
    </w:pPr>
    <w:rPr>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debulles1">
    <w:name w:val="Texte de bulles1"/>
    <w:basedOn w:val="Normal"/>
    <w:semiHidden/>
    <w:rPr>
      <w:rFonts w:ascii="Tahoma" w:hAnsi="Tahoma" w:cs="Tahoma"/>
      <w:sz w:val="16"/>
      <w:szCs w:val="16"/>
    </w:rPr>
  </w:style>
  <w:style w:type="paragraph" w:styleId="Textedebulles">
    <w:name w:val="Balloon Text"/>
    <w:basedOn w:val="Normal"/>
    <w:semiHidden/>
    <w:rsid w:val="00037B1B"/>
    <w:rPr>
      <w:rFonts w:ascii="Tahoma" w:hAnsi="Tahoma" w:cs="Tahoma"/>
      <w:sz w:val="16"/>
      <w:szCs w:val="16"/>
    </w:rPr>
  </w:style>
  <w:style w:type="paragraph" w:styleId="En-tte">
    <w:name w:val="header"/>
    <w:basedOn w:val="Normal"/>
    <w:link w:val="En-tteCar"/>
    <w:pPr>
      <w:tabs>
        <w:tab w:val="center" w:pos="4153"/>
        <w:tab w:val="right" w:pos="8306"/>
      </w:tabs>
      <w:spacing w:line="220" w:lineRule="exact"/>
    </w:pPr>
    <w:rPr>
      <w:b/>
      <w:color w:val="414141"/>
      <w:spacing w:val="-3"/>
      <w:szCs w:val="22"/>
    </w:rPr>
  </w:style>
  <w:style w:type="paragraph" w:styleId="Pieddepage">
    <w:name w:val="footer"/>
    <w:basedOn w:val="Normal"/>
    <w:link w:val="PieddepageCar"/>
    <w:uiPriority w:val="99"/>
    <w:pPr>
      <w:spacing w:line="180" w:lineRule="exact"/>
    </w:pPr>
    <w:rPr>
      <w:color w:val="414141"/>
      <w:spacing w:val="-3"/>
      <w:sz w:val="15"/>
      <w:szCs w:val="18"/>
    </w:rPr>
  </w:style>
  <w:style w:type="paragraph" w:customStyle="1" w:styleId="NoSpace">
    <w:name w:val="No Space"/>
    <w:basedOn w:val="Normal"/>
    <w:pPr>
      <w:spacing w:line="20" w:lineRule="exact"/>
    </w:pPr>
  </w:style>
  <w:style w:type="paragraph" w:customStyle="1" w:styleId="Space">
    <w:name w:val="Space"/>
    <w:basedOn w:val="Normal"/>
    <w:pPr>
      <w:spacing w:line="560" w:lineRule="exact"/>
    </w:pPr>
    <w:rPr>
      <w:sz w:val="16"/>
      <w:szCs w:val="16"/>
      <w:lang w:val="en-US"/>
    </w:rPr>
  </w:style>
  <w:style w:type="character" w:customStyle="1" w:styleId="FooterBold">
    <w:name w:val="Footer Bold"/>
    <w:basedOn w:val="Policepardfaut"/>
    <w:rPr>
      <w:b/>
      <w:sz w:val="15"/>
    </w:rPr>
  </w:style>
  <w:style w:type="paragraph" w:customStyle="1" w:styleId="Footer89">
    <w:name w:val="Footer 8/9"/>
    <w:basedOn w:val="Pieddepage"/>
    <w:pPr>
      <w:spacing w:line="140" w:lineRule="exact"/>
    </w:pPr>
    <w:rPr>
      <w:spacing w:val="-2"/>
      <w:sz w:val="12"/>
    </w:rPr>
  </w:style>
  <w:style w:type="paragraph" w:customStyle="1" w:styleId="HeaderRoman">
    <w:name w:val="Header Roman"/>
    <w:basedOn w:val="En-tte"/>
    <w:rPr>
      <w:b w:val="0"/>
    </w:rPr>
  </w:style>
  <w:style w:type="paragraph" w:customStyle="1" w:styleId="Footer89Line1">
    <w:name w:val="Footer 8/9 Line 1"/>
    <w:basedOn w:val="Footer89"/>
    <w:pPr>
      <w:spacing w:before="90"/>
    </w:pPr>
    <w:rPr>
      <w:szCs w:val="12"/>
    </w:rPr>
  </w:style>
  <w:style w:type="paragraph" w:customStyle="1" w:styleId="ArcelorMittal">
    <w:name w:val="ArcelorMittal"/>
    <w:basedOn w:val="Normal"/>
    <w:qFormat/>
    <w:rsid w:val="00D30324"/>
    <w:pPr>
      <w:spacing w:line="240" w:lineRule="auto"/>
    </w:pPr>
    <w:rPr>
      <w:rFonts w:asciiTheme="minorHAnsi" w:hAnsiTheme="minorHAnsi"/>
      <w:sz w:val="21"/>
      <w:szCs w:val="21"/>
      <w:lang w:val="en-US"/>
    </w:rPr>
  </w:style>
  <w:style w:type="character" w:customStyle="1" w:styleId="En-tteCar">
    <w:name w:val="En-tête Car"/>
    <w:basedOn w:val="Policepardfaut"/>
    <w:link w:val="En-tte"/>
    <w:rsid w:val="00893140"/>
    <w:rPr>
      <w:rFonts w:ascii="Arial" w:hAnsi="Arial"/>
      <w:b/>
      <w:color w:val="414141"/>
      <w:spacing w:val="-3"/>
      <w:szCs w:val="22"/>
      <w:lang w:val="en-GB" w:eastAsia="en-GB"/>
    </w:rPr>
  </w:style>
  <w:style w:type="table" w:styleId="Grilledutableau">
    <w:name w:val="Table Grid"/>
    <w:basedOn w:val="TableauNormal"/>
    <w:rsid w:val="007563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celorMittalparagraphe">
    <w:name w:val="ArcelorMittal paragraphe"/>
    <w:basedOn w:val="Normal"/>
    <w:qFormat/>
    <w:rsid w:val="00BA2242"/>
    <w:rPr>
      <w:rFonts w:asciiTheme="minorHAnsi" w:hAnsiTheme="minorHAnsi"/>
      <w:sz w:val="21"/>
      <w:lang w:val="en-US"/>
    </w:rPr>
  </w:style>
  <w:style w:type="character" w:customStyle="1" w:styleId="PieddepageCar">
    <w:name w:val="Pied de page Car"/>
    <w:basedOn w:val="Policepardfaut"/>
    <w:link w:val="Pieddepage"/>
    <w:uiPriority w:val="99"/>
    <w:rsid w:val="00C66010"/>
    <w:rPr>
      <w:rFonts w:ascii="Arial" w:hAnsi="Arial"/>
      <w:color w:val="414141"/>
      <w:spacing w:val="-3"/>
      <w:sz w:val="15"/>
      <w:szCs w:val="18"/>
      <w:lang w:val="en-GB" w:eastAsia="en-GB"/>
    </w:rPr>
  </w:style>
  <w:style w:type="character" w:styleId="Textedelespacerserv">
    <w:name w:val="Placeholder Text"/>
    <w:basedOn w:val="Policepardfaut"/>
    <w:uiPriority w:val="67"/>
    <w:rsid w:val="0018207C"/>
    <w:rPr>
      <w:color w:val="808080"/>
    </w:rPr>
  </w:style>
  <w:style w:type="character" w:customStyle="1" w:styleId="Style1">
    <w:name w:val="Style1"/>
    <w:basedOn w:val="Policepardfaut"/>
    <w:uiPriority w:val="1"/>
    <w:rsid w:val="0018207C"/>
    <w:rPr>
      <w:rFonts w:ascii="Arial" w:hAnsi="Arial"/>
      <w:sz w:val="20"/>
    </w:rPr>
  </w:style>
  <w:style w:type="paragraph" w:styleId="Sous-titre">
    <w:name w:val="Subtitle"/>
    <w:basedOn w:val="Normal"/>
    <w:next w:val="Normal"/>
    <w:link w:val="Sous-titreCar"/>
    <w:qFormat/>
    <w:rsid w:val="00BA29B6"/>
    <w:pPr>
      <w:numPr>
        <w:ilvl w:val="1"/>
      </w:numPr>
      <w:spacing w:after="160"/>
    </w:pPr>
    <w:rPr>
      <w:rFonts w:asciiTheme="minorHAnsi" w:eastAsiaTheme="minorEastAsia" w:hAnsiTheme="minorHAnsi" w:cstheme="minorBidi"/>
      <w:color w:val="9D9D9D" w:themeColor="text1" w:themeTint="A5"/>
      <w:spacing w:val="15"/>
      <w:sz w:val="22"/>
      <w:szCs w:val="22"/>
    </w:rPr>
  </w:style>
  <w:style w:type="character" w:customStyle="1" w:styleId="Sous-titreCar">
    <w:name w:val="Sous-titre Car"/>
    <w:basedOn w:val="Policepardfaut"/>
    <w:link w:val="Sous-titre"/>
    <w:rsid w:val="00BA29B6"/>
    <w:rPr>
      <w:rFonts w:asciiTheme="minorHAnsi" w:eastAsiaTheme="minorEastAsia" w:hAnsiTheme="minorHAnsi" w:cstheme="minorBidi"/>
      <w:color w:val="9D9D9D" w:themeColor="text1" w:themeTint="A5"/>
      <w:spacing w:val="15"/>
      <w:sz w:val="22"/>
      <w:szCs w:val="22"/>
      <w:lang w:val="en-GB" w:eastAsia="en-GB"/>
    </w:rPr>
  </w:style>
  <w:style w:type="paragraph" w:customStyle="1" w:styleId="NewNormal">
    <w:name w:val="New Normal"/>
    <w:basedOn w:val="Normal"/>
    <w:link w:val="NewNormalCar"/>
    <w:qFormat/>
    <w:rsid w:val="00A225DC"/>
    <w:pPr>
      <w:spacing w:before="240" w:line="240" w:lineRule="auto"/>
      <w:jc w:val="both"/>
    </w:pPr>
    <w:rPr>
      <w:rFonts w:cs="Arial"/>
      <w:sz w:val="22"/>
      <w:szCs w:val="22"/>
      <w:lang w:val="fr-FR"/>
    </w:rPr>
  </w:style>
  <w:style w:type="paragraph" w:styleId="Lgende">
    <w:name w:val="caption"/>
    <w:basedOn w:val="Normal"/>
    <w:next w:val="Normal"/>
    <w:unhideWhenUsed/>
    <w:qFormat/>
    <w:rsid w:val="00BA29B6"/>
    <w:pPr>
      <w:spacing w:after="200" w:line="240" w:lineRule="auto"/>
    </w:pPr>
    <w:rPr>
      <w:i/>
      <w:iCs/>
      <w:color w:val="FF3700" w:themeColor="text2"/>
      <w:sz w:val="18"/>
      <w:szCs w:val="18"/>
    </w:rPr>
  </w:style>
  <w:style w:type="character" w:customStyle="1" w:styleId="NewNormalCar">
    <w:name w:val="New Normal Car"/>
    <w:basedOn w:val="Policepardfaut"/>
    <w:link w:val="NewNormal"/>
    <w:rsid w:val="00A225DC"/>
    <w:rPr>
      <w:rFonts w:ascii="Arial" w:hAnsi="Arial" w:cs="Arial"/>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7062">
      <w:bodyDiv w:val="1"/>
      <w:marLeft w:val="0"/>
      <w:marRight w:val="0"/>
      <w:marTop w:val="0"/>
      <w:marBottom w:val="0"/>
      <w:divBdr>
        <w:top w:val="none" w:sz="0" w:space="0" w:color="auto"/>
        <w:left w:val="none" w:sz="0" w:space="0" w:color="auto"/>
        <w:bottom w:val="none" w:sz="0" w:space="0" w:color="auto"/>
        <w:right w:val="none" w:sz="0" w:space="0" w:color="auto"/>
      </w:divBdr>
    </w:div>
    <w:div w:id="174614086">
      <w:bodyDiv w:val="1"/>
      <w:marLeft w:val="0"/>
      <w:marRight w:val="0"/>
      <w:marTop w:val="0"/>
      <w:marBottom w:val="0"/>
      <w:divBdr>
        <w:top w:val="none" w:sz="0" w:space="0" w:color="auto"/>
        <w:left w:val="none" w:sz="0" w:space="0" w:color="auto"/>
        <w:bottom w:val="none" w:sz="0" w:space="0" w:color="auto"/>
        <w:right w:val="none" w:sz="0" w:space="0" w:color="auto"/>
      </w:divBdr>
    </w:div>
    <w:div w:id="536309574">
      <w:bodyDiv w:val="1"/>
      <w:marLeft w:val="0"/>
      <w:marRight w:val="0"/>
      <w:marTop w:val="0"/>
      <w:marBottom w:val="0"/>
      <w:divBdr>
        <w:top w:val="none" w:sz="0" w:space="0" w:color="auto"/>
        <w:left w:val="none" w:sz="0" w:space="0" w:color="auto"/>
        <w:bottom w:val="none" w:sz="0" w:space="0" w:color="auto"/>
        <w:right w:val="none" w:sz="0" w:space="0" w:color="auto"/>
      </w:divBdr>
    </w:div>
    <w:div w:id="560941665">
      <w:bodyDiv w:val="1"/>
      <w:marLeft w:val="0"/>
      <w:marRight w:val="0"/>
      <w:marTop w:val="0"/>
      <w:marBottom w:val="0"/>
      <w:divBdr>
        <w:top w:val="none" w:sz="0" w:space="0" w:color="auto"/>
        <w:left w:val="none" w:sz="0" w:space="0" w:color="auto"/>
        <w:bottom w:val="none" w:sz="0" w:space="0" w:color="auto"/>
        <w:right w:val="none" w:sz="0" w:space="0" w:color="auto"/>
      </w:divBdr>
    </w:div>
    <w:div w:id="781385975">
      <w:bodyDiv w:val="1"/>
      <w:marLeft w:val="0"/>
      <w:marRight w:val="0"/>
      <w:marTop w:val="0"/>
      <w:marBottom w:val="0"/>
      <w:divBdr>
        <w:top w:val="none" w:sz="0" w:space="0" w:color="auto"/>
        <w:left w:val="none" w:sz="0" w:space="0" w:color="auto"/>
        <w:bottom w:val="none" w:sz="0" w:space="0" w:color="auto"/>
        <w:right w:val="none" w:sz="0" w:space="0" w:color="auto"/>
      </w:divBdr>
    </w:div>
    <w:div w:id="881864962">
      <w:bodyDiv w:val="1"/>
      <w:marLeft w:val="0"/>
      <w:marRight w:val="0"/>
      <w:marTop w:val="0"/>
      <w:marBottom w:val="0"/>
      <w:divBdr>
        <w:top w:val="none" w:sz="0" w:space="0" w:color="auto"/>
        <w:left w:val="none" w:sz="0" w:space="0" w:color="auto"/>
        <w:bottom w:val="none" w:sz="0" w:space="0" w:color="auto"/>
        <w:right w:val="none" w:sz="0" w:space="0" w:color="auto"/>
      </w:divBdr>
    </w:div>
    <w:div w:id="922638925">
      <w:bodyDiv w:val="1"/>
      <w:marLeft w:val="0"/>
      <w:marRight w:val="0"/>
      <w:marTop w:val="0"/>
      <w:marBottom w:val="0"/>
      <w:divBdr>
        <w:top w:val="none" w:sz="0" w:space="0" w:color="auto"/>
        <w:left w:val="none" w:sz="0" w:space="0" w:color="auto"/>
        <w:bottom w:val="none" w:sz="0" w:space="0" w:color="auto"/>
        <w:right w:val="none" w:sz="0" w:space="0" w:color="auto"/>
      </w:divBdr>
    </w:div>
    <w:div w:id="1188180350">
      <w:bodyDiv w:val="1"/>
      <w:marLeft w:val="0"/>
      <w:marRight w:val="0"/>
      <w:marTop w:val="0"/>
      <w:marBottom w:val="0"/>
      <w:divBdr>
        <w:top w:val="none" w:sz="0" w:space="0" w:color="auto"/>
        <w:left w:val="none" w:sz="0" w:space="0" w:color="auto"/>
        <w:bottom w:val="none" w:sz="0" w:space="0" w:color="auto"/>
        <w:right w:val="none" w:sz="0" w:space="0" w:color="auto"/>
      </w:divBdr>
    </w:div>
    <w:div w:id="1209992344">
      <w:bodyDiv w:val="1"/>
      <w:marLeft w:val="0"/>
      <w:marRight w:val="0"/>
      <w:marTop w:val="0"/>
      <w:marBottom w:val="0"/>
      <w:divBdr>
        <w:top w:val="none" w:sz="0" w:space="0" w:color="auto"/>
        <w:left w:val="none" w:sz="0" w:space="0" w:color="auto"/>
        <w:bottom w:val="none" w:sz="0" w:space="0" w:color="auto"/>
        <w:right w:val="none" w:sz="0" w:space="0" w:color="auto"/>
      </w:divBdr>
    </w:div>
    <w:div w:id="1304189867">
      <w:bodyDiv w:val="1"/>
      <w:marLeft w:val="0"/>
      <w:marRight w:val="0"/>
      <w:marTop w:val="0"/>
      <w:marBottom w:val="0"/>
      <w:divBdr>
        <w:top w:val="none" w:sz="0" w:space="0" w:color="auto"/>
        <w:left w:val="none" w:sz="0" w:space="0" w:color="auto"/>
        <w:bottom w:val="none" w:sz="0" w:space="0" w:color="auto"/>
        <w:right w:val="none" w:sz="0" w:space="0" w:color="auto"/>
      </w:divBdr>
    </w:div>
    <w:div w:id="1621842284">
      <w:bodyDiv w:val="1"/>
      <w:marLeft w:val="0"/>
      <w:marRight w:val="0"/>
      <w:marTop w:val="0"/>
      <w:marBottom w:val="0"/>
      <w:divBdr>
        <w:top w:val="none" w:sz="0" w:space="0" w:color="auto"/>
        <w:left w:val="none" w:sz="0" w:space="0" w:color="auto"/>
        <w:bottom w:val="none" w:sz="0" w:space="0" w:color="auto"/>
        <w:right w:val="none" w:sz="0" w:space="0" w:color="auto"/>
      </w:divBdr>
    </w:div>
    <w:div w:id="1624576275">
      <w:bodyDiv w:val="1"/>
      <w:marLeft w:val="0"/>
      <w:marRight w:val="0"/>
      <w:marTop w:val="0"/>
      <w:marBottom w:val="0"/>
      <w:divBdr>
        <w:top w:val="none" w:sz="0" w:space="0" w:color="auto"/>
        <w:left w:val="none" w:sz="0" w:space="0" w:color="auto"/>
        <w:bottom w:val="none" w:sz="0" w:space="0" w:color="auto"/>
        <w:right w:val="none" w:sz="0" w:space="0" w:color="auto"/>
      </w:divBdr>
    </w:div>
    <w:div w:id="1726028061">
      <w:bodyDiv w:val="1"/>
      <w:marLeft w:val="0"/>
      <w:marRight w:val="0"/>
      <w:marTop w:val="0"/>
      <w:marBottom w:val="0"/>
      <w:divBdr>
        <w:top w:val="none" w:sz="0" w:space="0" w:color="auto"/>
        <w:left w:val="none" w:sz="0" w:space="0" w:color="auto"/>
        <w:bottom w:val="none" w:sz="0" w:space="0" w:color="auto"/>
        <w:right w:val="none" w:sz="0" w:space="0" w:color="auto"/>
      </w:divBdr>
    </w:div>
    <w:div w:id="1901212104">
      <w:bodyDiv w:val="1"/>
      <w:marLeft w:val="0"/>
      <w:marRight w:val="0"/>
      <w:marTop w:val="0"/>
      <w:marBottom w:val="0"/>
      <w:divBdr>
        <w:top w:val="none" w:sz="0" w:space="0" w:color="auto"/>
        <w:left w:val="none" w:sz="0" w:space="0" w:color="auto"/>
        <w:bottom w:val="none" w:sz="0" w:space="0" w:color="auto"/>
        <w:right w:val="none" w:sz="0" w:space="0" w:color="auto"/>
      </w:divBdr>
    </w:div>
    <w:div w:id="1955209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X:\u051199\My%20Documents\Microsoft%20Office\Mod&#232;les%20Office%20personnalis&#233;s\Maquette_Memo%202019.dotx" TargetMode="External"/></Relationships>
</file>

<file path=word/theme/theme1.xml><?xml version="1.0" encoding="utf-8"?>
<a:theme xmlns:a="http://schemas.openxmlformats.org/drawingml/2006/main" name="Theme_ArcelorMittal">
  <a:themeElements>
    <a:clrScheme name="ArcelorMittal">
      <a:dk1>
        <a:srgbClr val="696969"/>
      </a:dk1>
      <a:lt1>
        <a:sysClr val="window" lastClr="FFFFFF"/>
      </a:lt1>
      <a:dk2>
        <a:srgbClr val="FF3700"/>
      </a:dk2>
      <a:lt2>
        <a:srgbClr val="C5BCA4"/>
      </a:lt2>
      <a:accent1>
        <a:srgbClr val="865F7F"/>
      </a:accent1>
      <a:accent2>
        <a:srgbClr val="5C7F92"/>
      </a:accent2>
      <a:accent3>
        <a:srgbClr val="70A489"/>
      </a:accent3>
      <a:accent4>
        <a:srgbClr val="C88F42"/>
      </a:accent4>
      <a:accent5>
        <a:srgbClr val="8B819E"/>
      </a:accent5>
      <a:accent6>
        <a:srgbClr val="9DB1C9"/>
      </a:accent6>
      <a:hlink>
        <a:srgbClr val="BAC48C"/>
      </a:hlink>
      <a:folHlink>
        <a:srgbClr val="AA9E6E"/>
      </a:folHlink>
    </a:clrScheme>
    <a:fontScheme name="ArcelorMittal">
      <a:majorFont>
        <a:latin typeface="VAG Rounded Light"/>
        <a:ea typeface=""/>
        <a:cs typeface=""/>
      </a:majorFont>
      <a:minorFont>
        <a:latin typeface="FoundrySterling-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_ArcelorMittal" id="{33EBDA25-EB11-4D7D-80E8-53452ACF44A1}" vid="{08C8AAF2-F2EF-4A27-B6EE-3642A1ECCF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08EAFF5D0BCB4CB3C6F814269C6A4B" ma:contentTypeVersion="8" ma:contentTypeDescription="Create a new document." ma:contentTypeScope="" ma:versionID="90bc3e21480f3dd2dea0bc277c4fa5ee">
  <xsd:schema xmlns:xsd="http://www.w3.org/2001/XMLSchema" xmlns:xs="http://www.w3.org/2001/XMLSchema" xmlns:p="http://schemas.microsoft.com/office/2006/metadata/properties" xmlns:ns2="76c05b41-fbf3-46fa-9097-0a075676bf94" xmlns:ns3="5dc428f4-c712-405f-a935-2e1202d7dab7" targetNamespace="http://schemas.microsoft.com/office/2006/metadata/properties" ma:root="true" ma:fieldsID="4b4cd2f063d8b8a0d648834695853d3d" ns2:_="" ns3:_="">
    <xsd:import namespace="76c05b41-fbf3-46fa-9097-0a075676bf94"/>
    <xsd:import namespace="5dc428f4-c712-405f-a935-2e1202d7da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05b41-fbf3-46fa-9097-0a075676bf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c428f4-c712-405f-a935-2e1202d7dab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2A652-6EC3-4E50-AB87-E468C61DB49C}">
  <ds:schemaRefs>
    <ds:schemaRef ds:uri="http://schemas.microsoft.com/sharepoint/v3/contenttype/forms"/>
  </ds:schemaRefs>
</ds:datastoreItem>
</file>

<file path=customXml/itemProps2.xml><?xml version="1.0" encoding="utf-8"?>
<ds:datastoreItem xmlns:ds="http://schemas.openxmlformats.org/officeDocument/2006/customXml" ds:itemID="{F386DAB3-92B5-4671-9E0F-0A889BFC6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05b41-fbf3-46fa-9097-0a075676bf94"/>
    <ds:schemaRef ds:uri="5dc428f4-c712-405f-a935-2e1202d7da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1BC058-BA35-4AC4-8114-76547B944E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027595-DA28-4E79-8F3F-B27A86E8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Maquette_Memo 2019.dotx</Template>
  <TotalTime>13</TotalTime>
  <Pages>4</Pages>
  <Words>903</Words>
  <Characters>5152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To</vt:lpstr>
    </vt:vector>
  </TitlesOfParts>
  <Company>Brad</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GAY Antonin</dc:creator>
  <cp:lastModifiedBy>Gay, Antonin</cp:lastModifiedBy>
  <cp:revision>9</cp:revision>
  <cp:lastPrinted>2007-06-12T11:20:00Z</cp:lastPrinted>
  <dcterms:created xsi:type="dcterms:W3CDTF">2019-11-21T10:03:00Z</dcterms:created>
  <dcterms:modified xsi:type="dcterms:W3CDTF">2019-11-21T10:16:00Z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m_r_object_id">
    <vt:lpwstr>0900f6f380428a7d</vt:lpwstr>
  </property>
  <property fmtid="{D5CDD505-2E9C-101B-9397-08002B2CF9AE}" pid="3" name="ContentTypeId">
    <vt:lpwstr>0x010100FA08EAFF5D0BCB4CB3C6F814269C6A4B</vt:lpwstr>
  </property>
  <property fmtid="{D5CDD505-2E9C-101B-9397-08002B2CF9AE}" pid="4" name="Order">
    <vt:r8>100</vt:r8>
  </property>
</Properties>
</file>