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4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Max HV summary</w:t>
            </w:r>
          </w:p>
        </w:tc>
      </w:tr>
      <w:tr>
        <w:trPr>
          <w:trHeight w:val="360" w:hRule="auto"/>
          <w:tblHeader/>
        </w:trPr>
        header 2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Maximum hypervigilance across the full λₐ–λₗ grid by model and vigilance cost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Vigilance cost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Max HV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Mechanistic interpretation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(≈27% spillover)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(≈27% spillover)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(≈27% spillover)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(≈31% spillover)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(≈26% spillover)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(≈75% spillover)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(≈85% spillover)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(≈85% spillover)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(≈86% spillover)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 = hypervigilance; Mechanistic interpretation describes the dominant preventative vs spillover mix.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2025-12-09T22:17:17Z</dcterms:modified>
  <cp:category/>
</cp:coreProperties>
</file>