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1094C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7A2E16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="005A11EF"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D8B08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3937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15526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496A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06A7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3C2C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2E5201" w:rsidRPr="001A0054" w:rsidRDefault="005A11EF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="001A0054">
        <w:rPr>
          <w:rFonts w:eastAsia="Arial Unicode MS"/>
          <w:b/>
          <w:bCs/>
          <w:sz w:val="12"/>
          <w:szCs w:val="10"/>
        </w:rPr>
        <w:t xml:space="preserve">винтовую </w:t>
      </w:r>
      <w:proofErr w:type="gramStart"/>
      <w:r w:rsidR="001A0054">
        <w:rPr>
          <w:rFonts w:eastAsia="Arial Unicode MS"/>
          <w:b/>
          <w:bCs/>
          <w:sz w:val="12"/>
          <w:szCs w:val="10"/>
          <w:highlight w:val="yellow"/>
        </w:rPr>
        <w:t xml:space="preserve">теорию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выраженную через единичное двойное кватернионное представление и ее алгебру, чтобы сформулировать как прямое (положение + скорост</w:t>
      </w:r>
      <w:r w:rsidR="00064257">
        <w:rPr>
          <w:rFonts w:eastAsia="Arial Unicode MS"/>
          <w:b/>
          <w:bCs/>
          <w:sz w:val="12"/>
          <w:szCs w:val="10"/>
        </w:rPr>
        <w:t xml:space="preserve">ь) кинематика и управление положением  роботизированного 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 w:rsidR="001A0054">
        <w:rPr>
          <w:rFonts w:eastAsia="Arial Unicode MS"/>
          <w:b/>
          <w:bCs/>
          <w:sz w:val="12"/>
          <w:szCs w:val="10"/>
        </w:rPr>
        <w:t xml:space="preserve">а </w:t>
      </w:r>
      <w:r w:rsidR="00064257">
        <w:rPr>
          <w:rFonts w:eastAsia="Arial Unicode MS"/>
          <w:b/>
          <w:bCs/>
          <w:sz w:val="12"/>
          <w:szCs w:val="10"/>
        </w:rPr>
        <w:t xml:space="preserve">с </w:t>
      </w:r>
      <w:r w:rsidR="00064257">
        <w:rPr>
          <w:rFonts w:eastAsia="Arial Unicode MS"/>
          <w:b/>
          <w:bCs/>
          <w:sz w:val="12"/>
          <w:szCs w:val="10"/>
          <w:lang w:val="en-US"/>
        </w:rPr>
        <w:t>n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</w:t>
      </w:r>
      <w:r w:rsidR="00064257">
        <w:rPr>
          <w:rFonts w:eastAsia="Arial Unicode MS"/>
          <w:b/>
          <w:bCs/>
          <w:sz w:val="12"/>
          <w:szCs w:val="10"/>
        </w:rPr>
        <w:t>степенями свободы</w:t>
      </w:r>
      <w:r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 w:rsidR="00064257"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44A5A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A42B5E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 w:rsidR="005D609B">
        <w:rPr>
          <w:rFonts w:eastAsia="Arial Unicode MS"/>
          <w:b/>
          <w:bCs/>
          <w:sz w:val="14"/>
          <w:szCs w:val="12"/>
        </w:rPr>
        <w:t>го преобразования (МОП)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D609B"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по сравнению с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70F3C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="00E9093C">
        <w:rPr>
          <w:rFonts w:eastAsia="Arial Unicode MS"/>
          <w:b/>
          <w:bCs/>
          <w:i/>
          <w:iCs/>
          <w:sz w:val="13"/>
          <w:szCs w:val="11"/>
        </w:rPr>
        <w:t>ДК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="005D609B"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</w:t>
      </w:r>
      <w:r w:rsidR="00E9093C">
        <w:rPr>
          <w:rFonts w:eastAsia="Arial Unicode MS"/>
          <w:b/>
          <w:bCs/>
          <w:sz w:val="13"/>
          <w:szCs w:val="11"/>
        </w:rPr>
        <w:t>ДК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</w:t>
      </w:r>
      <w:bookmarkStart w:id="1" w:name="_GoBack"/>
      <w:bookmarkEnd w:id="1"/>
      <w:r w:rsidRPr="005A11EF">
        <w:rPr>
          <w:rFonts w:eastAsia="Arial Unicode MS"/>
          <w:b/>
          <w:bCs/>
          <w:sz w:val="13"/>
          <w:szCs w:val="11"/>
        </w:rPr>
        <w:t>получения недостающего коммутативного свойства обратно через операторы Гамильтона</w:t>
      </w:r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>. Можно также подумать, чтобы использовать Родригес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2" w:name="page2"/>
            <w:bookmarkEnd w:id="2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CAFC8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34" w:lineRule="exact"/>
              <w:ind w:left="120"/>
              <w:rPr>
                <w:szCs w:val="20"/>
              </w:rPr>
            </w:pPr>
            <w:proofErr w:type="spellStart"/>
            <w:r>
              <w:rPr>
                <w:rFonts w:eastAsia="Arial Unicode MS"/>
                <w:b/>
                <w:bCs/>
                <w:sz w:val="12"/>
                <w:szCs w:val="10"/>
              </w:rPr>
              <w:t>ДК</w:t>
            </w:r>
            <w:r w:rsidR="005A11EF" w:rsidRPr="005A11EF">
              <w:rPr>
                <w:rFonts w:eastAsia="Arial Unicode MS"/>
                <w:b/>
                <w:bCs/>
                <w:sz w:val="12"/>
                <w:szCs w:val="10"/>
              </w:rPr>
              <w:t>wH</w:t>
            </w:r>
            <w:proofErr w:type="spellEnd"/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21" w:lineRule="exact"/>
              <w:ind w:left="120"/>
              <w:rPr>
                <w:szCs w:val="20"/>
              </w:rPr>
            </w:pPr>
            <w:r>
              <w:rPr>
                <w:rFonts w:eastAsia="Arial Unicode MS"/>
                <w:b/>
                <w:bCs/>
                <w:sz w:val="11"/>
                <w:szCs w:val="9"/>
              </w:rPr>
              <w:t>ДК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Default="005A11EF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="00101C8F">
        <w:rPr>
          <w:rFonts w:eastAsia="Arial Unicode MS"/>
          <w:b/>
          <w:bCs/>
          <w:color w:val="0080AC"/>
          <w:sz w:val="14"/>
          <w:szCs w:val="12"/>
        </w:rPr>
        <w:t>В 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</w:t>
      </w:r>
      <w:r w:rsidR="00101C8F">
        <w:rPr>
          <w:rFonts w:eastAsia="Arial Unicode MS"/>
          <w:b/>
          <w:bCs/>
          <w:sz w:val="14"/>
          <w:szCs w:val="12"/>
        </w:rPr>
        <w:t>азличных представлениях: матрице</w:t>
      </w:r>
      <w:r w:rsidRPr="005A11EF">
        <w:rPr>
          <w:rFonts w:eastAsia="Arial Unicode MS"/>
          <w:b/>
          <w:bCs/>
          <w:sz w:val="14"/>
          <w:szCs w:val="12"/>
        </w:rPr>
        <w:t xml:space="preserve"> однородного преобразования (HTM),</w:t>
      </w:r>
      <w:r w:rsidR="00101C8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101C8F">
        <w:rPr>
          <w:rFonts w:eastAsia="Arial Unicode MS"/>
          <w:b/>
          <w:bCs/>
          <w:sz w:val="14"/>
          <w:szCs w:val="12"/>
        </w:rPr>
        <w:t>в  единичных</w:t>
      </w:r>
      <w:proofErr w:type="gramEnd"/>
      <w:r w:rsidR="00101C8F">
        <w:rPr>
          <w:rFonts w:eastAsia="Arial Unicode MS"/>
          <w:b/>
          <w:bCs/>
          <w:sz w:val="14"/>
          <w:szCs w:val="12"/>
        </w:rPr>
        <w:t xml:space="preserve">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с операторами Гамильтона (</w:t>
      </w:r>
      <w:proofErr w:type="spellStart"/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>wH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>),</w:t>
      </w:r>
      <w:r w:rsidR="00101C8F">
        <w:rPr>
          <w:rFonts w:eastAsia="Arial Unicode MS"/>
          <w:b/>
          <w:bCs/>
          <w:sz w:val="14"/>
          <w:szCs w:val="12"/>
        </w:rPr>
        <w:t xml:space="preserve"> в позе</w:t>
      </w:r>
      <w:r w:rsidRPr="005A11EF">
        <w:rPr>
          <w:rFonts w:eastAsia="Arial Unicode MS"/>
          <w:b/>
          <w:bCs/>
          <w:sz w:val="14"/>
          <w:szCs w:val="12"/>
        </w:rPr>
        <w:t xml:space="preserve"> с параметрами Родригеса (TAA) и </w:t>
      </w:r>
      <w:r w:rsidR="00231D6D">
        <w:rPr>
          <w:rFonts w:eastAsia="Arial Unicode MS"/>
          <w:b/>
          <w:bCs/>
          <w:sz w:val="14"/>
          <w:szCs w:val="12"/>
        </w:rPr>
        <w:t>в единичных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(</w:t>
      </w:r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 xml:space="preserve">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231D6D">
        <w:rPr>
          <w:rFonts w:eastAsia="Arial Unicode MS"/>
          <w:b/>
          <w:bCs/>
          <w:color w:val="0080AC"/>
          <w:sz w:val="14"/>
          <w:szCs w:val="12"/>
        </w:rPr>
        <w:t>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TAA также не хватает эффективной </w:t>
      </w:r>
      <w:r w:rsidRPr="00E9093C">
        <w:rPr>
          <w:rFonts w:eastAsia="Arial Unicode MS"/>
          <w:b/>
          <w:bCs/>
          <w:sz w:val="14"/>
          <w:szCs w:val="12"/>
        </w:rPr>
        <w:t>алгебры</w:t>
      </w:r>
      <w:r w:rsidRPr="005A11EF">
        <w:rPr>
          <w:rFonts w:eastAsia="Arial Unicode MS"/>
          <w:b/>
          <w:bCs/>
          <w:sz w:val="14"/>
          <w:szCs w:val="12"/>
        </w:rPr>
        <w:t>.</w:t>
      </w:r>
    </w:p>
    <w:p w:rsidR="00231D6D" w:rsidRDefault="00231D6D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</w:p>
    <w:p w:rsidR="00231D6D" w:rsidRPr="00231D6D" w:rsidRDefault="00231D6D">
      <w:pPr>
        <w:spacing w:line="207" w:lineRule="exact"/>
        <w:ind w:left="10" w:right="40"/>
        <w:rPr>
          <w:b/>
          <w:sz w:val="14"/>
          <w:szCs w:val="20"/>
        </w:rPr>
      </w:pPr>
      <w:r w:rsidRPr="00231D6D">
        <w:rPr>
          <w:b/>
          <w:sz w:val="14"/>
          <w:szCs w:val="20"/>
        </w:rPr>
        <w:t xml:space="preserve">Эта статья эффективно объединяет все преимущества </w:t>
      </w:r>
      <w:r w:rsidRPr="00E9093C">
        <w:rPr>
          <w:b/>
          <w:sz w:val="14"/>
          <w:szCs w:val="20"/>
          <w:highlight w:val="yellow"/>
        </w:rPr>
        <w:t>теории винтов</w:t>
      </w:r>
      <w:r w:rsidRPr="00231D6D">
        <w:rPr>
          <w:b/>
          <w:sz w:val="14"/>
          <w:szCs w:val="20"/>
        </w:rPr>
        <w:t xml:space="preserve">, основанной на </w:t>
      </w:r>
      <w:r w:rsidR="00E9093C">
        <w:rPr>
          <w:b/>
          <w:sz w:val="14"/>
          <w:szCs w:val="20"/>
        </w:rPr>
        <w:t>ДК</w:t>
      </w:r>
      <w:r w:rsidRPr="00231D6D">
        <w:rPr>
          <w:b/>
          <w:sz w:val="14"/>
          <w:szCs w:val="20"/>
        </w:rPr>
        <w:t xml:space="preserve"> и в её алгебре для кинематического моделирования, и позволяет управлять роботом-м</w:t>
      </w:r>
      <w:r w:rsidR="00E9093C">
        <w:rPr>
          <w:b/>
          <w:sz w:val="14"/>
          <w:szCs w:val="20"/>
        </w:rPr>
        <w:t xml:space="preserve">анипулятором и экспериментально </w:t>
      </w:r>
      <w:r w:rsidRPr="00231D6D">
        <w:rPr>
          <w:b/>
          <w:sz w:val="14"/>
          <w:szCs w:val="20"/>
        </w:rPr>
        <w:t>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  <w:proofErr w:type="gramEnd"/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D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231D6D" w:rsidRDefault="005A11EF" w:rsidP="00231D6D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  <w:sectPr w:rsidR="002E5201" w:rsidRPr="00231D6D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</w:t>
      </w:r>
      <w:proofErr w:type="spellStart"/>
      <w:r w:rsidRPr="005A11EF">
        <w:rPr>
          <w:rFonts w:eastAsia="Arial Unicode MS"/>
          <w:b/>
          <w:bCs/>
          <w:sz w:val="13"/>
          <w:szCs w:val="11"/>
        </w:rPr>
        <w:t>кватернионной</w:t>
      </w:r>
      <w:proofErr w:type="spellEnd"/>
      <w:r w:rsidRPr="005A11EF">
        <w:rPr>
          <w:rFonts w:eastAsia="Arial Unicode MS"/>
          <w:b/>
          <w:bCs/>
          <w:sz w:val="13"/>
          <w:szCs w:val="11"/>
        </w:rPr>
        <w:t xml:space="preserve"> пары следующим образом:</w:t>
      </w:r>
    </w:p>
    <w:p w:rsidR="002E5201" w:rsidRDefault="005A11EF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31D6D" w:rsidRPr="00231D6D" w:rsidRDefault="00231D6D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</w:p>
    <w:p w:rsidR="00E9093C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</w:p>
    <w:p w:rsidR="002E5201" w:rsidRPr="006D0B56" w:rsidRDefault="005A11EF" w:rsidP="00E9093C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6D0B56">
        <w:rPr>
          <w:rFonts w:eastAsia="Arial Unicode MS"/>
          <w:b/>
          <w:bCs/>
          <w:sz w:val="14"/>
          <w:szCs w:val="14"/>
        </w:rPr>
        <w:t xml:space="preserve">( </w:t>
      </w:r>
      <w:r w:rsidRPr="006D0B56">
        <w:rPr>
          <w:rFonts w:eastAsia="Arial Unicode MS"/>
          <w:b/>
          <w:bCs/>
          <w:i/>
          <w:iCs/>
          <w:sz w:val="14"/>
          <w:szCs w:val="14"/>
        </w:rPr>
        <w:t>т.е.</w:t>
      </w:r>
      <w:proofErr w:type="gramEnd"/>
      <w:r w:rsidRPr="006D0B56">
        <w:rPr>
          <w:rFonts w:eastAsia="Arial Unicode MS"/>
          <w:b/>
          <w:bCs/>
          <w:sz w:val="14"/>
          <w:szCs w:val="14"/>
        </w:rPr>
        <w:t xml:space="preserve"> </w:t>
      </w:r>
      <w:r w:rsidR="00362982" w:rsidRPr="006D0B56">
        <w:rPr>
          <w:rFonts w:eastAsia="Arial Unicode MS"/>
          <w:b/>
          <w:bCs/>
          <w:sz w:val="14"/>
          <w:szCs w:val="14"/>
        </w:rPr>
        <w:t>в рамках домашнего робота</w:t>
      </w:r>
      <w:r w:rsidRPr="006D0B56">
        <w:rPr>
          <w:rFonts w:eastAsia="Arial Unicode MS"/>
          <w:b/>
          <w:bCs/>
          <w:sz w:val="14"/>
          <w:szCs w:val="14"/>
        </w:rPr>
        <w:t>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450363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97753A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Корректность предложенных подходов кинематического моделирования и управления подтверждена</w:t>
      </w:r>
      <w:r w:rsidR="007D3191" w:rsidRPr="006D0B56">
        <w:rPr>
          <w:rFonts w:eastAsia="Arial Unicode MS"/>
          <w:b/>
          <w:bCs/>
          <w:sz w:val="14"/>
          <w:szCs w:val="14"/>
        </w:rPr>
        <w:t xml:space="preserve"> </w:t>
      </w:r>
      <w:r w:rsidRPr="006D0B56">
        <w:rPr>
          <w:rFonts w:eastAsia="Arial Unicode MS"/>
          <w:b/>
          <w:bCs/>
          <w:sz w:val="14"/>
          <w:szCs w:val="14"/>
        </w:rPr>
        <w:t>экспериментально на манипуляторе с 7 степенями свободы.</w:t>
      </w:r>
    </w:p>
    <w:p w:rsidR="0097753A" w:rsidRPr="006D0B56" w:rsidRDefault="0097753A" w:rsidP="0097753A">
      <w:pPr>
        <w:numPr>
          <w:ilvl w:val="0"/>
          <w:numId w:val="8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E9093C" w:rsidRDefault="00E9093C" w:rsidP="00E9093C">
      <w:pPr>
        <w:pStyle w:val="a3"/>
        <w:rPr>
          <w:rFonts w:eastAsia="Arial Unicode MS"/>
          <w:b/>
          <w:bCs/>
          <w:sz w:val="16"/>
          <w:szCs w:val="14"/>
        </w:rPr>
      </w:pPr>
    </w:p>
    <w:p w:rsidR="00E9093C" w:rsidRPr="00450363" w:rsidRDefault="00E9093C" w:rsidP="00E9093C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450363">
        <w:rPr>
          <w:rFonts w:eastAsia="Arial Unicode MS"/>
          <w:b/>
          <w:bCs/>
          <w:sz w:val="15"/>
          <w:szCs w:val="13"/>
        </w:rPr>
        <w:t xml:space="preserve">Остальная часть статьи идет следующим образом: </w:t>
      </w:r>
    </w:p>
    <w:p w:rsidR="00E9093C" w:rsidRPr="00E9093C" w:rsidRDefault="00E9093C" w:rsidP="00E9093C">
      <w:pPr>
        <w:tabs>
          <w:tab w:val="left" w:pos="230"/>
        </w:tabs>
        <w:spacing w:line="205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ab/>
      </w:r>
      <w:r w:rsidRPr="00450363">
        <w:rPr>
          <w:rFonts w:eastAsia="Arial Unicode MS"/>
          <w:b/>
          <w:bCs/>
          <w:sz w:val="15"/>
          <w:szCs w:val="13"/>
        </w:rPr>
        <w:t xml:space="preserve">Раздел </w:t>
      </w:r>
      <w:r w:rsidRPr="00450363">
        <w:rPr>
          <w:rFonts w:eastAsia="Arial Unicode MS"/>
          <w:b/>
          <w:bCs/>
          <w:color w:val="0080AC"/>
          <w:sz w:val="15"/>
          <w:szCs w:val="13"/>
        </w:rPr>
        <w:t>2</w:t>
      </w:r>
      <w:r w:rsidRPr="00450363">
        <w:rPr>
          <w:rFonts w:eastAsia="Arial Unicode MS"/>
          <w:b/>
          <w:bCs/>
          <w:sz w:val="15"/>
          <w:szCs w:val="13"/>
        </w:rPr>
        <w:t xml:space="preserve"> объясняет </w:t>
      </w:r>
      <w:proofErr w:type="gramStart"/>
      <w:r w:rsidRPr="00450363">
        <w:rPr>
          <w:rFonts w:eastAsia="Arial Unicode MS"/>
          <w:b/>
          <w:bCs/>
          <w:sz w:val="15"/>
          <w:szCs w:val="13"/>
        </w:rPr>
        <w:t>позу(</w:t>
      </w:r>
      <w:proofErr w:type="gramEnd"/>
      <w:r w:rsidRPr="00450363">
        <w:rPr>
          <w:rFonts w:eastAsia="Arial Unicode MS"/>
          <w:b/>
          <w:bCs/>
          <w:sz w:val="15"/>
          <w:szCs w:val="13"/>
        </w:rPr>
        <w:t>позиция + ориентация) представление конечного эффектора, прямого положения и кинематики скорости робота;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E9093C">
        <w:rPr>
          <w:rFonts w:eastAsia="Arial Unicode MS"/>
          <w:b/>
          <w:bCs/>
          <w:sz w:val="15"/>
          <w:szCs w:val="13"/>
        </w:rPr>
        <w:t>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450363">
        <w:rPr>
          <w:rFonts w:eastAsia="Arial Unicode MS"/>
          <w:b/>
          <w:bCs/>
          <w:sz w:val="15"/>
          <w:szCs w:val="13"/>
        </w:rPr>
        <w:t>Раздел 4 экспериментально проверяет предложенную теорию кинематического моделирования и управления на руке робота</w:t>
      </w:r>
      <w:r>
        <w:rPr>
          <w:rFonts w:eastAsia="Arial Unicode MS"/>
          <w:b/>
          <w:bCs/>
          <w:sz w:val="15"/>
          <w:szCs w:val="13"/>
        </w:rPr>
        <w:t>.</w:t>
      </w:r>
      <w:r w:rsidRPr="00E9093C">
        <w:rPr>
          <w:rFonts w:eastAsia="Arial Unicode MS"/>
          <w:b/>
          <w:bCs/>
          <w:sz w:val="15"/>
          <w:szCs w:val="13"/>
        </w:rPr>
        <w:t xml:space="preserve"> </w:t>
      </w:r>
      <w:r>
        <w:rPr>
          <w:rFonts w:eastAsia="Arial Unicode MS"/>
          <w:b/>
          <w:bCs/>
          <w:sz w:val="15"/>
          <w:szCs w:val="13"/>
        </w:rPr>
        <w:t xml:space="preserve">И </w:t>
      </w:r>
      <w:r w:rsidRPr="00450363">
        <w:rPr>
          <w:rFonts w:eastAsia="Arial Unicode MS"/>
          <w:b/>
          <w:bCs/>
          <w:sz w:val="15"/>
          <w:szCs w:val="13"/>
        </w:rPr>
        <w:t>наконец раздел 5 завершает работу</w:t>
      </w:r>
      <w:r>
        <w:rPr>
          <w:rFonts w:eastAsia="Arial Unicode MS"/>
          <w:b/>
          <w:bCs/>
          <w:sz w:val="15"/>
          <w:szCs w:val="13"/>
        </w:rPr>
        <w:t>.</w:t>
      </w:r>
    </w:p>
    <w:p w:rsidR="00E9093C" w:rsidRPr="0097753A" w:rsidRDefault="00E9093C" w:rsidP="00E9093C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p w:rsidR="002E5201" w:rsidRPr="005A11EF" w:rsidRDefault="005A11EF" w:rsidP="007D3191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Default="005A11EF" w:rsidP="007D3191">
      <w:pPr>
        <w:spacing w:line="161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7D3191" w:rsidRPr="005A11EF" w:rsidRDefault="007D3191" w:rsidP="007D3191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его домашняя конфигурация с 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7D3191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Тогда для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простоты </w:t>
      </w:r>
      <w:r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>рука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Default="007D3191">
      <w:pPr>
        <w:tabs>
          <w:tab w:val="left" w:pos="3820"/>
          <w:tab w:val="left" w:pos="4440"/>
        </w:tabs>
        <w:spacing w:line="263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>кватернионом,</w:t>
      </w: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proofErr w:type="gramStart"/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97753A" w:rsidRPr="005A11EF" w:rsidRDefault="0097753A" w:rsidP="0097753A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97753A" w:rsidRPr="005A11EF" w:rsidRDefault="0097753A" w:rsidP="0097753A">
      <w:pPr>
        <w:spacing w:line="44" w:lineRule="exact"/>
        <w:rPr>
          <w:szCs w:val="20"/>
        </w:rPr>
      </w:pP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относительное смещение концевой </w:t>
      </w:r>
      <w:proofErr w:type="spellStart"/>
      <w:r w:rsidRPr="005A11EF">
        <w:rPr>
          <w:rFonts w:eastAsia="Arial Unicode MS"/>
          <w:b/>
          <w:bCs/>
          <w:sz w:val="15"/>
          <w:szCs w:val="13"/>
        </w:rPr>
        <w:t>эффекторной</w:t>
      </w:r>
      <w:proofErr w:type="spellEnd"/>
      <w:r w:rsidRPr="005A11EF">
        <w:rPr>
          <w:rFonts w:eastAsia="Arial Unicode MS"/>
          <w:b/>
          <w:bCs/>
          <w:sz w:val="15"/>
          <w:szCs w:val="13"/>
        </w:rPr>
        <w:t xml:space="preserve"> рамы из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я </w:t>
      </w:r>
      <w:r w:rsidRPr="005A11EF">
        <w:rPr>
          <w:rFonts w:eastAsia="Arial Unicode MS"/>
          <w:b/>
          <w:bCs/>
          <w:sz w:val="13"/>
          <w:szCs w:val="11"/>
        </w:rPr>
        <w:t>совместная конфигурация дома</w:t>
      </w:r>
      <w:r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450363">
        <w:rPr>
          <w:rFonts w:eastAsia="Arial Unicode MS"/>
          <w:b/>
          <w:bCs/>
          <w:sz w:val="13"/>
          <w:szCs w:val="11"/>
        </w:rPr>
        <w:t>Тогда</w:t>
      </w:r>
      <w:proofErr w:type="gramEnd"/>
      <w:r w:rsidRPr="00450363">
        <w:rPr>
          <w:rFonts w:eastAsia="Arial Unicode MS"/>
          <w:b/>
          <w:bCs/>
          <w:sz w:val="13"/>
          <w:szCs w:val="11"/>
        </w:rPr>
        <w:t xml:space="preserve"> для любого отклонения от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В исходной конфигурации позу конечного эффектора руки робота можно рассчитать,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умножив все эти единицы на двойные кватернионы последовательных смещений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суставов:</w:t>
      </w: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960"/>
      </w:tblGrid>
      <w:tr w:rsidR="0097753A" w:rsidRPr="005A11EF" w:rsidTr="0097753A">
        <w:trPr>
          <w:trHeight w:val="177"/>
        </w:trPr>
        <w:tc>
          <w:tcPr>
            <w:tcW w:w="5100" w:type="dxa"/>
            <w:gridSpan w:val="2"/>
            <w:vAlign w:val="bottom"/>
          </w:tcPr>
          <w:p w:rsidR="0097753A" w:rsidRPr="005A11EF" w:rsidRDefault="0097753A" w:rsidP="0097753A">
            <w:pPr>
              <w:spacing w:line="175" w:lineRule="exact"/>
              <w:ind w:left="140"/>
              <w:rPr>
                <w:szCs w:val="20"/>
              </w:rPr>
            </w:pP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Результирующая единица двойного кватерниона, a 0 </w:t>
            </w:r>
            <w:proofErr w:type="gramStart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ˆ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proofErr w:type="gramEnd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 a 0 а, представляет собой новое предложение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</w:tr>
      <w:tr w:rsidR="0097753A" w:rsidRPr="005A11EF" w:rsidTr="0097753A">
        <w:trPr>
          <w:trHeight w:val="55"/>
        </w:trPr>
        <w:tc>
          <w:tcPr>
            <w:tcW w:w="140" w:type="dxa"/>
            <w:vAlign w:val="bottom"/>
          </w:tcPr>
          <w:p w:rsidR="0097753A" w:rsidRPr="005A11EF" w:rsidRDefault="0097753A" w:rsidP="0097753A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vAlign w:val="bottom"/>
          </w:tcPr>
          <w:p w:rsidR="0097753A" w:rsidRPr="005A11EF" w:rsidRDefault="0097753A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  <w: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</w:tr>
    </w:tbl>
    <w:p w:rsidR="0097753A" w:rsidRPr="005A11EF" w:rsidRDefault="0097753A" w:rsidP="0097753A">
      <w:pPr>
        <w:spacing w:line="175" w:lineRule="exact"/>
        <w:rPr>
          <w:szCs w:val="20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Pr="005A11EF" w:rsidRDefault="0097753A" w:rsidP="0097753A">
      <w:pPr>
        <w:spacing w:line="170" w:lineRule="exact"/>
        <w:ind w:right="160"/>
        <w:rPr>
          <w:szCs w:val="20"/>
        </w:rPr>
      </w:pPr>
    </w:p>
    <w:p w:rsidR="0097753A" w:rsidRPr="005A11EF" w:rsidRDefault="0097753A">
      <w:pPr>
        <w:tabs>
          <w:tab w:val="left" w:pos="3820"/>
          <w:tab w:val="left" w:pos="4440"/>
        </w:tabs>
        <w:spacing w:line="263" w:lineRule="exact"/>
        <w:rPr>
          <w:szCs w:val="20"/>
        </w:rPr>
      </w:pP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97753A" w:rsidRPr="00450363" w:rsidRDefault="0097753A" w:rsidP="0097753A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 w:rsidTr="00450363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2E5201">
            <w:pPr>
              <w:spacing w:line="71" w:lineRule="exact"/>
              <w:rPr>
                <w:szCs w:val="2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>
            <w:pPr>
              <w:spacing w:line="148" w:lineRule="exact"/>
              <w:rPr>
                <w:szCs w:val="20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2E5201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 w:rsidP="00450363">
            <w:pPr>
              <w:spacing w:line="148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lastRenderedPageBreak/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  <w:r w:rsid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</w:t>
            </w:r>
            <w:r w:rsidR="0097753A" w:rsidRP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>получения дополнительной информации о кватернионах, двойных числах и двойных 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3" w:name="page3"/>
      <w:bookmarkEnd w:id="3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1320165</wp:posOffset>
            </wp:positionH>
            <wp:positionV relativeFrom="paragraph">
              <wp:posOffset>120015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</w:t>
            </w:r>
            <w:proofErr w:type="gramStart"/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proofErr w:type="gramStart"/>
      <w:r w:rsidRPr="005A11EF">
        <w:rPr>
          <w:rFonts w:eastAsia="Arial Unicode MS"/>
          <w:b/>
          <w:bCs/>
          <w:sz w:val="7"/>
          <w:szCs w:val="5"/>
        </w:rPr>
        <w:t>0</w:t>
      </w:r>
      <w:proofErr w:type="gramEnd"/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7A2E16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proofErr w:type="gramEnd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proofErr w:type="gramStart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>a</w:t>
      </w:r>
      <w:proofErr w:type="gramEnd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2. </w:t>
      </w: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, ,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</w:t>
      </w:r>
      <w:proofErr w:type="gramEnd"/>
      <w:r w:rsidRPr="005A11EF">
        <w:rPr>
          <w:rFonts w:eastAsia="Arial Unicode MS"/>
          <w:b/>
          <w:bCs/>
          <w:color w:val="000000"/>
          <w:sz w:val="13"/>
          <w:szCs w:val="11"/>
        </w:rPr>
        <w:t>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)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0"/>
          <w:szCs w:val="8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  <w:proofErr w:type="gramEnd"/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4" w:name="page4"/>
            <w:bookmarkEnd w:id="4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CDA1D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◦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( ξ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</w:t>
      </w:r>
      <w:proofErr w:type="gramStart"/>
      <w:r w:rsidRPr="005A11EF">
        <w:rPr>
          <w:rFonts w:eastAsia="Arial Unicode MS"/>
          <w:b/>
          <w:bCs/>
          <w:sz w:val="9"/>
          <w:szCs w:val="7"/>
        </w:rPr>
        <w:t>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5" w:name="page5"/>
      <w:bookmarkEnd w:id="5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201295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лежит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7A2E16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Fig. </w:t>
      </w:r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</w:t>
      </w:r>
      <w:proofErr w:type="gramEnd"/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7A2E16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Рис. </w:t>
      </w:r>
      <w:proofErr w:type="gramStart"/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>3</w:t>
      </w:r>
      <w:proofErr w:type="gramEnd"/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="005A11EF"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псевдо векторное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* </w:t>
            </w:r>
            <w:proofErr w:type="gramStart"/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6" w:name="page6"/>
      <w:bookmarkEnd w:id="6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proofErr w:type="gramEnd"/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</w:t>
      </w:r>
      <w:proofErr w:type="gramStart"/>
      <w:r w:rsidRPr="005A11EF">
        <w:rPr>
          <w:rFonts w:eastAsia="Arial Unicode MS"/>
          <w:b/>
          <w:bCs/>
          <w:sz w:val="11"/>
          <w:szCs w:val="9"/>
        </w:rPr>
        <w:t xml:space="preserve">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1"/>
          <w:szCs w:val="9"/>
        </w:rPr>
        <w:t>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s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2"/>
          <w:szCs w:val="10"/>
        </w:rPr>
        <w:t>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>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  <w:proofErr w:type="gramEnd"/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п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0EC9A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A08A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7" w:name="page7"/>
      <w:bookmarkEnd w:id="7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7A2E16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>(А.5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) </w:t>
        </w:r>
        <w:r w:rsidR="005A11EF"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="005A11EF"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  <w:proofErr w:type="gramEnd"/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>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[ 0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6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Towards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for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flexible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, R.H. Taylor, R.P. Paul, </w:t>
      </w:r>
      <w:proofErr w:type="gram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On</w:t>
      </w:r>
      <w:proofErr w:type="gram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0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proofErr w:type="gramEnd"/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proofErr w:type="gramStart"/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ℓ). </w:t>
      </w:r>
      <w:proofErr w:type="gramStart"/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</w:t>
      </w:r>
      <w:proofErr w:type="gramEnd"/>
      <w:r w:rsidRPr="005A11EF">
        <w:rPr>
          <w:rFonts w:eastAsia="Arial Unicode MS"/>
          <w:b/>
          <w:bCs/>
          <w:szCs w:val="21"/>
          <w:vertAlign w:val="subscript"/>
          <w:lang w:val="en-US"/>
        </w:rPr>
        <w:t>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C6A7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BC0E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</w:t>
      </w:r>
      <w:proofErr w:type="gramStart"/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  <w:proofErr w:type="gramEnd"/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2B4532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2B4532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2B4532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and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  <w:proofErr w:type="gramEnd"/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3306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3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4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On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ASME J. Mech. Des.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116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064257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6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proofErr w:type="gramStart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32</w:t>
        </w:r>
        <w:proofErr w:type="gramEnd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(1) (2003) 71–92.</w:t>
        </w:r>
      </w:hyperlink>
    </w:p>
    <w:p w:rsidR="002E5201" w:rsidRPr="00064257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Specs.,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0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robotics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>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of Blaise Pascal,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2015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Default="005A11EF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szCs w:val="20"/>
          <w:lang w:val="en-US"/>
        </w:rPr>
      </w:pPr>
    </w:p>
    <w:p w:rsidR="00064257" w:rsidRPr="00F81F64" w:rsidRDefault="00064257" w:rsidP="00064257">
      <w:pPr>
        <w:rPr>
          <w:szCs w:val="20"/>
          <w:lang w:val="en-US"/>
        </w:rPr>
      </w:pPr>
    </w:p>
    <w:p w:rsidR="00064257" w:rsidRPr="00F81F64" w:rsidRDefault="00064257">
      <w:pPr>
        <w:spacing w:line="155" w:lineRule="exact"/>
        <w:rPr>
          <w:szCs w:val="20"/>
          <w:lang w:val="en-US"/>
        </w:rPr>
      </w:pPr>
    </w:p>
    <w:sectPr w:rsidR="00064257" w:rsidRPr="00F81F64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050611"/>
    <w:rsid w:val="00064257"/>
    <w:rsid w:val="00101C8F"/>
    <w:rsid w:val="001A0054"/>
    <w:rsid w:val="00231D6D"/>
    <w:rsid w:val="002B4532"/>
    <w:rsid w:val="002E5201"/>
    <w:rsid w:val="00362982"/>
    <w:rsid w:val="00450363"/>
    <w:rsid w:val="005A11EF"/>
    <w:rsid w:val="005D609B"/>
    <w:rsid w:val="006D0B56"/>
    <w:rsid w:val="007D3191"/>
    <w:rsid w:val="0097753A"/>
    <w:rsid w:val="00A1656B"/>
    <w:rsid w:val="00A42B5E"/>
    <w:rsid w:val="00BA0BBD"/>
    <w:rsid w:val="00E9093C"/>
    <w:rsid w:val="00F81515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://refhub.elsevier.com/S0921-8890(15)30118-4/sbref4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10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refhub.elsevier.com/S0921-8890(15)30118-4/sbref3" TargetMode="External"/><Relationship Id="rId25" Type="http://schemas.openxmlformats.org/officeDocument/2006/relationships/hyperlink" Target="http://refhub.elsevier.com/S0921-8890(15)30118-4/sbref12" TargetMode="External"/><Relationship Id="rId33" Type="http://schemas.openxmlformats.org/officeDocument/2006/relationships/hyperlink" Target="http://refhub.elsevier.com/S0921-8890(15)30118-4/sbref18" TargetMode="External"/><Relationship Id="rId38" Type="http://schemas.openxmlformats.org/officeDocument/2006/relationships/hyperlink" Target="http://refhub.elsevier.com/S0921-8890(15)30118-4/sbref23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hub.elsevier.com/S0921-8890(15)30118-4/sbref1" TargetMode="External"/><Relationship Id="rId20" Type="http://schemas.openxmlformats.org/officeDocument/2006/relationships/hyperlink" Target="http://refhub.elsevier.com/S0921-8890(15)30118-4/sbref9" TargetMode="External"/><Relationship Id="rId29" Type="http://schemas.openxmlformats.org/officeDocument/2006/relationships/hyperlink" Target="http://refhub.elsevier.com/S0921-8890(15)30118-4/sbref16" TargetMode="External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1" TargetMode="External"/><Relationship Id="rId40" Type="http://schemas.openxmlformats.org/officeDocument/2006/relationships/hyperlink" Target="http://refhub.elsevier.com/S0921-8890(15)30118-4/sbref2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://refhub.elsevier.com/S0921-8890(15)30118-4/sbref11" TargetMode="External"/><Relationship Id="rId28" Type="http://schemas.openxmlformats.org/officeDocument/2006/relationships/hyperlink" Target="http://refhub.elsevier.com/S0921-8890(15)30118-4/sbref15" TargetMode="External"/><Relationship Id="rId36" Type="http://schemas.openxmlformats.org/officeDocument/2006/relationships/hyperlink" Target="http://refhub.elsevier.com/S0921-8890(15)30118-4/sbref20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4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9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14</Pages>
  <Words>5586</Words>
  <Characters>31845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14</cp:revision>
  <dcterms:created xsi:type="dcterms:W3CDTF">2019-09-16T07:46:00Z</dcterms:created>
  <dcterms:modified xsi:type="dcterms:W3CDTF">2019-10-01T20:36:00Z</dcterms:modified>
</cp:coreProperties>
</file>