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7A" w:rsidRPr="005A11EF" w:rsidRDefault="0083687A" w:rsidP="0083687A">
      <w:pPr>
        <w:spacing w:line="281" w:lineRule="exact"/>
        <w:ind w:left="6" w:right="3300"/>
        <w:rPr>
          <w:sz w:val="32"/>
          <w:szCs w:val="20"/>
        </w:rPr>
      </w:pPr>
      <w:r w:rsidRPr="005A11EF">
        <w:rPr>
          <w:rFonts w:eastAsia="Arial Unicode MS"/>
          <w:bCs/>
          <w:sz w:val="24"/>
          <w:szCs w:val="16"/>
        </w:rPr>
        <w:t xml:space="preserve">Кинематическое моделирование и управление роботизированным </w:t>
      </w:r>
      <w:proofErr w:type="spellStart"/>
      <w:r w:rsidRPr="005A11EF">
        <w:rPr>
          <w:rFonts w:eastAsia="Arial Unicode MS"/>
          <w:bCs/>
          <w:sz w:val="24"/>
          <w:szCs w:val="16"/>
        </w:rPr>
        <w:t>мнипулятором</w:t>
      </w:r>
      <w:proofErr w:type="spellEnd"/>
      <w:r w:rsidRPr="005A11EF">
        <w:rPr>
          <w:rFonts w:eastAsia="Arial Unicode MS"/>
          <w:bCs/>
          <w:sz w:val="24"/>
          <w:szCs w:val="16"/>
        </w:rPr>
        <w:t xml:space="preserve"> с использованием дуальных кватернионов</w:t>
      </w:r>
    </w:p>
    <w:p w:rsidR="00772485" w:rsidRDefault="00772485"/>
    <w:p w:rsidR="0083687A" w:rsidRPr="005A11EF" w:rsidRDefault="0083687A" w:rsidP="0083687A">
      <w:pPr>
        <w:spacing w:line="188" w:lineRule="exact"/>
        <w:ind w:left="6"/>
        <w:rPr>
          <w:sz w:val="28"/>
          <w:szCs w:val="20"/>
        </w:rPr>
      </w:pPr>
      <w:r w:rsidRPr="005A11EF">
        <w:rPr>
          <w:rFonts w:eastAsia="Arial Unicode MS"/>
          <w:b/>
          <w:bCs/>
          <w:sz w:val="20"/>
          <w:szCs w:val="14"/>
        </w:rPr>
        <w:t>Основные моменты</w:t>
      </w:r>
    </w:p>
    <w:p w:rsidR="0083687A" w:rsidRPr="005A11EF" w:rsidRDefault="0083687A" w:rsidP="0083687A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8FD3F23" wp14:editId="266C1375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DCEDB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3687A" w:rsidRPr="005A11EF" w:rsidRDefault="0083687A" w:rsidP="0083687A">
      <w:pPr>
        <w:spacing w:line="190" w:lineRule="exact"/>
        <w:rPr>
          <w:szCs w:val="20"/>
        </w:rPr>
      </w:pPr>
    </w:p>
    <w:p w:rsidR="0083687A" w:rsidRPr="00BA0BBD" w:rsidRDefault="0083687A" w:rsidP="0083687A">
      <w:pPr>
        <w:numPr>
          <w:ilvl w:val="0"/>
          <w:numId w:val="1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>Кинематическое моделирование и управление положением роботизированного манипулятора с несколькими степенями свободы.</w:t>
      </w:r>
    </w:p>
    <w:p w:rsidR="0083687A" w:rsidRPr="00BA0BBD" w:rsidRDefault="0083687A" w:rsidP="0083687A">
      <w:pPr>
        <w:spacing w:line="23" w:lineRule="exact"/>
        <w:rPr>
          <w:rFonts w:eastAsia="Arial Unicode MS"/>
          <w:b/>
          <w:bCs/>
          <w:sz w:val="18"/>
          <w:szCs w:val="13"/>
        </w:rPr>
      </w:pPr>
    </w:p>
    <w:p w:rsidR="0083687A" w:rsidRPr="00BA0BBD" w:rsidRDefault="0083687A" w:rsidP="0083687A">
      <w:pPr>
        <w:numPr>
          <w:ilvl w:val="0"/>
          <w:numId w:val="1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6"/>
          <w:szCs w:val="10"/>
        </w:rPr>
        <w:t>Компактная и простая формулировка.</w:t>
      </w:r>
    </w:p>
    <w:p w:rsidR="0083687A" w:rsidRPr="00BA0BBD" w:rsidRDefault="0083687A" w:rsidP="0083687A">
      <w:pPr>
        <w:spacing w:line="11" w:lineRule="exact"/>
        <w:rPr>
          <w:rFonts w:eastAsia="Arial Unicode MS"/>
          <w:b/>
          <w:bCs/>
          <w:sz w:val="18"/>
          <w:szCs w:val="13"/>
        </w:rPr>
      </w:pPr>
    </w:p>
    <w:p w:rsidR="0083687A" w:rsidRPr="00BA0BBD" w:rsidRDefault="0083687A" w:rsidP="0083687A">
      <w:pPr>
        <w:numPr>
          <w:ilvl w:val="0"/>
          <w:numId w:val="1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>Использование дуальных кватернионов и его алгебры.</w:t>
      </w:r>
    </w:p>
    <w:p w:rsidR="0083687A" w:rsidRDefault="0083687A"/>
    <w:p w:rsidR="0083687A" w:rsidRPr="005A11EF" w:rsidRDefault="0083687A" w:rsidP="0083687A">
      <w:pPr>
        <w:spacing w:line="188" w:lineRule="exact"/>
        <w:ind w:left="6"/>
        <w:rPr>
          <w:szCs w:val="20"/>
        </w:rPr>
      </w:pPr>
      <w:r w:rsidRPr="00BA0BBD">
        <w:rPr>
          <w:rFonts w:eastAsia="Arial Unicode MS"/>
          <w:b/>
          <w:bCs/>
          <w:sz w:val="16"/>
          <w:szCs w:val="14"/>
        </w:rPr>
        <w:t>информация о статье</w:t>
      </w:r>
    </w:p>
    <w:p w:rsidR="0083687A" w:rsidRPr="005A11EF" w:rsidRDefault="0083687A" w:rsidP="0083687A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56EF023" wp14:editId="0BFF2DE2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169164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B2465" id="Shape 7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55pt" to="133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3687A" w:rsidRPr="005A11EF" w:rsidRDefault="0083687A" w:rsidP="0083687A">
      <w:pPr>
        <w:spacing w:line="229" w:lineRule="exact"/>
        <w:rPr>
          <w:szCs w:val="20"/>
        </w:rPr>
      </w:pPr>
    </w:p>
    <w:p w:rsidR="0083687A" w:rsidRPr="00BA0BBD" w:rsidRDefault="0083687A" w:rsidP="0083687A">
      <w:pPr>
        <w:spacing w:line="121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3"/>
          <w:szCs w:val="9"/>
        </w:rPr>
        <w:t>История статьи:</w:t>
      </w:r>
    </w:p>
    <w:p w:rsidR="0083687A" w:rsidRPr="00BA0BBD" w:rsidRDefault="0083687A" w:rsidP="0083687A">
      <w:pPr>
        <w:spacing w:line="46" w:lineRule="exact"/>
        <w:rPr>
          <w:sz w:val="24"/>
          <w:szCs w:val="20"/>
        </w:rPr>
      </w:pPr>
    </w:p>
    <w:p w:rsidR="0083687A" w:rsidRPr="00BA0BBD" w:rsidRDefault="0083687A" w:rsidP="0083687A">
      <w:pPr>
        <w:spacing w:line="152" w:lineRule="exact"/>
        <w:ind w:left="6" w:right="580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Получено 15 сентября 2015 г. Принято 9 декабря 2015 г. Доступно в сети 17 декабря</w:t>
      </w:r>
    </w:p>
    <w:p w:rsidR="0083687A" w:rsidRPr="00BA0BBD" w:rsidRDefault="0083687A" w:rsidP="0083687A">
      <w:pPr>
        <w:spacing w:line="38" w:lineRule="exact"/>
        <w:rPr>
          <w:sz w:val="24"/>
          <w:szCs w:val="20"/>
        </w:rPr>
      </w:pPr>
    </w:p>
    <w:p w:rsidR="0083687A" w:rsidRPr="00BA0BBD" w:rsidRDefault="0083687A" w:rsidP="0083687A">
      <w:pPr>
        <w:spacing w:line="13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2015 г.</w:t>
      </w:r>
    </w:p>
    <w:p w:rsidR="0083687A" w:rsidRDefault="0083687A"/>
    <w:p w:rsidR="0083687A" w:rsidRPr="005A11EF" w:rsidRDefault="0083687A" w:rsidP="0083687A">
      <w:pPr>
        <w:spacing w:line="188" w:lineRule="exact"/>
        <w:rPr>
          <w:szCs w:val="20"/>
        </w:rPr>
      </w:pPr>
      <w:r>
        <w:rPr>
          <w:rFonts w:eastAsia="Arial Unicode MS"/>
          <w:b/>
          <w:bCs/>
          <w:sz w:val="16"/>
          <w:szCs w:val="14"/>
        </w:rPr>
        <w:t>В</w:t>
      </w:r>
      <w:r w:rsidRPr="00BA0BBD">
        <w:rPr>
          <w:rFonts w:eastAsia="Arial Unicode MS"/>
          <w:b/>
          <w:bCs/>
          <w:sz w:val="16"/>
          <w:szCs w:val="14"/>
        </w:rPr>
        <w:t>ыписка</w:t>
      </w:r>
    </w:p>
    <w:p w:rsidR="0083687A" w:rsidRPr="005A11EF" w:rsidRDefault="0083687A" w:rsidP="0083687A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E163D99" wp14:editId="4646082C">
                <wp:simplePos x="0" y="0"/>
                <wp:positionH relativeFrom="column">
                  <wp:posOffset>-5080</wp:posOffset>
                </wp:positionH>
                <wp:positionV relativeFrom="paragraph">
                  <wp:posOffset>108585</wp:posOffset>
                </wp:positionV>
                <wp:extent cx="45358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35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04AC0" id="Shape 9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55pt" to="35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3687A" w:rsidRPr="005A11EF" w:rsidRDefault="0083687A" w:rsidP="0083687A">
      <w:pPr>
        <w:spacing w:line="239" w:lineRule="exact"/>
        <w:rPr>
          <w:szCs w:val="20"/>
        </w:rPr>
      </w:pPr>
    </w:p>
    <w:p w:rsidR="0083687A" w:rsidRPr="001A0054" w:rsidRDefault="0083687A" w:rsidP="0083687A">
      <w:pPr>
        <w:spacing w:line="181" w:lineRule="exact"/>
        <w:ind w:right="68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Эта статья использует </w:t>
      </w:r>
      <w:r>
        <w:rPr>
          <w:rFonts w:eastAsia="Arial Unicode MS"/>
          <w:b/>
          <w:bCs/>
          <w:sz w:val="12"/>
          <w:szCs w:val="10"/>
        </w:rPr>
        <w:t xml:space="preserve">винтовую </w:t>
      </w:r>
      <w:proofErr w:type="gramStart"/>
      <w:r>
        <w:rPr>
          <w:rFonts w:eastAsia="Arial Unicode MS"/>
          <w:b/>
          <w:bCs/>
          <w:sz w:val="12"/>
          <w:szCs w:val="10"/>
          <w:highlight w:val="yellow"/>
        </w:rPr>
        <w:t xml:space="preserve">теорию </w:t>
      </w:r>
      <w:r w:rsidRPr="005A11EF">
        <w:rPr>
          <w:rFonts w:eastAsia="Arial Unicode MS"/>
          <w:b/>
          <w:bCs/>
          <w:sz w:val="12"/>
          <w:szCs w:val="10"/>
        </w:rPr>
        <w:t>,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выраженную через единичное двойное </w:t>
      </w:r>
      <w:proofErr w:type="spellStart"/>
      <w:r w:rsidRPr="005A11EF">
        <w:rPr>
          <w:rFonts w:eastAsia="Arial Unicode MS"/>
          <w:b/>
          <w:bCs/>
          <w:sz w:val="12"/>
          <w:szCs w:val="10"/>
        </w:rPr>
        <w:t>кватернионное</w:t>
      </w:r>
      <w:proofErr w:type="spellEnd"/>
      <w:r w:rsidRPr="005A11EF">
        <w:rPr>
          <w:rFonts w:eastAsia="Arial Unicode MS"/>
          <w:b/>
          <w:bCs/>
          <w:sz w:val="12"/>
          <w:szCs w:val="10"/>
        </w:rPr>
        <w:t xml:space="preserve"> представление и ее алгебру, чтобы сформулировать как прямое (положение + скорост</w:t>
      </w:r>
      <w:r>
        <w:rPr>
          <w:rFonts w:eastAsia="Arial Unicode MS"/>
          <w:b/>
          <w:bCs/>
          <w:sz w:val="12"/>
          <w:szCs w:val="10"/>
        </w:rPr>
        <w:t xml:space="preserve">ь) кинематика и управление положением  роботизированного </w:t>
      </w:r>
      <w:r w:rsidRPr="00064257">
        <w:rPr>
          <w:rFonts w:eastAsia="Arial Unicode MS"/>
          <w:b/>
          <w:bCs/>
          <w:sz w:val="12"/>
          <w:szCs w:val="10"/>
        </w:rPr>
        <w:t xml:space="preserve"> манипулятор</w:t>
      </w:r>
      <w:r>
        <w:rPr>
          <w:rFonts w:eastAsia="Arial Unicode MS"/>
          <w:b/>
          <w:bCs/>
          <w:sz w:val="12"/>
          <w:szCs w:val="10"/>
        </w:rPr>
        <w:t xml:space="preserve">а с </w:t>
      </w:r>
      <w:r>
        <w:rPr>
          <w:rFonts w:eastAsia="Arial Unicode MS"/>
          <w:b/>
          <w:bCs/>
          <w:sz w:val="12"/>
          <w:szCs w:val="10"/>
          <w:lang w:val="en-US"/>
        </w:rPr>
        <w:t>n</w:t>
      </w:r>
      <w:r w:rsidRPr="00064257">
        <w:rPr>
          <w:rFonts w:eastAsia="Arial Unicode MS"/>
          <w:b/>
          <w:bCs/>
          <w:sz w:val="12"/>
          <w:szCs w:val="10"/>
        </w:rPr>
        <w:t xml:space="preserve"> </w:t>
      </w:r>
      <w:r>
        <w:rPr>
          <w:rFonts w:eastAsia="Arial Unicode MS"/>
          <w:b/>
          <w:bCs/>
          <w:sz w:val="12"/>
          <w:szCs w:val="10"/>
        </w:rPr>
        <w:t>степенями свободы</w:t>
      </w:r>
      <w:r w:rsidRPr="005A11EF">
        <w:rPr>
          <w:rFonts w:eastAsia="Arial Unicode MS"/>
          <w:b/>
          <w:bCs/>
          <w:sz w:val="12"/>
          <w:szCs w:val="10"/>
        </w:rPr>
        <w:t xml:space="preserve"> эффективным способом. Эффективность заключается в меньшем использовании компьютерной памяти, в быстром вычислении уравнений, в представлении пространства задач без особенностей, в устойчивости к числовым ошибкам и в компактности представлений. Формулировка проста, интуитивно понятна и проста в реализации. Мы подтвердили эту формулировку </w:t>
      </w:r>
      <w:r>
        <w:rPr>
          <w:rFonts w:eastAsia="Arial Unicode MS"/>
          <w:b/>
          <w:bCs/>
          <w:sz w:val="12"/>
          <w:szCs w:val="10"/>
        </w:rPr>
        <w:t xml:space="preserve">экспериментально на манипуляторе </w:t>
      </w:r>
      <w:r w:rsidRPr="005A11EF">
        <w:rPr>
          <w:rFonts w:eastAsia="Arial Unicode MS"/>
          <w:b/>
          <w:bCs/>
          <w:sz w:val="12"/>
          <w:szCs w:val="10"/>
        </w:rPr>
        <w:t>с 7 степенями свободы.</w:t>
      </w:r>
    </w:p>
    <w:p w:rsidR="0083687A" w:rsidRDefault="0083687A"/>
    <w:p w:rsidR="0083687A" w:rsidRPr="005A11EF" w:rsidRDefault="0083687A" w:rsidP="0083687A">
      <w:pPr>
        <w:numPr>
          <w:ilvl w:val="0"/>
          <w:numId w:val="2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BA0BBD">
        <w:rPr>
          <w:rFonts w:eastAsia="Arial Unicode MS"/>
          <w:b/>
          <w:bCs/>
          <w:sz w:val="18"/>
          <w:szCs w:val="13"/>
        </w:rPr>
        <w:t>Введение</w:t>
      </w:r>
    </w:p>
    <w:p w:rsidR="0083687A" w:rsidRPr="005A11EF" w:rsidRDefault="0083687A" w:rsidP="0083687A">
      <w:pPr>
        <w:spacing w:line="251" w:lineRule="exact"/>
        <w:rPr>
          <w:szCs w:val="20"/>
        </w:rPr>
      </w:pPr>
    </w:p>
    <w:p w:rsidR="0083687A" w:rsidRPr="005A11EF" w:rsidRDefault="0083687A" w:rsidP="0083687A">
      <w:pPr>
        <w:spacing w:line="204" w:lineRule="exact"/>
        <w:ind w:left="6" w:firstLine="239"/>
        <w:rPr>
          <w:rFonts w:eastAsia="Arial Unicode MS"/>
          <w:b/>
          <w:bCs/>
          <w:sz w:val="14"/>
          <w:szCs w:val="12"/>
        </w:rPr>
      </w:pPr>
      <w:r>
        <w:rPr>
          <w:rFonts w:eastAsia="Arial Unicode MS"/>
          <w:b/>
          <w:bCs/>
          <w:sz w:val="14"/>
          <w:szCs w:val="8"/>
        </w:rPr>
        <w:t xml:space="preserve">Представление положения с помощью дуальных </w:t>
      </w:r>
      <w:proofErr w:type="spellStart"/>
      <w:r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Pr="005A11EF">
        <w:rPr>
          <w:rFonts w:eastAsia="Arial Unicode MS"/>
          <w:b/>
          <w:bCs/>
          <w:sz w:val="14"/>
          <w:szCs w:val="12"/>
        </w:rPr>
        <w:t xml:space="preserve"> (позиция + ориентация) получила большое внимание сообщества робототехники как для кинематического моделирования, так и для целей управления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proofErr w:type="gramEnd"/>
      <w:r w:rsidRPr="005A11EF">
        <w:rPr>
          <w:rFonts w:eastAsia="Arial Unicode MS"/>
          <w:b/>
          <w:bCs/>
          <w:color w:val="0080AC"/>
          <w:sz w:val="14"/>
          <w:szCs w:val="12"/>
        </w:rPr>
        <w:t>-8</w:t>
      </w:r>
      <w:r w:rsidRPr="005A11EF">
        <w:rPr>
          <w:rFonts w:eastAsia="Arial Unicode MS"/>
          <w:b/>
          <w:bCs/>
          <w:sz w:val="14"/>
          <w:szCs w:val="12"/>
        </w:rPr>
        <w:t xml:space="preserve"> ] </w:t>
      </w:r>
      <w:r>
        <w:rPr>
          <w:rFonts w:eastAsia="Arial Unicode MS"/>
          <w:b/>
          <w:bCs/>
          <w:sz w:val="14"/>
          <w:szCs w:val="12"/>
        </w:rPr>
        <w:t xml:space="preserve">только </w:t>
      </w:r>
      <w:r w:rsidRPr="005A11EF">
        <w:rPr>
          <w:rFonts w:eastAsia="Arial Unicode MS"/>
          <w:b/>
          <w:bCs/>
          <w:sz w:val="14"/>
          <w:szCs w:val="12"/>
        </w:rPr>
        <w:t xml:space="preserve">недавно, хотя его эффективность хранения </w:t>
      </w:r>
      <w:hyperlink w:anchor="page7">
        <w:r w:rsidRPr="005A11EF">
          <w:rPr>
            <w:rFonts w:eastAsia="Arial Unicode MS"/>
            <w:b/>
            <w:bCs/>
            <w:sz w:val="14"/>
            <w:szCs w:val="12"/>
          </w:rPr>
          <w:t xml:space="preserve">и </w:t>
        </w:r>
      </w:hyperlink>
      <w:r w:rsidRPr="005A11EF">
        <w:rPr>
          <w:rFonts w:eastAsia="Arial Unicode MS"/>
          <w:b/>
          <w:bCs/>
          <w:sz w:val="14"/>
          <w:szCs w:val="12"/>
        </w:rPr>
        <w:t>вычислений над матрицей однородно</w:t>
      </w:r>
      <w:r>
        <w:rPr>
          <w:rFonts w:eastAsia="Arial Unicode MS"/>
          <w:b/>
          <w:bCs/>
          <w:sz w:val="14"/>
          <w:szCs w:val="12"/>
        </w:rPr>
        <w:t>го преобразования (МОП)</w:t>
      </w:r>
      <w:r w:rsidRPr="005A11EF">
        <w:rPr>
          <w:rFonts w:eastAsia="Arial Unicode MS"/>
          <w:b/>
          <w:bCs/>
          <w:sz w:val="14"/>
          <w:szCs w:val="12"/>
        </w:rPr>
        <w:t xml:space="preserve"> была известна уже более двух десятилетий 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9</w:t>
      </w:r>
      <w:r w:rsidRPr="005A11EF">
        <w:rPr>
          <w:rFonts w:eastAsia="Arial Unicode MS"/>
          <w:b/>
          <w:bCs/>
          <w:sz w:val="14"/>
          <w:szCs w:val="12"/>
        </w:rPr>
        <w:t xml:space="preserve"> ,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10</w:t>
      </w:r>
      <w:r>
        <w:rPr>
          <w:rFonts w:eastAsia="Arial Unicode MS"/>
          <w:b/>
          <w:bCs/>
          <w:sz w:val="14"/>
          <w:szCs w:val="12"/>
        </w:rPr>
        <w:t xml:space="preserve"> ]. Исследование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11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показывает превосходную производительность </w:t>
      </w:r>
      <w:r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Pr="005A11EF">
        <w:rPr>
          <w:rFonts w:eastAsia="Arial Unicode MS"/>
          <w:b/>
          <w:bCs/>
          <w:sz w:val="14"/>
          <w:szCs w:val="12"/>
        </w:rPr>
        <w:t xml:space="preserve"> по сравнению с </w:t>
      </w:r>
      <w:r>
        <w:rPr>
          <w:rFonts w:eastAsia="Arial Unicode MS"/>
          <w:b/>
          <w:bCs/>
          <w:sz w:val="14"/>
          <w:szCs w:val="12"/>
        </w:rPr>
        <w:t>МОП</w:t>
      </w:r>
      <w:r w:rsidRPr="005A11EF">
        <w:rPr>
          <w:rFonts w:eastAsia="Arial Unicode MS"/>
          <w:b/>
          <w:bCs/>
          <w:sz w:val="14"/>
          <w:szCs w:val="12"/>
        </w:rPr>
        <w:t xml:space="preserve"> при кинематическом моделировании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n</w:t>
      </w:r>
      <w:hyperlink w:anchor="page7">
        <w:r w:rsidRPr="005A11EF">
          <w:rPr>
            <w:rFonts w:eastAsia="Arial Unicode MS"/>
            <w:b/>
            <w:bCs/>
            <w:i/>
            <w:iCs/>
            <w:sz w:val="14"/>
            <w:szCs w:val="12"/>
          </w:rPr>
          <w:t>- DOF</w:t>
        </w:r>
      </w:hyperlink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рука робота, а недавно в [ </w:t>
      </w:r>
      <w:r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12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] для пропорционального управления. Другими привлекательными преимуществами </w:t>
      </w:r>
      <w:r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являются беспрепятственное представление евклидова пространства, устойчивость к числовым ошибкам и компактность представления. </w:t>
      </w:r>
      <w:r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также эффективно используется в компьютерной графике </w:t>
      </w:r>
      <w:proofErr w:type="gramStart"/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13</w:t>
      </w:r>
      <w:proofErr w:type="gramEnd"/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автоматизированном проектировании [ </w:t>
      </w:r>
      <w:r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14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компьютерном зрении [ </w:t>
      </w:r>
      <w:r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15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навигации [ </w:t>
      </w:r>
      <w:r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16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] и так далее.</w:t>
      </w:r>
    </w:p>
    <w:p w:rsidR="0083687A" w:rsidRPr="005A11EF" w:rsidRDefault="0083687A" w:rsidP="0083687A">
      <w:pPr>
        <w:spacing w:line="200" w:lineRule="exact"/>
        <w:rPr>
          <w:szCs w:val="20"/>
        </w:rPr>
      </w:pPr>
    </w:p>
    <w:p w:rsidR="0083687A" w:rsidRPr="005A11EF" w:rsidRDefault="0083687A" w:rsidP="0083687A">
      <w:pPr>
        <w:spacing w:line="248" w:lineRule="exact"/>
        <w:rPr>
          <w:szCs w:val="20"/>
        </w:rPr>
      </w:pPr>
    </w:p>
    <w:p w:rsidR="0083687A" w:rsidRPr="005A11EF" w:rsidRDefault="0083687A" w:rsidP="0083687A">
      <w:pPr>
        <w:spacing w:line="192" w:lineRule="exact"/>
        <w:ind w:left="6" w:right="14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Наиболее известный метод кинематики роботов основан на нотациях </w:t>
      </w:r>
      <w:proofErr w:type="spellStart"/>
      <w:r w:rsidRPr="005A11EF">
        <w:rPr>
          <w:rFonts w:eastAsia="Arial Unicode MS"/>
          <w:b/>
          <w:bCs/>
          <w:sz w:val="14"/>
          <w:szCs w:val="12"/>
        </w:rPr>
        <w:t>Денавита</w:t>
      </w:r>
      <w:proofErr w:type="spellEnd"/>
      <w:r w:rsidRPr="005A11EF">
        <w:rPr>
          <w:rFonts w:eastAsia="Arial Unicode MS"/>
          <w:b/>
          <w:bCs/>
          <w:sz w:val="14"/>
          <w:szCs w:val="12"/>
        </w:rPr>
        <w:t xml:space="preserve"> и </w:t>
      </w:r>
      <w:proofErr w:type="spellStart"/>
      <w:r w:rsidRPr="005A11EF">
        <w:rPr>
          <w:rFonts w:eastAsia="Arial Unicode MS"/>
          <w:b/>
          <w:bCs/>
          <w:sz w:val="14"/>
          <w:szCs w:val="12"/>
        </w:rPr>
        <w:t>Хартенберга</w:t>
      </w:r>
      <w:proofErr w:type="spellEnd"/>
      <w:r w:rsidRPr="005A11EF">
        <w:rPr>
          <w:rFonts w:eastAsia="Arial Unicode MS"/>
          <w:b/>
          <w:bCs/>
          <w:sz w:val="14"/>
          <w:szCs w:val="12"/>
        </w:rPr>
        <w:t xml:space="preserve"> (DH)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17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и однородное преобразование точек через </w:t>
      </w:r>
      <w:r>
        <w:rPr>
          <w:rFonts w:eastAsia="Arial Unicode MS"/>
          <w:b/>
          <w:bCs/>
          <w:sz w:val="14"/>
          <w:szCs w:val="12"/>
        </w:rPr>
        <w:t>МОП</w:t>
      </w:r>
      <w:r w:rsidRPr="005A11EF">
        <w:rPr>
          <w:rFonts w:eastAsia="Arial Unicode MS"/>
          <w:b/>
          <w:bCs/>
          <w:sz w:val="14"/>
          <w:szCs w:val="12"/>
        </w:rPr>
        <w:t xml:space="preserve"> 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18</w:t>
      </w:r>
      <w:r w:rsidRPr="005A11EF">
        <w:rPr>
          <w:rFonts w:eastAsia="Arial Unicode MS"/>
          <w:b/>
          <w:bCs/>
          <w:sz w:val="14"/>
          <w:szCs w:val="12"/>
        </w:rPr>
        <w:t xml:space="preserve"> ]. Так</w:t>
      </w:r>
    </w:p>
    <w:p w:rsidR="0083687A" w:rsidRPr="005A11EF" w:rsidRDefault="0083687A" w:rsidP="0083687A">
      <w:pPr>
        <w:spacing w:line="193" w:lineRule="exact"/>
        <w:ind w:right="66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далеко все существующие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hyperlink w:anchor="page7"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4</w:t>
        </w:r>
        <w:proofErr w:type="gramEnd"/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-6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,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11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] </w:t>
        </w:r>
      </w:hyperlink>
      <w:r w:rsidRPr="005A11EF">
        <w:rPr>
          <w:rFonts w:eastAsia="Arial Unicode MS"/>
          <w:b/>
          <w:bCs/>
          <w:sz w:val="13"/>
          <w:szCs w:val="11"/>
        </w:rPr>
        <w:t xml:space="preserve">Моделирование кинематики роботов с помощью </w:t>
      </w:r>
      <w:r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 xml:space="preserve"> продолжает следовать подходу DH.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Мы думаем,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что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DH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тратит некоторую часть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>
        <w:rPr>
          <w:rFonts w:eastAsia="Arial Unicode MS"/>
          <w:b/>
          <w:bCs/>
          <w:i/>
          <w:iCs/>
          <w:sz w:val="13"/>
          <w:szCs w:val="11"/>
        </w:rPr>
        <w:t>ДК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так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как первый дизайн DH основан на точечных преобразованиях с </w:t>
      </w:r>
      <w:r w:rsidRPr="005D609B">
        <w:rPr>
          <w:rFonts w:eastAsia="Arial Unicode MS"/>
          <w:b/>
          <w:bCs/>
          <w:i/>
          <w:iCs/>
          <w:sz w:val="13"/>
          <w:szCs w:val="11"/>
        </w:rPr>
        <w:t>МОП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.</w:t>
      </w:r>
    </w:p>
    <w:p w:rsidR="0083687A" w:rsidRPr="005A11EF" w:rsidRDefault="0083687A" w:rsidP="0083687A">
      <w:pPr>
        <w:spacing w:line="266" w:lineRule="exact"/>
        <w:rPr>
          <w:szCs w:val="20"/>
        </w:rPr>
      </w:pPr>
    </w:p>
    <w:p w:rsidR="0083687A" w:rsidRPr="005A11EF" w:rsidRDefault="0083687A" w:rsidP="0083687A">
      <w:pPr>
        <w:numPr>
          <w:ilvl w:val="0"/>
          <w:numId w:val="3"/>
        </w:numPr>
        <w:tabs>
          <w:tab w:val="left" w:pos="346"/>
        </w:tabs>
        <w:spacing w:line="193" w:lineRule="exact"/>
        <w:ind w:right="740" w:firstLine="233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этой статье для кинематического моделирования мы использовали подход теории винтов, основанный на преобразованиях линий, представленных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], и мы адаптировали его к единичному двойному </w:t>
      </w:r>
      <w:proofErr w:type="spellStart"/>
      <w:r w:rsidRPr="005A11EF">
        <w:rPr>
          <w:rFonts w:eastAsia="Arial Unicode MS"/>
          <w:b/>
          <w:bCs/>
          <w:sz w:val="13"/>
          <w:szCs w:val="11"/>
        </w:rPr>
        <w:t>кватернионному</w:t>
      </w:r>
      <w:proofErr w:type="spellEnd"/>
      <w:r w:rsidRPr="005A11EF">
        <w:rPr>
          <w:rFonts w:eastAsia="Arial Unicode MS"/>
          <w:b/>
          <w:bCs/>
          <w:sz w:val="13"/>
          <w:szCs w:val="11"/>
        </w:rPr>
        <w:t xml:space="preserve"> представлению и его алгебре, поскольку </w:t>
      </w:r>
      <w:r>
        <w:rPr>
          <w:rFonts w:eastAsia="Arial Unicode MS"/>
          <w:b/>
          <w:bCs/>
          <w:sz w:val="13"/>
          <w:szCs w:val="11"/>
        </w:rPr>
        <w:t>ДК</w:t>
      </w:r>
    </w:p>
    <w:p w:rsidR="0083687A" w:rsidRPr="005A11EF" w:rsidRDefault="0083687A" w:rsidP="0083687A">
      <w:pPr>
        <w:spacing w:line="54" w:lineRule="exact"/>
        <w:rPr>
          <w:rFonts w:eastAsia="Arial Unicode MS"/>
          <w:b/>
          <w:bCs/>
          <w:sz w:val="13"/>
          <w:szCs w:val="11"/>
        </w:rPr>
      </w:pPr>
    </w:p>
    <w:p w:rsidR="0083687A" w:rsidRPr="005A11EF" w:rsidRDefault="0083687A" w:rsidP="0083687A">
      <w:pPr>
        <w:spacing w:line="212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был найден как наиболее компактный и эффективный способ выражения смещения винта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 Для целей кинематического управления мы использовали логарифм единицы измерения двойного кватерниона в качестве обобщенного закона пропорционального управления, впервые введенного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 и мы также проанализировали его глобальную стабильность с точки зрения диапазонов значений винтовых параметров. Определение ошибки позы между двумя единичными </w:t>
      </w:r>
      <w:proofErr w:type="spellStart"/>
      <w:r w:rsidRPr="005A11EF">
        <w:rPr>
          <w:rFonts w:eastAsia="Arial Unicode MS"/>
          <w:b/>
          <w:bCs/>
          <w:sz w:val="13"/>
          <w:szCs w:val="11"/>
        </w:rPr>
        <w:t>позными</w:t>
      </w:r>
      <w:proofErr w:type="spellEnd"/>
      <w:r w:rsidRPr="005A11EF">
        <w:rPr>
          <w:rFonts w:eastAsia="Arial Unicode MS"/>
          <w:b/>
          <w:bCs/>
          <w:sz w:val="13"/>
          <w:szCs w:val="11"/>
        </w:rPr>
        <w:t xml:space="preserve"> двойными кватернионами должно выполняться с помощью оператора умножения алгебры двойных кватернионов, а не с помощью оператора вычитания, как это делается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5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6</w:t>
      </w:r>
      <w:r w:rsidRPr="005A11EF">
        <w:rPr>
          <w:rFonts w:eastAsia="Arial Unicode MS"/>
          <w:b/>
          <w:bCs/>
          <w:sz w:val="13"/>
          <w:szCs w:val="11"/>
        </w:rPr>
        <w:t xml:space="preserve"> ], что не правильно (хотя стабильность закона о контроле доказана). Некоторые недавние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7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] использовал </w:t>
      </w:r>
      <w:r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 xml:space="preserve"> для разработки устойчивых законов управления и для гибкого моделирования кооперативных пространств задач, передавая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многообразие для получения недостающего коммутативного свойства обратно через операторы Гамильтона</w:t>
      </w:r>
    </w:p>
    <w:p w:rsidR="0083687A" w:rsidRPr="005A11EF" w:rsidRDefault="0083687A" w:rsidP="0083687A">
      <w:pPr>
        <w:spacing w:line="192" w:lineRule="exact"/>
        <w:ind w:right="72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(8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8 матриц), однако оставляя вычислительные преимущества алгебры </w:t>
      </w:r>
      <w:r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>. Можно также подумать, чтобы использовать Родригес</w:t>
      </w:r>
    </w:p>
    <w:p w:rsidR="0083687A" w:rsidRPr="0014377C" w:rsidRDefault="0083687A">
      <w:pPr>
        <w:rPr>
          <w:lang w:val="en-US"/>
        </w:rPr>
      </w:pPr>
      <w:bookmarkStart w:id="0" w:name="_GoBack"/>
      <w:bookmarkEnd w:id="0"/>
    </w:p>
    <w:sectPr w:rsidR="0083687A" w:rsidRPr="00143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1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2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7A"/>
    <w:rsid w:val="0014377C"/>
    <w:rsid w:val="00772485"/>
    <w:rsid w:val="0083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A173C-DF02-453A-9688-FB4C6F87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87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582</Words>
  <Characters>3319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2</cp:revision>
  <dcterms:created xsi:type="dcterms:W3CDTF">2019-10-01T10:09:00Z</dcterms:created>
  <dcterms:modified xsi:type="dcterms:W3CDTF">2019-10-01T21:54:00Z</dcterms:modified>
</cp:coreProperties>
</file>