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jc w:val="center"/>
      </w:pPr>
      <w:r>
        <w:rPr>
          <w:rFonts w:ascii="Times New Roman" w:cs="Times New Roman" w:eastAsia="Times New Roman" w:hAnsi="Times New Roman"/>
          <w:b/>
          <w:bCs/>
          <w:sz w:val="30"/>
          <w:szCs w:val="30"/>
        </w:rPr>
        <w:t xml:space="preserve">External Modulation of Geomagnetic Secular Variation:</w:t>
      </w:r>
    </w:p>
    <w:p>
      <w:pPr>
        <w:spacing w:after="120"/>
        <w:jc w:val="center"/>
      </w:pPr>
      <w:r>
        <w:rPr>
          <w:rFonts w:ascii="Times New Roman" w:cs="Times New Roman" w:eastAsia="Times New Roman" w:hAnsi="Times New Roman"/>
          <w:b/>
          <w:bCs/>
          <w:sz w:val="30"/>
          <w:szCs w:val="30"/>
        </w:rPr>
        <w:t xml:space="preserve">A Hypothesis on Solar Wind Coupling,</w:t>
      </w:r>
    </w:p>
    <w:p>
      <w:pPr>
        <w:spacing w:after="240"/>
        <w:jc w:val="center"/>
      </w:pPr>
      <w:r>
        <w:rPr>
          <w:rFonts w:ascii="Times New Roman" w:cs="Times New Roman" w:eastAsia="Times New Roman" w:hAnsi="Times New Roman"/>
          <w:b/>
          <w:bCs/>
          <w:sz w:val="30"/>
          <w:szCs w:val="30"/>
        </w:rPr>
        <w:t xml:space="preserve">The May 2024 Storm, and the Tesla Circuit</w:t>
      </w:r>
    </w:p>
    <w:p>
      <w:pPr>
        <w:spacing w:after="60"/>
        <w:jc w:val="center"/>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Murad Tulunay</w:t>
      </w:r>
    </w:p>
    <w:p>
      <w:pPr>
        <w:spacing w:after="60"/>
        <w:jc w:val="center"/>
      </w:pPr>
      <w:r>
        <w:rPr>
          <w:rFonts w:ascii="Times New Roman" w:cs="Times New Roman" w:eastAsia="Times New Roman" w:hAnsi="Times New Roman"/>
          <w:sz w:val="22"/>
          <w:szCs w:val="22"/>
        </w:rPr>
        <w:t xml:space="preserve">B.Sc. Computer Engineering, Istanbul Technical University</w:t>
      </w:r>
    </w:p>
    <w:p>
      <w:pPr>
        <w:spacing w:after="60"/>
        <w:jc w:val="center"/>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February 2026</w:t>
      </w:r>
    </w:p>
    <w:p>
      <w:pPr>
        <w:spacing w:after="60"/>
        <w:jc w:val="center"/>
      </w:pPr>
      <w:r>
        <w:rPr>
          <w:rFonts w:ascii="Times New Roman" w:cs="Times New Roman" w:eastAsia="Times New Roman" w:hAnsi="Times New Roman"/>
          <w:b/>
          <w:bCs/>
          <w:sz w:val="22"/>
          <w:szCs w:val="22"/>
        </w:rPr>
        <w:t xml:space="preserve">Contact: </w:t>
      </w:r>
      <w:r>
        <w:rPr>
          <w:rFonts w:ascii="Times New Roman" w:cs="Times New Roman" w:eastAsia="Times New Roman" w:hAnsi="Times New Roman"/>
          <w:sz w:val="22"/>
          <w:szCs w:val="22"/>
        </w:rPr>
        <w:t xml:space="preserve">murad.tulunay@gmail.com</w:t>
      </w:r>
    </w:p>
    <w:p>
      <w:pPr>
        <w:spacing w:after="60"/>
        <w:jc w:val="center"/>
      </w:pPr>
      <w:r>
        <w:rPr>
          <w:rFonts w:ascii="Times New Roman" w:cs="Times New Roman" w:eastAsia="Times New Roman" w:hAnsi="Times New Roman"/>
          <w:b/>
          <w:bCs/>
          <w:sz w:val="22"/>
          <w:szCs w:val="22"/>
        </w:rPr>
        <w:t xml:space="preserve">DOI: </w:t>
      </w:r>
      <w:r>
        <w:rPr>
          <w:rFonts w:ascii="Times New Roman" w:cs="Times New Roman" w:eastAsia="Times New Roman" w:hAnsi="Times New Roman"/>
          <w:i/>
          <w:iCs/>
          <w:sz w:val="22"/>
          <w:szCs w:val="22"/>
        </w:rPr>
        <w:t xml:space="preserve">To be assigned upon Zenodo publication</w:t>
      </w:r>
    </w:p>
    <w:p>
      <w:pPr>
        <w:spacing w:after="400"/>
        <w:jc w:val="center"/>
      </w:pPr>
      <w:r>
        <w:rPr>
          <w:rFonts w:ascii="Times New Roman" w:cs="Times New Roman" w:eastAsia="Times New Roman" w:hAnsi="Times New Roman"/>
          <w:b/>
          <w:bCs/>
          <w:sz w:val="22"/>
          <w:szCs w:val="22"/>
        </w:rPr>
        <w:t xml:space="preserve">Repository: </w:t>
      </w:r>
      <w:r>
        <w:rPr>
          <w:rFonts w:ascii="Times New Roman" w:cs="Times New Roman" w:eastAsia="Times New Roman" w:hAnsi="Times New Roman"/>
          <w:i/>
          <w:iCs/>
          <w:sz w:val="22"/>
          <w:szCs w:val="22"/>
        </w:rPr>
        <w:t xml:space="preserve">To be assigned upon GitHub publication</w:t>
      </w:r>
    </w:p>
    <w:p>
      <w:pPr>
        <w:pBdr>
          <w:bottom w:val="single" w:color="2E4057" w:sz="6" w:space="1"/>
        </w:pBdr>
        <w:spacing w:after="400"/>
      </w:pPr>
    </w:p>
    <w:p>
      <w:pPr>
        <w:pStyle w:val="Heading1"/>
        <w:spacing w:before="360" w:after="200"/>
      </w:pPr>
      <w:r>
        <w:rPr>
          <w:rFonts w:ascii="Times New Roman" w:cs="Times New Roman" w:eastAsia="Times New Roman" w:hAnsi="Times New Roman"/>
          <w:b/>
          <w:bCs/>
          <w:sz w:val="32"/>
          <w:szCs w:val="32"/>
        </w:rPr>
        <w:t xml:space="preserve">Abstract</w:t>
      </w:r>
    </w:p>
    <w:p>
      <w:pPr>
        <w:spacing w:after="200" w:line="276"/>
      </w:pPr>
      <w:r>
        <w:rPr>
          <w:rFonts w:ascii="Times New Roman" w:cs="Times New Roman" w:eastAsia="Times New Roman" w:hAnsi="Times New Roman"/>
          <w:sz w:val="24"/>
          <w:szCs w:val="24"/>
        </w:rPr>
        <w:t xml:space="preserve">Standard geodynamo models attribute geomagnetic jerks and pole drift primarily to hydromagnetic waves in the Earth’s core (e.g., Aubert &amp; Finlay, 2019; Aubert et al., 2022). However, this paper proposes a “Solar-Atmospheric Steering Hypothesis.” We argue that the interaction between Solar Wind dynamic pressure and ionospheric asymmetry acts as a significant vector component in biasing the apparent position of the Magnetic North Pole.</w:t>
      </w:r>
    </w:p>
    <w:p>
      <w:pPr>
        <w:spacing w:after="200" w:line="276"/>
      </w:pPr>
      <w:r>
        <w:rPr>
          <w:rFonts w:ascii="Times New Roman" w:cs="Times New Roman" w:eastAsia="Times New Roman" w:hAnsi="Times New Roman"/>
          <w:sz w:val="24"/>
          <w:szCs w:val="24"/>
        </w:rPr>
        <w:t xml:space="preserve">Utilizing data from the May 2024 superstorm (Dst ≈ −412 nT; Sym-H &lt; −500 nT) and drawing historical inspiration from Nikola Tesla’s early circuit-like framing of the Earth-atmosphere system, we propose that external forcing can modulate secular drift. We define a falsification test comparing Earth (active dynamo) with Mars (induced magnetosphere) to isolate this external vector, using spherical harmonic decomposition to separate internal and external field contributions.</w:t>
      </w:r>
    </w:p>
    <w:p>
      <w:pPr>
        <w:spacing w:after="200" w:line="276"/>
      </w:pPr>
      <w:r>
        <w:rPr>
          <w:rFonts w:ascii="Times New Roman" w:cs="Times New Roman" w:eastAsia="Times New Roman" w:hAnsi="Times New Roman"/>
          <w:b/>
          <w:bCs/>
          <w:sz w:val="24"/>
          <w:szCs w:val="24"/>
        </w:rPr>
        <w:t xml:space="preserve">Strong-form note: </w:t>
      </w:r>
      <w:r>
        <w:rPr>
          <w:rFonts w:ascii="Times New Roman" w:cs="Times New Roman" w:eastAsia="Times New Roman" w:hAnsi="Times New Roman"/>
          <w:sz w:val="24"/>
          <w:szCs w:val="24"/>
        </w:rPr>
        <w:t xml:space="preserve">The author’s original intuition is that external electrodynamics may play a more dominant role than currently accepted. Even falsification of this strong claim would yield valuable quantitative bounds on external contributions to geomagnetic variability.</w:t>
      </w:r>
    </w:p>
    <w:p>
      <w:pPr>
        <w:pStyle w:val="Heading1"/>
        <w:spacing w:before="360" w:after="200"/>
      </w:pPr>
      <w:r>
        <w:rPr>
          <w:rFonts w:ascii="Times New Roman" w:cs="Times New Roman" w:eastAsia="Times New Roman" w:hAnsi="Times New Roman"/>
          <w:b/>
          <w:bCs/>
          <w:sz w:val="32"/>
          <w:szCs w:val="32"/>
        </w:rPr>
        <w:t xml:space="preserve">1. Introduction</w:t>
      </w:r>
    </w:p>
    <w:p>
      <w:pPr>
        <w:spacing w:after="200" w:line="276"/>
      </w:pPr>
      <w:r>
        <w:rPr>
          <w:rFonts w:ascii="Times New Roman" w:cs="Times New Roman" w:eastAsia="Times New Roman" w:hAnsi="Times New Roman"/>
          <w:sz w:val="24"/>
          <w:szCs w:val="24"/>
        </w:rPr>
        <w:t xml:space="preserve">While the internal geodynamo generates Earth’s bulk magnetic field, the precise mechanism behind rapid impulses (jerk-like signatures) and the accelerated drift towards Siberia remains a subject of complex modeling. The question of whether geomagnetic jerks are external or internal in origin has been debated since the 1980s (Alldredge, 1984; Mandea et al., 2010). Some authors have proposed Solar Wind Induced Electric Dynamo (SWIED) frameworks suggesting external coupling (see discussion in Chambodut et al., 2005). Recent work by Aubert et al. (2022) successfully modeled jerks via rapid hydromagnetic waves within the core, but the external contribution to observed rapid impulses remains incompletely quantified.</w:t>
      </w:r>
    </w:p>
    <w:p>
      <w:pPr>
        <w:spacing w:after="200" w:line="276"/>
      </w:pPr>
      <w:r>
        <w:rPr>
          <w:rFonts w:ascii="Times New Roman" w:cs="Times New Roman" w:eastAsia="Times New Roman" w:hAnsi="Times New Roman"/>
          <w:sz w:val="24"/>
          <w:szCs w:val="24"/>
        </w:rPr>
        <w:t xml:space="preserve">We revisit external coupling via modern space weather data, proposing that the magnetosphere is not merely a passive shield but an active external current system driven by solar wind momentum. The 2025 World Magnetic Model (WMM2025) confirms that the North Magnetic Pole continues its unprecedented drift toward Siberia at ~35 km/year (NOAA/NCEI, 2025), and scientists acknowledge the underlying cause is not fully explained.</w:t>
      </w:r>
    </w:p>
    <w:p>
      <w:pPr>
        <w:pStyle w:val="Heading1"/>
        <w:spacing w:before="360" w:after="200"/>
      </w:pPr>
      <w:r>
        <w:rPr>
          <w:rFonts w:ascii="Times New Roman" w:cs="Times New Roman" w:eastAsia="Times New Roman" w:hAnsi="Times New Roman"/>
          <w:b/>
          <w:bCs/>
          <w:sz w:val="32"/>
          <w:szCs w:val="32"/>
        </w:rPr>
        <w:t xml:space="preserve">2. Historical Inspiration: The Tesla Connection</w:t>
      </w:r>
    </w:p>
    <w:p>
      <w:pPr>
        <w:spacing w:after="200" w:line="276"/>
      </w:pPr>
      <w:r>
        <w:rPr>
          <w:rFonts w:ascii="Times New Roman" w:cs="Times New Roman" w:eastAsia="Times New Roman" w:hAnsi="Times New Roman"/>
          <w:sz w:val="24"/>
          <w:szCs w:val="24"/>
        </w:rPr>
        <w:t xml:space="preserve">Nikola Tesla conceptualized the Earth and its atmosphere as a massive conductive system in the context of wireless transmission. While his specific engineering goal differs from modern atmospheric electricity, the Global Electric Circuit (GEC) is an established concept in atmospheric science.</w:t>
      </w:r>
    </w:p>
    <w:p>
      <w:pPr>
        <w:spacing w:after="200" w:line="276"/>
      </w:pPr>
      <w:r>
        <w:rPr>
          <w:rFonts w:ascii="Times New Roman" w:cs="Times New Roman" w:eastAsia="Times New Roman" w:hAnsi="Times New Roman"/>
          <w:b/>
          <w:bCs/>
          <w:sz w:val="24"/>
          <w:szCs w:val="24"/>
        </w:rPr>
        <w:t xml:space="preserve">Hypothesis extension: </w:t>
      </w:r>
      <w:r>
        <w:rPr>
          <w:rFonts w:ascii="Times New Roman" w:cs="Times New Roman" w:eastAsia="Times New Roman" w:hAnsi="Times New Roman"/>
          <w:sz w:val="24"/>
          <w:szCs w:val="24"/>
        </w:rPr>
        <w:t xml:space="preserve">We posit that this global circuit is naturally “pumped” by the Solar Wind. The variable dynamic pressure of the wind is modeled as:</w:t>
      </w:r>
    </w:p>
    <w:p>
      <w:pPr>
        <w:spacing w:before="200" w:after="200"/>
        <w:jc w:val="center"/>
      </w:pP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0"/>
          <w:szCs w:val="20"/>
        </w:rPr>
        <w:t xml:space="preserve">dyn</w:t>
      </w:r>
      <w:r>
        <w:rPr>
          <w:rFonts w:ascii="Times New Roman" w:cs="Times New Roman" w:eastAsia="Times New Roman" w:hAnsi="Times New Roman"/>
          <w:sz w:val="24"/>
          <w:szCs w:val="24"/>
        </w:rPr>
        <w:t xml:space="preserve"> = ρ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 m</w:t>
      </w:r>
      <w:r>
        <w:rPr>
          <w:rFonts w:ascii="Times New Roman" w:cs="Times New Roman" w:eastAsia="Times New Roman" w:hAnsi="Times New Roman"/>
          <w:sz w:val="20"/>
          <w:szCs w:val="20"/>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perscript"/>
        </w:rPr>
        <w:t xml:space="preserve">2</w:t>
      </w:r>
    </w:p>
    <w:p>
      <w:pPr>
        <w:spacing w:before="200" w:after="80"/>
        <w:jc w:val="center"/>
      </w:pPr>
      <w:r>
        <w:drawing>
          <wp:inline distT="0" distB="0" distL="0" distR="0">
            <wp:extent cx="5143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481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Conceptual view of the solar wind interaction with Earth’s magnetosphere, illustrating the bow shock and magnetopause.</w:t>
      </w:r>
    </w:p>
    <w:p>
      <w:pPr>
        <w:spacing w:after="200" w:line="276"/>
      </w:pPr>
      <w:r>
        <w:rPr>
          <w:rFonts w:ascii="Times New Roman" w:cs="Times New Roman" w:eastAsia="Times New Roman" w:hAnsi="Times New Roman"/>
          <w:sz w:val="24"/>
          <w:szCs w:val="24"/>
        </w:rPr>
        <w:t xml:space="preserve">This creates potential differences across day/night ionospheric conductivity asymmetry, driving currents that do not just dissipate but actively modulate the geomagnetic vector observed on the surface.</w:t>
      </w:r>
    </w:p>
    <w:p>
      <w:pPr>
        <w:pStyle w:val="Heading1"/>
        <w:spacing w:before="360" w:after="200"/>
      </w:pPr>
      <w:r>
        <w:rPr>
          <w:rFonts w:ascii="Times New Roman" w:cs="Times New Roman" w:eastAsia="Times New Roman" w:hAnsi="Times New Roman"/>
          <w:b/>
          <w:bCs/>
          <w:sz w:val="32"/>
          <w:szCs w:val="32"/>
        </w:rPr>
        <w:t xml:space="preserve">3. The Hypothesis: Modulation vs. Generation</w:t>
      </w:r>
    </w:p>
    <w:p>
      <w:pPr>
        <w:spacing w:after="200" w:line="276"/>
      </w:pPr>
      <w:r>
        <w:rPr>
          <w:rFonts w:ascii="Times New Roman" w:cs="Times New Roman" w:eastAsia="Times New Roman" w:hAnsi="Times New Roman"/>
          <w:b/>
          <w:bCs/>
          <w:sz w:val="24"/>
          <w:szCs w:val="24"/>
        </w:rPr>
        <w:t xml:space="preserve">Main claim: </w:t>
      </w:r>
      <w:r>
        <w:rPr>
          <w:rFonts w:ascii="Times New Roman" w:cs="Times New Roman" w:eastAsia="Times New Roman" w:hAnsi="Times New Roman"/>
          <w:sz w:val="24"/>
          <w:szCs w:val="24"/>
        </w:rPr>
        <w:t xml:space="preserve">The Solar Wind applies a continuous external bias (steering effect) on geomagnetic field lines via magnetosphere–ionosphere current systems.</w:t>
      </w:r>
    </w:p>
    <w:p>
      <w:pPr>
        <w:spacing w:after="200" w:line="276"/>
      </w:pPr>
      <w:r>
        <w:rPr>
          <w:rFonts w:ascii="Times New Roman" w:cs="Times New Roman" w:eastAsia="Times New Roman" w:hAnsi="Times New Roman"/>
          <w:b/>
          <w:bCs/>
          <w:sz w:val="24"/>
          <w:szCs w:val="24"/>
        </w:rPr>
        <w:t xml:space="preserve">The Mars counter-point: </w:t>
      </w:r>
      <w:r>
        <w:rPr>
          <w:rFonts w:ascii="Times New Roman" w:cs="Times New Roman" w:eastAsia="Times New Roman" w:hAnsi="Times New Roman"/>
          <w:sz w:val="24"/>
          <w:szCs w:val="24"/>
        </w:rPr>
        <w:t xml:space="preserve">Mars possesses an ionosphere but lacks a global dipole field. This confirms that the ionosphere alone cannot generate a planetary dipole (refuting a purely external generation model). Mars provides a boundary condition for generation, not for the modulation of an existing dynamo field. However, Mars exhibits strong induced fields, proving the capacity of external currents to create magnetic structures.</w:t>
      </w:r>
    </w:p>
    <w:p>
      <w:pPr>
        <w:spacing w:after="200" w:line="276"/>
      </w:pPr>
      <w:r>
        <w:rPr>
          <w:rFonts w:ascii="Times New Roman" w:cs="Times New Roman" w:eastAsia="Times New Roman" w:hAnsi="Times New Roman"/>
          <w:b/>
          <w:bCs/>
          <w:sz w:val="24"/>
          <w:szCs w:val="24"/>
        </w:rPr>
        <w:t xml:space="preserve">Earth application: </w:t>
      </w:r>
      <w:r>
        <w:rPr>
          <w:rFonts w:ascii="Times New Roman" w:cs="Times New Roman" w:eastAsia="Times New Roman" w:hAnsi="Times New Roman"/>
          <w:sz w:val="24"/>
          <w:szCs w:val="24"/>
        </w:rPr>
        <w:t xml:space="preserve">On Earth, this external effect is superimposed on the internal dynamo. During solar quiet, it is minor. During solar maximum and strong storms, it can become a significant vector in short-term pole-path deviations.</w:t>
      </w:r>
    </w:p>
    <w:p>
      <w:pPr>
        <w:pStyle w:val="Heading1"/>
        <w:spacing w:before="360" w:after="200"/>
      </w:pPr>
      <w:r>
        <w:rPr>
          <w:rFonts w:ascii="Times New Roman" w:cs="Times New Roman" w:eastAsia="Times New Roman" w:hAnsi="Times New Roman"/>
          <w:b/>
          <w:bCs/>
          <w:sz w:val="32"/>
          <w:szCs w:val="32"/>
        </w:rPr>
        <w:t xml:space="preserve">4. Evidence: The May 2024 Superstorm</w:t>
      </w:r>
    </w:p>
    <w:p>
      <w:pPr>
        <w:spacing w:after="200" w:line="276"/>
      </w:pPr>
      <w:r>
        <w:rPr>
          <w:rFonts w:ascii="Times New Roman" w:cs="Times New Roman" w:eastAsia="Times New Roman" w:hAnsi="Times New Roman"/>
          <w:sz w:val="24"/>
          <w:szCs w:val="24"/>
        </w:rPr>
        <w:t xml:space="preserve">Analyzing the event of May 10–12, 2024:</w:t>
      </w:r>
    </w:p>
    <w:p>
      <w:pPr>
        <w:pStyle w:val="ListParagraph"/>
        <w:numPr>
          <w:ilvl w:val="0"/>
          <w:numId w:val="2"/>
        </w:numPr>
        <w:spacing w:after="120" w:line="276"/>
      </w:pPr>
      <w:r>
        <w:rPr>
          <w:rFonts w:ascii="Times New Roman" w:cs="Times New Roman" w:eastAsia="Times New Roman" w:hAnsi="Times New Roman"/>
          <w:b/>
          <w:bCs/>
          <w:sz w:val="24"/>
          <w:szCs w:val="24"/>
        </w:rPr>
        <w:t xml:space="preserve">Data: </w:t>
      </w:r>
      <w:r>
        <w:rPr>
          <w:rFonts w:ascii="Times New Roman" w:cs="Times New Roman" w:eastAsia="Times New Roman" w:hAnsi="Times New Roman"/>
          <w:sz w:val="24"/>
          <w:szCs w:val="24"/>
        </w:rPr>
        <w:t xml:space="preserve">The Dst index reached approximately −412 to −427 nT (depending on dataset), while the Sym-H index dropped below −500 nT (WDC for Geomagnetism, Kyoto).</w:t>
      </w:r>
    </w:p>
    <w:p>
      <w:pPr>
        <w:pStyle w:val="ListParagraph"/>
        <w:numPr>
          <w:ilvl w:val="0"/>
          <w:numId w:val="2"/>
        </w:numPr>
        <w:spacing w:after="120" w:line="276"/>
      </w:pPr>
      <w:r>
        <w:rPr>
          <w:rFonts w:ascii="Times New Roman" w:cs="Times New Roman" w:eastAsia="Times New Roman" w:hAnsi="Times New Roman"/>
          <w:b/>
          <w:bCs/>
          <w:sz w:val="24"/>
          <w:szCs w:val="24"/>
        </w:rPr>
        <w:t xml:space="preserve">Impact: </w:t>
      </w:r>
      <w:r>
        <w:rPr>
          <w:rFonts w:ascii="Times New Roman" w:cs="Times New Roman" w:eastAsia="Times New Roman" w:hAnsi="Times New Roman"/>
          <w:sz w:val="24"/>
          <w:szCs w:val="24"/>
        </w:rPr>
        <w:t xml:space="preserve">The magnetopause was compressed to approximately 5.04 R</w:t>
      </w:r>
      <w:r>
        <w:rPr>
          <w:rFonts w:ascii="Times New Roman" w:cs="Times New Roman" w:eastAsia="Times New Roman" w:hAnsi="Times New Roman"/>
          <w:sz w:val="20"/>
          <w:szCs w:val="20"/>
        </w:rPr>
        <w:t xml:space="preserve">E</w:t>
      </w:r>
      <w:r>
        <w:rPr>
          <w:rFonts w:ascii="Times New Roman" w:cs="Times New Roman" w:eastAsia="Times New Roman" w:hAnsi="Times New Roman"/>
          <w:sz w:val="24"/>
          <w:szCs w:val="24"/>
        </w:rPr>
        <w:t xml:space="preserve"> during the storm (Hayakawa et al., 2024). High-latitude declination deviations exceeded 15° during subsequent G4/G5 storms in October 2024 (WMM2025 Report).</w:t>
      </w:r>
    </w:p>
    <w:p>
      <w:pPr>
        <w:pStyle w:val="ListParagraph"/>
        <w:numPr>
          <w:ilvl w:val="0"/>
          <w:numId w:val="2"/>
        </w:numPr>
        <w:spacing w:after="120" w:line="276"/>
      </w:pPr>
      <w:r>
        <w:rPr>
          <w:rFonts w:ascii="Times New Roman" w:cs="Times New Roman" w:eastAsia="Times New Roman" w:hAnsi="Times New Roman"/>
          <w:b/>
          <w:bCs/>
          <w:sz w:val="24"/>
          <w:szCs w:val="24"/>
        </w:rPr>
        <w:t xml:space="preserve">A geomagnetic jerk in late 2023–2024: </w:t>
      </w:r>
      <w:r>
        <w:rPr>
          <w:rFonts w:ascii="Times New Roman" w:cs="Times New Roman" w:eastAsia="Times New Roman" w:hAnsi="Times New Roman"/>
          <w:sz w:val="24"/>
          <w:szCs w:val="24"/>
        </w:rPr>
        <w:t xml:space="preserve">The 2025 State of the Geomagnetic Field Report identifies a jerk event between late 2023 and early 2024, most visible in the Pacific region and across Australia.</w:t>
      </w:r>
    </w:p>
    <w:p>
      <w:pPr>
        <w:spacing w:before="200" w:after="80"/>
        <w:jc w:val="center"/>
      </w:pPr>
      <w:r>
        <w:drawing>
          <wp:inline distT="0" distB="0" distL="0" distR="0">
            <wp:extent cx="5143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670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Magnetosphere structure highlighting the magnetopause boundary and magnetotail configuration under solar wind forcing.</w:t>
      </w:r>
    </w:p>
    <w:p>
      <w:pPr>
        <w:pStyle w:val="ListParagraph"/>
        <w:numPr>
          <w:ilvl w:val="0"/>
          <w:numId w:val="2"/>
        </w:numPr>
        <w:spacing w:after="120" w:line="276"/>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‘Apparent deviation’ refers to pole-path estimates derived from external-field-sensitive components of the local field vector, distinct from deep crustal/core motion.</w:t>
      </w:r>
    </w:p>
    <w:p>
      <w:pPr>
        <w:pStyle w:val="Heading1"/>
        <w:spacing w:before="360" w:after="200"/>
      </w:pPr>
      <w:r>
        <w:rPr>
          <w:rFonts w:ascii="Times New Roman" w:cs="Times New Roman" w:eastAsia="Times New Roman" w:hAnsi="Times New Roman"/>
          <w:b/>
          <w:bCs/>
          <w:sz w:val="32"/>
          <w:szCs w:val="32"/>
        </w:rPr>
        <w:t xml:space="preserve">5. Methodology</w:t>
      </w:r>
    </w:p>
    <w:p>
      <w:pPr>
        <w:spacing w:after="200" w:line="276"/>
      </w:pPr>
      <w:r>
        <w:rPr>
          <w:rFonts w:ascii="Times New Roman" w:cs="Times New Roman" w:eastAsia="Times New Roman" w:hAnsi="Times New Roman"/>
          <w:sz w:val="24"/>
          <w:szCs w:val="24"/>
        </w:rPr>
        <w:t xml:space="preserve">We modeled the magnetopause standoff distance using Chapman-Ferraro-style pressure balance scaling under variable Solar Wind velocity (~400–1500 km/s) and density ranges representative of quiet to extreme conditions, to estimate the theoretical surface perturbation ΔB imposed on the observed geomagnetic vector.</w:t>
      </w:r>
    </w:p>
    <w:p>
      <w:pPr>
        <w:spacing w:after="200" w:line="276"/>
      </w:pPr>
      <w:r>
        <w:rPr>
          <w:rFonts w:ascii="Times New Roman" w:cs="Times New Roman" w:eastAsia="Times New Roman" w:hAnsi="Times New Roman"/>
          <w:sz w:val="24"/>
          <w:szCs w:val="24"/>
        </w:rPr>
        <w:t xml:space="preserve">For validation, the analysis plan is to use ESA Swarm-based field models (and/or ground observatory data) to separate internal and external coefficients via Spherical Harmonic Analysis (SHA), then quantify how much short-term vector variability aligns with solar wind driving during rapid-impulse intervals.</w:t>
      </w:r>
    </w:p>
    <w:p>
      <w:pPr>
        <w:spacing w:after="200" w:line="276"/>
      </w:pPr>
      <w:r>
        <w:rPr>
          <w:rFonts w:ascii="Times New Roman" w:cs="Times New Roman" w:eastAsia="Times New Roman" w:hAnsi="Times New Roman"/>
          <w:sz w:val="24"/>
          <w:szCs w:val="24"/>
        </w:rPr>
        <w:t xml:space="preserve">Python simulation code is available in the associated GitHub repository.</w:t>
      </w:r>
    </w:p>
    <w:p>
      <w:pPr>
        <w:pStyle w:val="Heading1"/>
        <w:spacing w:before="360" w:after="200"/>
      </w:pPr>
      <w:r>
        <w:rPr>
          <w:rFonts w:ascii="Times New Roman" w:cs="Times New Roman" w:eastAsia="Times New Roman" w:hAnsi="Times New Roman"/>
          <w:b/>
          <w:bCs/>
          <w:sz w:val="32"/>
          <w:szCs w:val="32"/>
        </w:rPr>
        <w:t xml:space="preserve">6. Results: Perturbation Analysis</w:t>
      </w:r>
    </w:p>
    <w:p>
      <w:pPr>
        <w:spacing w:after="200" w:line="276"/>
      </w:pPr>
      <w:r>
        <w:rPr>
          <w:rFonts w:ascii="Times New Roman" w:cs="Times New Roman" w:eastAsia="Times New Roman" w:hAnsi="Times New Roman"/>
          <w:sz w:val="24"/>
          <w:szCs w:val="24"/>
        </w:rPr>
        <w:t xml:space="preserve">The simulation indicates that external pressure variations create significant surface perturbations. The table below summarizes estimated ΔB values under different solar wind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1872"/>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1872"/>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1872"/>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1872"/>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r>
      <w:tr>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Quiet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400 km/s</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~1.3 nPa</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~20–30 nT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Minor diurnal variation</w:t>
            </w:r>
          </w:p>
        </w:tc>
      </w:tr>
      <w:tr>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Storm (G4/G5)</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800 km/s</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~53 nPa</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~100–300 nT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Significant jerk-like signature</w:t>
            </w:r>
          </w:p>
        </w:tc>
      </w:tr>
      <w:tr>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Extreme (Carrington)</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1500 km/s</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~375 nPa</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&gt;1000 nT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Major vector deviation</w:t>
            </w:r>
          </w:p>
        </w:tc>
      </w:tr>
      <w:tr>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May 2024 actual</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~800–1000 km/s</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&gt;100 nPa (est.)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b/>
                <w:bCs/>
                <w:sz w:val="20"/>
                <w:szCs w:val="20"/>
              </w:rPr>
              <w:t xml:space="preserve">Dst ≈ −412 nT</w:t>
            </w:r>
          </w:p>
        </w:tc>
        <w:tc>
          <w:tcPr>
            <w:tcW w:type="dxa" w:w="1872"/>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Magnetopause at 5.04 Rₑ</w:t>
            </w:r>
          </w:p>
        </w:tc>
      </w:tr>
    </w:tbl>
    <w:p>
      <w:pPr>
        <w:spacing w:before="120" w:after="200"/>
      </w:pPr>
      <w:r>
        <w:rPr>
          <w:rFonts w:ascii="Times New Roman" w:cs="Times New Roman" w:eastAsia="Times New Roman" w:hAnsi="Times New Roman"/>
          <w:i/>
          <w:iCs/>
          <w:sz w:val="20"/>
          <w:szCs w:val="20"/>
        </w:rPr>
        <w:t xml:space="preserve">Table 1. Estimated surface perturbations under different solar wind regimes. ‘Equivalent Effect’ refers to the apparent deviation in external-field-sensitive indices, not crustal displacement. May 2024 row uses observed data from Hayakawa et al. (2024).</w:t>
      </w:r>
    </w:p>
    <w:p>
      <w:pPr>
        <w:spacing w:after="200" w:line="276"/>
      </w:pPr>
      <w:r>
        <w:rPr>
          <w:rFonts w:ascii="Times New Roman" w:cs="Times New Roman" w:eastAsia="Times New Roman" w:hAnsi="Times New Roman"/>
          <w:sz w:val="24"/>
          <w:szCs w:val="24"/>
        </w:rPr>
        <w:t xml:space="preserve">These results suggest that during extreme events, external forcing produces perturbations comparable to the magnitude of geomagnetic jerks, supporting the hypothesis that at least some component of rapid pole-path deviations may be externally driven.</w:t>
      </w:r>
    </w:p>
    <w:p>
      <w:pPr>
        <w:pStyle w:val="Heading1"/>
        <w:spacing w:before="360" w:after="200"/>
      </w:pPr>
      <w:r>
        <w:rPr>
          <w:rFonts w:ascii="Times New Roman" w:cs="Times New Roman" w:eastAsia="Times New Roman" w:hAnsi="Times New Roman"/>
          <w:b/>
          <w:bCs/>
          <w:sz w:val="32"/>
          <w:szCs w:val="32"/>
        </w:rPr>
        <w:t xml:space="preserve">7. Discussion: The Siberian Drift Anomaly</w:t>
      </w:r>
    </w:p>
    <w:p>
      <w:pPr>
        <w:spacing w:after="200" w:line="276"/>
      </w:pPr>
      <w:r>
        <w:rPr>
          <w:rFonts w:ascii="Times New Roman" w:cs="Times New Roman" w:eastAsia="Times New Roman" w:hAnsi="Times New Roman"/>
          <w:sz w:val="24"/>
          <w:szCs w:val="24"/>
        </w:rPr>
        <w:t xml:space="preserve">The 2025 WMM update confirms the North Magnetic Pole has drifted over 2,200 km from Canada toward Siberia. The drift accelerated from ~15 km/year to ~55 km/year around 1990, then decelerated to ~35 km/year by 2025 (NOAA/NCEI, 2025). Scientists attribute this to a “tug-of-war” between magnetic flux lobes beneath Canada and Siberia, with the Siberian lobe gaining dominance.</w:t>
      </w:r>
    </w:p>
    <w:p>
      <w:pPr>
        <w:spacing w:after="200" w:line="276"/>
      </w:pPr>
      <w:r>
        <w:rPr>
          <w:rFonts w:ascii="Times New Roman" w:cs="Times New Roman" w:eastAsia="Times New Roman" w:hAnsi="Times New Roman"/>
          <w:b/>
          <w:bCs/>
          <w:sz w:val="24"/>
          <w:szCs w:val="24"/>
        </w:rPr>
        <w:t xml:space="preserve">Speculative working hypothesis: </w:t>
      </w:r>
      <w:r>
        <w:rPr>
          <w:rFonts w:ascii="Times New Roman" w:cs="Times New Roman" w:eastAsia="Times New Roman" w:hAnsi="Times New Roman"/>
          <w:sz w:val="24"/>
          <w:szCs w:val="24"/>
        </w:rPr>
        <w:t xml:space="preserve">If the Solar System is traversing a region of the Local Interstellar Cloud (LIC) with varying plasma density, the baseline dynamic pressure on the magnetosphere could shift secularly. This would create a sustained bias in external modulation, potentially contributing to the drift. This remains highly speculative and requires independent verification from heliospheric boundary missions (e.g., IBEX data).</w:t>
      </w:r>
    </w:p>
    <w:p>
      <w:pPr>
        <w:pStyle w:val="Heading1"/>
        <w:spacing w:before="360" w:after="200"/>
      </w:pPr>
      <w:r>
        <w:rPr>
          <w:rFonts w:ascii="Times New Roman" w:cs="Times New Roman" w:eastAsia="Times New Roman" w:hAnsi="Times New Roman"/>
          <w:b/>
          <w:bCs/>
          <w:sz w:val="32"/>
          <w:szCs w:val="32"/>
        </w:rPr>
        <w:t xml:space="preserve">8. Conclusion &amp; Call for Investigation</w:t>
      </w:r>
    </w:p>
    <w:p>
      <w:pPr>
        <w:spacing w:after="200" w:line="276"/>
      </w:pPr>
      <w:r>
        <w:rPr>
          <w:rFonts w:ascii="Times New Roman" w:cs="Times New Roman" w:eastAsia="Times New Roman" w:hAnsi="Times New Roman"/>
          <w:sz w:val="24"/>
          <w:szCs w:val="24"/>
        </w:rPr>
        <w:t xml:space="preserve">This is a falsifiable proposition. We invite the scientific community to test this hypothesis by decomposing internal/external field coefficients via Spherical Harmonic Analysis (SHA) using ESA Swarm data, specifically during rapid impulse events and major storms.</w:t>
      </w:r>
    </w:p>
    <w:p>
      <w:pPr>
        <w:spacing w:after="200" w:line="276"/>
      </w:pPr>
      <w:r>
        <w:rPr>
          <w:rFonts w:ascii="Times New Roman" w:cs="Times New Roman" w:eastAsia="Times New Roman" w:hAnsi="Times New Roman"/>
          <w:b/>
          <w:bCs/>
          <w:sz w:val="24"/>
          <w:szCs w:val="24"/>
        </w:rPr>
        <w:t xml:space="preserve">Proposed Test Plan:</w:t>
      </w:r>
    </w:p>
    <w:p>
      <w:pPr>
        <w:pStyle w:val="ListParagraph"/>
        <w:numPr>
          <w:ilvl w:val="0"/>
          <w:numId w:val="2"/>
        </w:numPr>
        <w:spacing w:after="120" w:line="276"/>
      </w:pPr>
      <w:r>
        <w:rPr>
          <w:rFonts w:ascii="Times New Roman" w:cs="Times New Roman" w:eastAsia="Times New Roman" w:hAnsi="Times New Roman"/>
          <w:b/>
          <w:bCs/>
          <w:sz w:val="24"/>
          <w:szCs w:val="24"/>
        </w:rPr>
        <w:t xml:space="preserve">Test A (Pressure–Jerk Correlation): </w:t>
      </w:r>
      <w:r>
        <w:rPr>
          <w:rFonts w:ascii="Times New Roman" w:cs="Times New Roman" w:eastAsia="Times New Roman" w:hAnsi="Times New Roman"/>
          <w:sz w:val="24"/>
          <w:szCs w:val="24"/>
        </w:rPr>
        <w:t xml:space="preserve">Correlate OMNIWeb Solar Wind dynamic pressure data with historical geomagnetic jerk events. Prediction: If valid, rapid-impulse events must correspond to specific thresholds in solar wind momentum transfer.</w:t>
      </w:r>
    </w:p>
    <w:p>
      <w:pPr>
        <w:pStyle w:val="ListParagraph"/>
        <w:numPr>
          <w:ilvl w:val="0"/>
          <w:numId w:val="2"/>
        </w:numPr>
        <w:spacing w:after="120" w:line="276"/>
      </w:pPr>
      <w:r>
        <w:rPr>
          <w:rFonts w:ascii="Times New Roman" w:cs="Times New Roman" w:eastAsia="Times New Roman" w:hAnsi="Times New Roman"/>
          <w:b/>
          <w:bCs/>
          <w:sz w:val="24"/>
          <w:szCs w:val="24"/>
        </w:rPr>
        <w:t xml:space="preserve">Test B (Asymmetry Vector Analysis): </w:t>
      </w:r>
      <w:r>
        <w:rPr>
          <w:rFonts w:ascii="Times New Roman" w:cs="Times New Roman" w:eastAsia="Times New Roman" w:hAnsi="Times New Roman"/>
          <w:sz w:val="24"/>
          <w:szCs w:val="24"/>
        </w:rPr>
        <w:t xml:space="preserve">Use Swarm A/B/C vector data to separate internal (B</w:t>
      </w:r>
      <w:r>
        <w:rPr>
          <w:rFonts w:ascii="Times New Roman" w:cs="Times New Roman" w:eastAsia="Times New Roman" w:hAnsi="Times New Roman"/>
          <w:sz w:val="20"/>
          <w:szCs w:val="20"/>
        </w:rPr>
        <w:t xml:space="preserve">int</w:t>
      </w:r>
      <w:r>
        <w:rPr>
          <w:rFonts w:ascii="Times New Roman" w:cs="Times New Roman" w:eastAsia="Times New Roman" w:hAnsi="Times New Roman"/>
          <w:sz w:val="24"/>
          <w:szCs w:val="24"/>
        </w:rPr>
        <w:t xml:space="preserve">) and external (B</w:t>
      </w:r>
      <w:r>
        <w:rPr>
          <w:rFonts w:ascii="Times New Roman" w:cs="Times New Roman" w:eastAsia="Times New Roman" w:hAnsi="Times New Roman"/>
          <w:sz w:val="20"/>
          <w:szCs w:val="20"/>
        </w:rPr>
        <w:t xml:space="preserve">ext</w:t>
      </w:r>
      <w:r>
        <w:rPr>
          <w:rFonts w:ascii="Times New Roman" w:cs="Times New Roman" w:eastAsia="Times New Roman" w:hAnsi="Times New Roman"/>
          <w:sz w:val="24"/>
          <w:szCs w:val="24"/>
        </w:rPr>
        <w:t xml:space="preserve">) harmonics. Prediction: The magnetic pole’s daily wander ellipse is a function of ionospheric conductivity gradient.</w:t>
      </w:r>
    </w:p>
    <w:p>
      <w:pPr>
        <w:pStyle w:val="ListParagraph"/>
        <w:numPr>
          <w:ilvl w:val="0"/>
          <w:numId w:val="2"/>
        </w:numPr>
        <w:spacing w:after="120" w:line="276"/>
      </w:pPr>
      <w:r>
        <w:rPr>
          <w:rFonts w:ascii="Times New Roman" w:cs="Times New Roman" w:eastAsia="Times New Roman" w:hAnsi="Times New Roman"/>
          <w:b/>
          <w:bCs/>
          <w:sz w:val="24"/>
          <w:szCs w:val="24"/>
        </w:rPr>
        <w:t xml:space="preserve">Test C (Mars Control): </w:t>
      </w:r>
      <w:r>
        <w:rPr>
          <w:rFonts w:ascii="Times New Roman" w:cs="Times New Roman" w:eastAsia="Times New Roman" w:hAnsi="Times New Roman"/>
          <w:sz w:val="24"/>
          <w:szCs w:val="24"/>
        </w:rPr>
        <w:t xml:space="preserve">Compare Earth’s external field response to Mars’s induced magnetic environment during equivalent solar events. If Mars shows proportionally similar induced-field structures, this supports the external coupling mechanism.</w:t>
      </w:r>
    </w:p>
    <w:p>
      <w:pPr>
        <w:spacing w:after="200" w:line="276"/>
      </w:pPr>
      <w:r>
        <w:rPr>
          <w:rFonts w:ascii="Times New Roman" w:cs="Times New Roman" w:eastAsia="Times New Roman" w:hAnsi="Times New Roman"/>
          <w:sz w:val="24"/>
          <w:szCs w:val="24"/>
        </w:rPr>
        <w:t xml:space="preserve">If confirmed, this supports a coupled system view where Earth’s observed magnetic behavior is a function of both the core and the heliosphere. If falsified, the same workflow will provide quantitative upper bounds on external contributions to apparent pole-path variability. Even a negative result would be valuable.</w:t>
      </w:r>
    </w:p>
    <w:p>
      <w:r>
        <w:br w:type="page"/>
      </w:r>
    </w:p>
    <w:p>
      <w:pPr>
        <w:pStyle w:val="Heading1"/>
        <w:spacing w:before="360" w:after="200"/>
      </w:pPr>
      <w:r>
        <w:rPr>
          <w:rFonts w:ascii="Times New Roman" w:cs="Times New Roman" w:eastAsia="Times New Roman" w:hAnsi="Times New Roman"/>
          <w:b/>
          <w:bCs/>
          <w:sz w:val="32"/>
          <w:szCs w:val="32"/>
        </w:rPr>
        <w:t xml:space="preserve">Appendix A: Order-of-Magnitude Scale Calculation</w:t>
      </w:r>
    </w:p>
    <w:p>
      <w:pPr>
        <w:spacing w:after="200" w:line="276"/>
      </w:pPr>
      <w:r>
        <w:rPr>
          <w:rFonts w:ascii="Times New Roman" w:cs="Times New Roman" w:eastAsia="Times New Roman" w:hAnsi="Times New Roman"/>
          <w:sz w:val="24"/>
          <w:szCs w:val="24"/>
        </w:rPr>
        <w:t xml:space="preserve">To address the feasibility of ionospheric field generation versus modulation, we present the following scale analysis:</w:t>
      </w:r>
    </w:p>
    <w:p>
      <w:pPr>
        <w:spacing w:after="200" w:line="276"/>
      </w:pPr>
      <w:r>
        <w:rPr>
          <w:rFonts w:ascii="Times New Roman" w:cs="Times New Roman" w:eastAsia="Times New Roman" w:hAnsi="Times New Roman"/>
          <w:b/>
          <w:bCs/>
          <w:sz w:val="24"/>
          <w:szCs w:val="24"/>
        </w:rPr>
        <w:t xml:space="preserve">Model: </w:t>
      </w:r>
      <w:r>
        <w:rPr>
          <w:rFonts w:ascii="Times New Roman" w:cs="Times New Roman" w:eastAsia="Times New Roman" w:hAnsi="Times New Roman"/>
          <w:sz w:val="24"/>
          <w:szCs w:val="24"/>
        </w:rPr>
        <w:t xml:space="preserve">Treat the ionosphere as an equivalent single-turn current loop at radius R ≈ 6.37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m. The magnetic field at the center of such a loop is:</w:t>
      </w:r>
    </w:p>
    <w:p>
      <w:pPr>
        <w:spacing w:before="200" w:after="200"/>
        <w:jc w:val="center"/>
      </w:pP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μ</w:t>
      </w:r>
      <w:r>
        <w:rPr>
          <w:rFonts w:ascii="Times New Roman" w:cs="Times New Roman" w:eastAsia="Times New Roman" w:hAnsi="Times New Roman"/>
          <w:sz w:val="20"/>
          <w:szCs w:val="20"/>
        </w:rPr>
        <w:t xml:space="preserve">0</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p>
    <w:p>
      <w:pPr>
        <w:spacing w:after="200" w:line="276"/>
      </w:pPr>
      <w:r>
        <w:rPr>
          <w:rFonts w:ascii="Times New Roman" w:cs="Times New Roman" w:eastAsia="Times New Roman" w:hAnsi="Times New Roman"/>
          <w:b/>
          <w:bCs/>
          <w:sz w:val="24"/>
          <w:szCs w:val="24"/>
        </w:rPr>
        <w:t xml:space="preserve">Required current for full field: </w:t>
      </w:r>
      <w:r>
        <w:rPr>
          <w:rFonts w:ascii="Times New Roman" w:cs="Times New Roman" w:eastAsia="Times New Roman" w:hAnsi="Times New Roman"/>
          <w:sz w:val="24"/>
          <w:szCs w:val="24"/>
        </w:rPr>
        <w:t xml:space="preserve">To reproduce the typical surface field magnitude B ~ 50 μT:</w:t>
      </w:r>
    </w:p>
    <w:p>
      <w:pPr>
        <w:spacing w:before="200" w:after="200"/>
        <w:jc w:val="center"/>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μ</w:t>
      </w:r>
      <w:r>
        <w:rPr>
          <w:rFonts w:ascii="Times New Roman" w:cs="Times New Roman" w:eastAsia="Times New Roman" w:hAnsi="Times New Roman"/>
          <w:sz w:val="20"/>
          <w:szCs w:val="20"/>
        </w:rPr>
        <w:t xml:space="preserve">0</w:t>
      </w:r>
      <w:r>
        <w:rPr>
          <w:rFonts w:ascii="Times New Roman" w:cs="Times New Roman" w:eastAsia="Times New Roman" w:hAnsi="Times New Roman"/>
          <w:sz w:val="24"/>
          <w:szCs w:val="24"/>
        </w:rPr>
        <w:t xml:space="preserve"> ≈ 2 × 6.37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 50 ×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 (4π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 5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A</w:t>
      </w:r>
    </w:p>
    <w:p>
      <w:pPr>
        <w:spacing w:after="200" w:line="276"/>
      </w:pPr>
      <w:r>
        <w:rPr>
          <w:rFonts w:ascii="Times New Roman" w:cs="Times New Roman" w:eastAsia="Times New Roman" w:hAnsi="Times New Roman"/>
          <w:sz w:val="24"/>
          <w:szCs w:val="24"/>
        </w:rPr>
        <w:t xml:space="preserve">This yields approximately </w:t>
      </w:r>
      <w:r>
        <w:rPr>
          <w:rFonts w:ascii="Times New Roman" w:cs="Times New Roman" w:eastAsia="Times New Roman" w:hAnsi="Times New Roman"/>
          <w:b/>
          <w:bCs/>
          <w:sz w:val="24"/>
          <w:szCs w:val="24"/>
        </w:rPr>
        <w:t xml:space="preserve">0.5 GigaAmperes</w:t>
      </w:r>
      <w:r>
        <w:rPr>
          <w:rFonts w:ascii="Times New Roman" w:cs="Times New Roman" w:eastAsia="Times New Roman" w:hAnsi="Times New Roman"/>
          <w:sz w:val="24"/>
          <w:szCs w:val="24"/>
        </w:rPr>
        <w:t xml:space="preserve"> — orders of magnitude larger than typical large-scale ionospheric current systems.</w:t>
      </w:r>
    </w:p>
    <w:p>
      <w:pPr>
        <w:spacing w:after="200" w:line="276"/>
      </w:pPr>
      <w:r>
        <w:rPr>
          <w:rFonts w:ascii="Times New Roman" w:cs="Times New Roman" w:eastAsia="Times New Roman" w:hAnsi="Times New Roman"/>
          <w:b/>
          <w:bCs/>
          <w:sz w:val="24"/>
          <w:szCs w:val="24"/>
        </w:rPr>
        <w:t xml:space="preserve">Observed ionospheric currents: </w:t>
      </w:r>
      <w:r>
        <w:rPr>
          <w:rFonts w:ascii="Times New Roman" w:cs="Times New Roman" w:eastAsia="Times New Roman" w:hAnsi="Times New Roman"/>
          <w:sz w:val="24"/>
          <w:szCs w:val="24"/>
        </w:rPr>
        <w:t xml:space="preserve">The Sq (solar quiet) current system and equatorial electrojet carry currents on the order of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3120"/>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c>
          <w:tcPr>
            <w:tcW w:type="dxa" w:w="3120"/>
            <w:tcBorders>
              <w:top w:val="single" w:color="888888" w:sz="1"/>
              <w:left w:val="single" w:color="888888" w:sz="1"/>
              <w:bottom w:val="single" w:color="888888" w:sz="1"/>
              <w:right w:val="single" w:color="888888" w:sz="1"/>
            </w:tcBorders>
            <w:shd w:fill="2E4057" w:val="clear"/>
            <w:tcMar>
              <w:top w:type="dxa" w:w="60"/>
              <w:left w:type="dxa" w:w="80"/>
              <w:bottom w:type="dxa" w:w="60"/>
              <w:right w:type="dxa" w:w="80"/>
            </w:tcMar>
            <w:vAlign w:val="center"/>
          </w:tcPr>
          <w:p>
            <w:pPr>
              <w:spacing w:after="0"/>
            </w:pPr>
            <w:r>
              <w:rPr>
                <w:rFonts w:ascii="Times New Roman" w:cs="Times New Roman" w:eastAsia="Times New Roman" w:hAnsi="Times New Roman"/>
                <w:b/>
                <w:bCs/>
                <w:color w:val="FFFFFF"/>
                <w:sz w:val="20"/>
                <w:szCs w:val="20"/>
              </w:rPr>
            </w:r>
          </w:p>
        </w:tc>
      </w:tr>
      <w:tr>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Current</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~500,000,000 A (0.5 GA)</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~100,000–1,000,000 A</w:t>
            </w:r>
          </w:p>
        </w:tc>
      </w:tr>
      <w:tr>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Field contribution</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~50,000 nT (100%)</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~10–100 nT (~0.02–0.2%)</w:t>
            </w:r>
          </w:p>
        </w:tc>
      </w:tr>
      <w:tr>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During extreme storm</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w:t>
            </w:r>
          </w:p>
        </w:tc>
        <w:tc>
          <w:tcPr>
            <w:tcW w:type="dxa" w:w="3120"/>
            <w:tcBorders>
              <w:top w:val="single" w:color="888888" w:sz="1"/>
              <w:left w:val="single" w:color="888888" w:sz="1"/>
              <w:bottom w:val="single" w:color="888888" w:sz="1"/>
              <w:right w:val="single" w:color="888888" w:sz="1"/>
            </w:tcBorders>
            <w:tcMar>
              <w:top w:type="dxa" w:w="60"/>
              <w:left w:type="dxa" w:w="80"/>
              <w:bottom w:type="dxa" w:w="60"/>
              <w:right w:type="dxa" w:w="80"/>
            </w:tcMar>
            <w:vAlign w:val="center"/>
          </w:tcPr>
          <w:p>
            <w:pPr>
              <w:spacing w:after="0"/>
            </w:pPr>
            <w:r>
              <w:rPr>
                <w:rFonts w:ascii="Times New Roman" w:cs="Times New Roman" w:eastAsia="Times New Roman" w:hAnsi="Times New Roman"/>
                <w:sz w:val="20"/>
                <w:szCs w:val="20"/>
              </w:rPr>
              <w:t xml:space="preserve">~100–1000+ nT (~0.2–2%)</w:t>
            </w:r>
          </w:p>
        </w:tc>
      </w:tr>
    </w:tbl>
    <w:p>
      <w:pPr>
        <w:spacing w:before="120" w:after="200"/>
      </w:pPr>
      <w:r>
        <w:rPr>
          <w:rFonts w:ascii="Times New Roman" w:cs="Times New Roman" w:eastAsia="Times New Roman" w:hAnsi="Times New Roman"/>
          <w:i/>
          <w:iCs/>
          <w:sz w:val="20"/>
          <w:szCs w:val="20"/>
        </w:rPr>
        <w:t xml:space="preserve">Table A1. Scale comparison: ionospheric current capacity vs. full field requirement.</w:t>
      </w:r>
    </w:p>
    <w:p>
      <w:pPr>
        <w:spacing w:after="200" w:line="276"/>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The ionosphere cannot generate the main geomagnetic field. However, it is perfectly scaled to provide the perturbations (ΔB ~ tens to hundreds of nT) observed during geomagnetic jerks, diurnal variations, and storm-time disturbances. This is the physical basis for the “modulation, not generation” framework of this hypothesis.</w:t>
      </w:r>
    </w:p>
    <w:p>
      <w:pPr>
        <w:spacing w:after="200" w:line="276"/>
      </w:pPr>
      <w:r>
        <w:rPr>
          <w:rFonts w:ascii="Times New Roman" w:cs="Times New Roman" w:eastAsia="Times New Roman" w:hAnsi="Times New Roman"/>
          <w:b/>
          <w:bCs/>
          <w:sz w:val="24"/>
          <w:szCs w:val="24"/>
        </w:rPr>
        <w:t xml:space="preserve">Caveat on the strong hypothesis: </w:t>
      </w:r>
      <w:r>
        <w:rPr>
          <w:rFonts w:ascii="Times New Roman" w:cs="Times New Roman" w:eastAsia="Times New Roman" w:hAnsi="Times New Roman"/>
          <w:sz w:val="24"/>
          <w:szCs w:val="24"/>
        </w:rPr>
        <w:t xml:space="preserve">The author acknowledges this magnitude gap. The strong-form claim (external dominance) would require either: (a) a multi-layer, multi-turn equivalent current system with energy budgets not yet fully quantified, or (b) a fundamental revision of how external coupling is modeled. We present the modulation framework as the testable, conservative version, while keeping the strong form as a motivation for deeper investigation.</w:t>
      </w:r>
    </w:p>
    <w:p>
      <w:r>
        <w:br w:type="page"/>
      </w:r>
    </w:p>
    <w:p>
      <w:pPr>
        <w:pStyle w:val="Heading1"/>
        <w:spacing w:before="360" w:after="200"/>
      </w:pPr>
      <w:r>
        <w:rPr>
          <w:rFonts w:ascii="Times New Roman" w:cs="Times New Roman" w:eastAsia="Times New Roman" w:hAnsi="Times New Roman"/>
          <w:b/>
          <w:bCs/>
          <w:sz w:val="32"/>
          <w:szCs w:val="32"/>
        </w:rPr>
        <w:t xml:space="preserve">References</w:t>
      </w:r>
    </w:p>
    <w:p>
      <w:pPr>
        <w:spacing w:after="200" w:line="276"/>
      </w:pPr>
      <w:r>
        <w:rPr>
          <w:rFonts w:ascii="Times New Roman" w:cs="Times New Roman" w:eastAsia="Times New Roman" w:hAnsi="Times New Roman"/>
          <w:sz w:val="22"/>
          <w:szCs w:val="22"/>
        </w:rPr>
        <w:t xml:space="preserve">1. Alldredge, L. R. (1984). A discussion of impulses and jerks in the geomagnetic field. Journal of Geophysical Research, 89, 4403–4412.</w:t>
      </w:r>
    </w:p>
    <w:p>
      <w:pPr>
        <w:spacing w:after="200" w:line="276"/>
      </w:pPr>
      <w:r>
        <w:rPr>
          <w:rFonts w:ascii="Times New Roman" w:cs="Times New Roman" w:eastAsia="Times New Roman" w:hAnsi="Times New Roman"/>
          <w:sz w:val="22"/>
          <w:szCs w:val="22"/>
        </w:rPr>
        <w:t xml:space="preserve">2. Aubert, J., &amp; Finlay, C. C. (2019). Geomagnetic jerks and rapid hydromagnetic waves focusing at Earth’s core surface. Nature Geoscience, 12, 393–398. https://doi.org/10.1038/s41561-019-0355-1</w:t>
      </w:r>
    </w:p>
    <w:p>
      <w:pPr>
        <w:spacing w:after="200" w:line="276"/>
      </w:pPr>
      <w:r>
        <w:rPr>
          <w:rFonts w:ascii="Times New Roman" w:cs="Times New Roman" w:eastAsia="Times New Roman" w:hAnsi="Times New Roman"/>
          <w:sz w:val="22"/>
          <w:szCs w:val="22"/>
        </w:rPr>
        <w:t xml:space="preserve">3. Aubert, J., Livermore, P. W., Finlay, C. C., Fournier, A., &amp; Gillet, N. (2022). A taxonomy of simulated geomagnetic jerks. Geophysical Journal International, 231(1), 650–672. https://doi.org/10.1093/gji/ggac212</w:t>
      </w:r>
    </w:p>
    <w:p>
      <w:pPr>
        <w:spacing w:after="200" w:line="276"/>
      </w:pPr>
      <w:r>
        <w:rPr>
          <w:rFonts w:ascii="Times New Roman" w:cs="Times New Roman" w:eastAsia="Times New Roman" w:hAnsi="Times New Roman"/>
          <w:sz w:val="22"/>
          <w:szCs w:val="22"/>
        </w:rPr>
        <w:t xml:space="preserve">4. Chambodut, A., et al. (2005). Geomagnetic jerks from the Earth’s surface to the top of the core. Earth, Planets and Space, 57, 551–559.</w:t>
      </w:r>
    </w:p>
    <w:p>
      <w:pPr>
        <w:spacing w:after="200" w:line="276"/>
      </w:pPr>
      <w:r>
        <w:rPr>
          <w:rFonts w:ascii="Times New Roman" w:cs="Times New Roman" w:eastAsia="Times New Roman" w:hAnsi="Times New Roman"/>
          <w:sz w:val="22"/>
          <w:szCs w:val="22"/>
        </w:rPr>
        <w:t xml:space="preserve">5. Hayakawa, H., et al. (2024). The Solar and Geomagnetic Storms in May 2024: A Flash Data Report. The Astrophysical Journal, 979, 49. https://doi.org/10.3847/1538-4357/ad9335</w:t>
      </w:r>
    </w:p>
    <w:p>
      <w:pPr>
        <w:spacing w:after="200" w:line="276"/>
      </w:pPr>
      <w:r>
        <w:rPr>
          <w:rFonts w:ascii="Times New Roman" w:cs="Times New Roman" w:eastAsia="Times New Roman" w:hAnsi="Times New Roman"/>
          <w:sz w:val="22"/>
          <w:szCs w:val="22"/>
        </w:rPr>
        <w:t xml:space="preserve">6. Mandea, M., Holme, R., Pais, A., Pinheiro, K., Jackson, A., &amp; Verbanac, G. (2010). Geomagnetic jerks: rapid core field variations and core dynamics. Space Science Reviews, 155, 147–175.</w:t>
      </w:r>
    </w:p>
    <w:p>
      <w:pPr>
        <w:spacing w:after="200" w:line="276"/>
      </w:pPr>
      <w:r>
        <w:rPr>
          <w:rFonts w:ascii="Times New Roman" w:cs="Times New Roman" w:eastAsia="Times New Roman" w:hAnsi="Times New Roman"/>
          <w:sz w:val="22"/>
          <w:szCs w:val="22"/>
        </w:rPr>
        <w:t xml:space="preserve">7. NOAA/NCEI &amp; British Geological Survey. (2025). World Magnetic Model 2025 (WMM2025). https://www.ncei.noaa.gov/products/world-magnetic-model</w:t>
      </w:r>
    </w:p>
    <w:p>
      <w:pPr>
        <w:spacing w:after="200" w:line="276"/>
      </w:pPr>
      <w:r>
        <w:rPr>
          <w:rFonts w:ascii="Times New Roman" w:cs="Times New Roman" w:eastAsia="Times New Roman" w:hAnsi="Times New Roman"/>
          <w:sz w:val="22"/>
          <w:szCs w:val="22"/>
        </w:rPr>
        <w:t xml:space="preserve">8. Tesla Science Center at Wardenclyffe. Tesla’s Wireless Power and the Wardenclyffe Tower. https://teslasciencecenter.org/teslas-wireless-power/</w:t>
      </w:r>
    </w:p>
    <w:p>
      <w:pPr>
        <w:spacing w:after="200" w:line="276"/>
      </w:pPr>
      <w:r>
        <w:rPr>
          <w:rFonts w:ascii="Times New Roman" w:cs="Times New Roman" w:eastAsia="Times New Roman" w:hAnsi="Times New Roman"/>
          <w:sz w:val="22"/>
          <w:szCs w:val="22"/>
        </w:rPr>
        <w:t xml:space="preserve">9. WDC for Geomagnetism, Kyoto University. (2024). Dst and SYM-H index data. https://wdc.kugi.kyoto-u.ac.jp/</w:t>
      </w:r>
    </w:p>
    <w:p>
      <w:pPr>
        <w:pStyle w:val="Heading1"/>
        <w:spacing w:before="360" w:after="200"/>
      </w:pPr>
      <w:r>
        <w:rPr>
          <w:rFonts w:ascii="Times New Roman" w:cs="Times New Roman" w:eastAsia="Times New Roman" w:hAnsi="Times New Roman"/>
          <w:b/>
          <w:bCs/>
          <w:sz w:val="32"/>
          <w:szCs w:val="32"/>
        </w:rPr>
        <w:t xml:space="preserve">Acknowledgements</w:t>
      </w:r>
    </w:p>
    <w:p>
      <w:pPr>
        <w:spacing w:after="200" w:line="276"/>
      </w:pPr>
      <w:r>
        <w:rPr>
          <w:rFonts w:ascii="Times New Roman" w:cs="Times New Roman" w:eastAsia="Times New Roman" w:hAnsi="Times New Roman"/>
          <w:sz w:val="24"/>
          <w:szCs w:val="24"/>
        </w:rPr>
        <w:t xml:space="preserve">The conceptual framework for this hypothesis was developed by Murad Tulunay, with the assistance of AI research tools (Anthropic Claude, OpenAI ChatGPT, and Google Gemini) for data synthesis, simulation logic, literature review, and document drafting. Responsibility for all claims and interpretation remains with the author.</w:t>
      </w:r>
    </w:p>
    <w:p>
      <w:pPr>
        <w:spacing w:after="200" w:line="276"/>
      </w:pPr>
      <w:r>
        <w:rPr>
          <w:rFonts w:ascii="Times New Roman" w:cs="Times New Roman" w:eastAsia="Times New Roman" w:hAnsi="Times New Roman"/>
          <w:sz w:val="24"/>
          <w:szCs w:val="24"/>
        </w:rPr>
        <w:t xml:space="preserve">Dedicated to the engineering intuition of Nikola Tesla, and to every curious mind that asks “what if?”</w:t>
      </w:r>
    </w:p>
    <w:p>
      <w:pPr>
        <w:pBdr>
          <w:top w:val="single" w:color="888888" w:sz="2" w:space="4"/>
        </w:pBdr>
        <w:spacing w:before="400" w:after="200"/>
      </w:pPr>
      <w:r>
        <w:rPr>
          <w:rFonts w:ascii="Times New Roman" w:cs="Times New Roman" w:eastAsia="Times New Roman" w:hAnsi="Times New Roman"/>
          <w:b/>
          <w:bCs/>
          <w:sz w:val="22"/>
          <w:szCs w:val="22"/>
        </w:rPr>
        <w:t xml:space="preserve">AI Disclosure: </w:t>
      </w:r>
      <w:r>
        <w:rPr>
          <w:rFonts w:ascii="Times New Roman" w:cs="Times New Roman" w:eastAsia="Times New Roman" w:hAnsi="Times New Roman"/>
          <w:sz w:val="22"/>
          <w:szCs w:val="22"/>
        </w:rPr>
        <w:t xml:space="preserve">This work was developed using large language models (Claude by Anthropic, ChatGPT by OpenAI, Gemini by Google) as research and drafting tools. The AI systems assisted with literature synthesis, simulation design, mathematical verification, and document formatting. All conceptual claims, hypotheses, and scientific interpretations are the responsibility of the human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Tulunay (2026) — External Modulation Hypothesis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A3C5E"/>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65a199ccb8df43c1ecf7c1bb0ce60b55b8939fc.jpg"/><Relationship Id="rId9" Type="http://schemas.openxmlformats.org/officeDocument/2006/relationships/image" Target="media/af2ceb0290bb6d902599d779c94d50d415cd3c53.jp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2026-02-15T18:12:04.684Z</dcterms:created>
  <dcterms:modified xsi:type="dcterms:W3CDTF">2026-02-15T18:12:04.685Z</dcterms:modified>
</cp:coreProperties>
</file>

<file path=docProps/custom.xml><?xml version="1.0" encoding="utf-8"?>
<Properties xmlns="http://schemas.openxmlformats.org/officeDocument/2006/custom-properties" xmlns:vt="http://schemas.openxmlformats.org/officeDocument/2006/docPropsVTypes"/>
</file>