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0"/>
        </w:rPr>
        <w:t>Course Code: CSE 499A</w:t>
      </w:r>
    </w:p>
    <w:p>
      <w:pPr>
        <w:spacing w:after="0"/>
        <w:jc w:val="center"/>
      </w:pPr>
      <w:r>
        <w:rPr>
          <w:rFonts w:ascii="Times New Roman" w:hAnsi="Times New Roman"/>
          <w:b/>
          <w:sz w:val="20"/>
        </w:rPr>
        <w:t>Section: 15</w:t>
      </w:r>
    </w:p>
    <w:p>
      <w:pPr>
        <w:spacing w:after="0"/>
        <w:jc w:val="center"/>
      </w:pPr>
      <w:r>
        <w:rPr>
          <w:rFonts w:ascii="Times New Roman" w:hAnsi="Times New Roman"/>
          <w:b/>
          <w:sz w:val="20"/>
        </w:rPr>
        <w:t>Project Group No: Group 06</w:t>
      </w:r>
    </w:p>
    <w:p>
      <w:pPr>
        <w:spacing w:after="0"/>
        <w:jc w:val="center"/>
      </w:pPr>
      <w:r>
        <w:rPr>
          <w:rFonts w:ascii="Times New Roman" w:hAnsi="Times New Roman"/>
          <w:b/>
          <w:sz w:val="20"/>
        </w:rPr>
        <w:t>Group Members:</w:t>
      </w:r>
    </w:p>
    <w:p>
      <w:pPr>
        <w:spacing w:after="0"/>
        <w:jc w:val="center"/>
      </w:pPr>
      <w:r>
        <w:rPr>
          <w:rFonts w:ascii="Times New Roman" w:hAnsi="Times New Roman"/>
          <w:b w:val="0"/>
          <w:sz w:val="20"/>
        </w:rPr>
        <w:t>Md.Murad Ul Momin (ID: 2232360642)</w:t>
      </w:r>
    </w:p>
    <w:p>
      <w:pPr>
        <w:spacing w:after="0"/>
        <w:jc w:val="center"/>
      </w:pPr>
      <w:r>
        <w:rPr>
          <w:rFonts w:ascii="Times New Roman" w:hAnsi="Times New Roman"/>
          <w:b w:val="0"/>
          <w:sz w:val="20"/>
        </w:rPr>
        <w:t>Rima Saha (ID: 2132517042)</w:t>
      </w:r>
    </w:p>
    <w:p>
      <w:pPr>
        <w:spacing w:after="0"/>
        <w:jc w:val="center"/>
      </w:pPr>
      <w:r>
        <w:rPr>
          <w:rFonts w:ascii="Times New Roman" w:hAnsi="Times New Roman"/>
          <w:b w:val="0"/>
          <w:sz w:val="20"/>
        </w:rPr>
        <w:t>Sakia Tabassum Anonna (ID: 2221433042)</w:t>
      </w:r>
    </w:p>
    <w:p>
      <w:pPr>
        <w:spacing w:after="0"/>
        <w:jc w:val="center"/>
      </w:pPr>
      <w:r>
        <w:rPr>
          <w:rFonts w:ascii="Times New Roman" w:hAnsi="Times New Roman"/>
          <w:b w:val="0"/>
          <w:sz w:val="20"/>
        </w:rPr>
        <w:t>Ashraful Hossain Riyan (ID: 2232845642)</w:t>
      </w:r>
    </w:p>
    <w:p/>
    <w:p>
      <w:pPr>
        <w:jc w:val="center"/>
      </w:pPr>
      <w:r>
        <w:rPr>
          <w:rFonts w:ascii="Times New Roman" w:hAnsi="Times New Roman"/>
          <w:b/>
          <w:sz w:val="28"/>
        </w:rPr>
        <w:t>PRIVATE SHIELD: Week 1 Progress Report</w:t>
      </w:r>
    </w:p>
    <w:p/>
    <w:p>
      <w:pPr>
        <w:sectPr>
          <w:pgSz w:w="12240" w:h="15840"/>
          <w:pgMar w:top="720" w:right="720" w:bottom="720" w:left="720" w:header="720" w:footer="720" w:gutter="0"/>
          <w:cols w:space="720"/>
          <w:docGrid w:linePitch="360"/>
        </w:sectPr>
      </w:pPr>
    </w:p>
    <w:p>
      <w:pPr>
        <w:spacing w:after="40" w:before="120"/>
        <w:jc w:val="center"/>
      </w:pPr>
      <w:r>
        <w:rPr>
          <w:rFonts w:ascii="Times New Roman" w:hAnsi="Times New Roman"/>
          <w:b/>
          <w:sz w:val="20"/>
        </w:rPr>
        <w:t>I. INTRODUCTION</w:t>
      </w:r>
    </w:p>
    <w:p>
      <w:pPr>
        <w:spacing w:after="80"/>
        <w:jc w:val="both"/>
      </w:pPr>
      <w:r>
        <w:rPr>
          <w:rFonts w:ascii="Times New Roman" w:hAnsi="Times New Roman"/>
          <w:sz w:val="18"/>
        </w:rPr>
        <w:t>The PRIVATE SHIELD project delivers a Privacy-Preserving Federated Intelligence System for IoT Threat Detection. This report summarizes the Week 1 milestones, establishing the baseline framework encompassing the local telemetry simulation engine, data preprocessing foundations, defensive security sandboxes, and web infrastructure.</w:t>
      </w:r>
    </w:p>
    <w:p>
      <w:pPr>
        <w:spacing w:after="40" w:before="120"/>
        <w:jc w:val="center"/>
      </w:pPr>
      <w:r>
        <w:rPr>
          <w:rFonts w:ascii="Times New Roman" w:hAnsi="Times New Roman"/>
          <w:b/>
          <w:sz w:val="20"/>
        </w:rPr>
        <w:t>II. SYSTEM IMPLEMENTATION</w:t>
      </w:r>
    </w:p>
    <w:p>
      <w:pPr>
        <w:spacing w:after="80"/>
        <w:jc w:val="both"/>
      </w:pPr>
      <w:r>
        <w:rPr>
          <w:rFonts w:ascii="Times New Roman" w:hAnsi="Times New Roman"/>
          <w:sz w:val="18"/>
        </w:rPr>
        <w:t>Development was divided into four core engineering vectors to create a cohesive local environment pipeline:</w:t>
      </w:r>
    </w:p>
    <w:p>
      <w:pPr>
        <w:spacing w:after="40" w:before="80"/>
      </w:pPr>
      <w:r>
        <w:rPr>
          <w:rFonts w:ascii="Times New Roman" w:hAnsi="Times New Roman"/>
          <w:i/>
          <w:sz w:val="19"/>
        </w:rPr>
        <w:t>A. IoT Simulator &amp; Telemetry Pipeline</w:t>
      </w:r>
    </w:p>
    <w:p>
      <w:pPr>
        <w:spacing w:after="80"/>
        <w:jc w:val="both"/>
      </w:pPr>
      <w:r>
        <w:rPr>
          <w:rFonts w:ascii="Times New Roman" w:hAnsi="Times New Roman"/>
          <w:sz w:val="18"/>
        </w:rPr>
        <w:t>An enterprise-grade message queuing system was built using the Eclipse Mosquitto MQTT broker platform. A runtime script (fake_device.py) was implemented using the paho-mqtt dependency to simulate edge-level hardware footprints. The script parses execution arguments dynamically to enable multi-device instances. It broadcasts continuous data packets over localhost loopbacks (127.0.0.1:1883) at a strict 3-second polling interval. Generated payload properties comprise isolated telemetry points such as device identifiers, random temperatures (20.0°C–35.0°C), operational humidity levels (40.0%–80.0%), and packet metadata. Pipeline stability was verified by simultaneously executing distinct cam_01, sensor_02, and plug_03 edge instances.</w:t>
      </w:r>
    </w:p>
    <w:p>
      <w:pPr>
        <w:spacing w:after="40" w:before="80"/>
      </w:pPr>
      <w:r>
        <w:rPr>
          <w:rFonts w:ascii="Times New Roman" w:hAnsi="Times New Roman"/>
          <w:i/>
          <w:sz w:val="19"/>
        </w:rPr>
        <w:t>B. ML Environment &amp; Data Engineering</w:t>
      </w:r>
    </w:p>
    <w:p>
      <w:pPr>
        <w:spacing w:after="80"/>
        <w:jc w:val="both"/>
      </w:pPr>
      <w:r>
        <w:rPr>
          <w:rFonts w:ascii="Times New Roman" w:hAnsi="Times New Roman"/>
          <w:sz w:val="18"/>
        </w:rPr>
        <w:t>To facilitate analytical parsing, the structural format of benign network datasets was thoroughly evaluated. The pipeline checked for data integrity anomalies and cleaned the dataset by removing exactly 9,153 duplicate rows to ensure higher training quality.</w:t>
      </w:r>
    </w:p>
    <w:p>
      <w:pPr>
        <w:spacing w:after="80"/>
        <w:jc w:val="both"/>
      </w:pPr>
      <w:r>
        <w:rPr>
          <w:rFonts w:ascii="Times New Roman" w:hAnsi="Times New Roman"/>
          <w:sz w:val="18"/>
        </w:rPr>
        <w:t>The analytical setup established step-by-step programming logic designed to combine distinct data blocks, shuffle raw profiles to mitigate ordering biases, normalize numerical ranges via scaling, and partition the final vectors into a balanced 80% training set and a 20% validation testing set. Rather than relying on a local machine layer, development shifted exclusively to the cloud-based Kaggle ecosystem. This circumvented downloading large raw data files, bypassed complex local framework installations, and leveraged free cloud processing units.</w:t>
      </w:r>
    </w:p>
    <w:p>
      <w:pPr>
        <w:spacing w:after="40" w:before="80"/>
      </w:pPr>
      <w:r>
        <w:rPr>
          <w:rFonts w:ascii="Times New Roman" w:hAnsi="Times New Roman"/>
          <w:i/>
          <w:sz w:val="19"/>
        </w:rPr>
        <w:t>C. Threat Assessment Sandbox</w:t>
      </w:r>
    </w:p>
    <w:p>
      <w:pPr>
        <w:spacing w:after="80"/>
        <w:jc w:val="both"/>
      </w:pPr>
      <w:r>
        <w:rPr>
          <w:rFonts w:ascii="Times New Roman" w:hAnsi="Times New Roman"/>
          <w:sz w:val="18"/>
        </w:rPr>
        <w:t>A sandboxed network attack environment was isolated inside an Oracle VirtualBox architecture by deploying a pre-built Kali Linux VM appliance with bridged host-only adapter interfaces. Automated assessment packages (nmap and hping3) were successfully audited to verify baseline readiness.</w:t>
      </w:r>
    </w:p>
    <w:p>
      <w:pPr>
        <w:spacing w:after="80"/>
        <w:jc w:val="both"/>
      </w:pPr>
      <w:r>
        <w:rPr>
          <w:rFonts w:ascii="Times New Roman" w:hAnsi="Times New Roman"/>
          <w:sz w:val="18"/>
        </w:rPr>
        <w:t>A custom multi-threaded socket framework script (attack_dos.py) was built on the host machine to execute parallelized target connection flooding. The module spawns 100 concurrent threads to establish rapid, brief TCP connections targeting the port 1883 ingress. Real-time measurement metrics log connection flood velocity attempts per second to accurately assess system capacity bounds under peak volumetric saturation.</w:t>
      </w:r>
    </w:p>
    <w:p>
      <w:pPr>
        <w:spacing w:after="40" w:before="80"/>
      </w:pPr>
      <w:r>
        <w:rPr>
          <w:rFonts w:ascii="Times New Roman" w:hAnsi="Times New Roman"/>
          <w:i/>
          <w:sz w:val="19"/>
        </w:rPr>
        <w:t>D. Web Framework Integration</w:t>
      </w:r>
    </w:p>
    <w:p>
      <w:pPr>
        <w:spacing w:after="80"/>
        <w:jc w:val="both"/>
      </w:pPr>
      <w:r>
        <w:rPr>
          <w:rFonts w:ascii="Times New Roman" w:hAnsi="Times New Roman"/>
          <w:sz w:val="18"/>
        </w:rPr>
        <w:t>The client-facing UI and backend interface scaffolds were established. The client layout was scaffolded using the Node.js runtime environment through a modular React application architecture (shield-web-dashboard).</w:t>
      </w:r>
    </w:p>
    <w:p>
      <w:pPr>
        <w:spacing w:after="80"/>
        <w:jc w:val="both"/>
      </w:pPr>
      <w:r>
        <w:rPr>
          <w:rFonts w:ascii="Times New Roman" w:hAnsi="Times New Roman"/>
          <w:sz w:val="18"/>
        </w:rPr>
        <w:t>Concurrently, the API backend foundation was deployed using FastAPI paired with the Uvicorn high-performance ASGI web server. A micro-REST liveness verification route (GET /ping) was successfully written and served on port 8000. System operational tests confirmed perfect end-to-end responses, with the browser querying tool successfully receiving the structured validation payload {"status":"ok"}.</w:t>
      </w:r>
    </w:p>
    <w:p>
      <w:pPr>
        <w:spacing w:after="40" w:before="120"/>
        <w:jc w:val="center"/>
      </w:pPr>
      <w:r>
        <w:rPr>
          <w:rFonts w:ascii="Times New Roman" w:hAnsi="Times New Roman"/>
          <w:b/>
          <w:sz w:val="20"/>
        </w:rPr>
        <w:t>III. VERIFICATION RESULTS</w:t>
      </w:r>
    </w:p>
    <w:p>
      <w:pPr>
        <w:spacing w:after="80"/>
        <w:jc w:val="both"/>
      </w:pPr>
      <w:r>
        <w:rPr>
          <w:rFonts w:ascii="Times New Roman" w:hAnsi="Times New Roman"/>
          <w:sz w:val="18"/>
        </w:rPr>
        <w:t>Comprehensive local testing confirmed successful operation:</w:t>
      </w:r>
    </w:p>
    <w:p>
      <w:pPr>
        <w:pStyle w:val="ListBullet"/>
        <w:spacing w:after="40"/>
      </w:pPr>
      <w:r>
        <w:rPr>
          <w:rFonts w:ascii="Times New Roman" w:hAnsi="Times New Roman"/>
          <w:sz w:val="18"/>
        </w:rPr>
        <w:t>Telemetry Loop: The MQTT broker successfully accepted concurrent data entries across multiple ports from three simultaneously running client profiles.</w:t>
      </w:r>
    </w:p>
    <w:p>
      <w:pPr>
        <w:pStyle w:val="ListBullet"/>
        <w:spacing w:after="40"/>
      </w:pPr>
      <w:r>
        <w:rPr>
          <w:rFonts w:ascii="Times New Roman" w:hAnsi="Times New Roman"/>
          <w:sz w:val="18"/>
        </w:rPr>
        <w:t>Network Saturation: The DoS tool validated continuous throughput under load without causing process blocks or memory exhaustion.</w:t>
      </w:r>
    </w:p>
    <w:p>
      <w:pPr>
        <w:pStyle w:val="ListBullet"/>
        <w:spacing w:after="40"/>
      </w:pPr>
      <w:r>
        <w:rPr>
          <w:rFonts w:ascii="Times New Roman" w:hAnsi="Times New Roman"/>
          <w:sz w:val="18"/>
        </w:rPr>
        <w:t>Liveness Probe: Web services displayed instant hot-reload routing connectivity with valid JSON responses.</w:t>
      </w:r>
    </w:p>
    <w:p>
      <w:pPr>
        <w:spacing w:after="40" w:before="120"/>
        <w:jc w:val="center"/>
      </w:pPr>
      <w:r>
        <w:rPr>
          <w:rFonts w:ascii="Times New Roman" w:hAnsi="Times New Roman"/>
          <w:b/>
          <w:sz w:val="20"/>
        </w:rPr>
        <w:t>IV. WEEK 2 OBJECTIVES</w:t>
      </w:r>
    </w:p>
    <w:p>
      <w:pPr>
        <w:spacing w:after="80"/>
        <w:jc w:val="both"/>
      </w:pPr>
      <w:r>
        <w:rPr>
          <w:rFonts w:ascii="Times New Roman" w:hAnsi="Times New Roman"/>
          <w:sz w:val="18"/>
        </w:rPr>
        <w:t>Moving into Week 2, the primary goal shifts toward handling active MQTT streams and generating initial datasets. The key milestones include:</w:t>
      </w:r>
    </w:p>
    <w:p>
      <w:pPr>
        <w:pStyle w:val="ListNumber"/>
        <w:spacing w:after="40"/>
      </w:pPr>
      <w:r>
        <w:rPr>
          <w:rFonts w:ascii="Times New Roman" w:hAnsi="Times New Roman"/>
          <w:sz w:val="18"/>
        </w:rPr>
        <w:t>Upgrading the IoT simulator to support three diverse real-world behavior profiles: high-bandwidth cameras, low-frequency environment sensors, and smart plugs.</w:t>
      </w:r>
    </w:p>
    <w:p>
      <w:pPr>
        <w:pStyle w:val="ListNumber"/>
        <w:spacing w:after="40"/>
      </w:pPr>
      <w:r>
        <w:rPr>
          <w:rFonts w:ascii="Times New Roman" w:hAnsi="Times New Roman"/>
          <w:sz w:val="18"/>
        </w:rPr>
        <w:t>Writing a continuous data logging utility (mqtt_logger.py) to subscribe to active device topics, apply timestamps, auto-label regular baseline traffic, and commit entries to an internal storage matrix (normal.csv).</w:t>
      </w:r>
    </w:p>
    <w:p>
      <w:pPr>
        <w:pStyle w:val="ListNumber"/>
        <w:spacing w:after="40"/>
      </w:pPr>
      <w:r>
        <w:rPr>
          <w:rFonts w:ascii="Times New Roman" w:hAnsi="Times New Roman"/>
          <w:sz w:val="18"/>
        </w:rPr>
        <w:t>Constructing an advanced automated simulator capable of switching between three distinct attack methodologies: Denial of Service (DoS) floods, progressive port scanning loops, and synchronized Mirai botnet surges.</w:t>
      </w:r>
    </w:p>
    <w:p>
      <w:pPr>
        <w:pStyle w:val="ListNumber"/>
        <w:spacing w:after="40"/>
      </w:pPr>
      <w:r>
        <w:rPr>
          <w:rFonts w:ascii="Times New Roman" w:hAnsi="Times New Roman"/>
          <w:sz w:val="18"/>
        </w:rPr>
        <w:t>Designing a command-line interface monitor that pulls live shared counter files to dynamically reflect active device numbers, transmission frequency rates, and security alert logs.</w:t>
      </w:r>
    </w:p>
    <w:sectPr w:rsidR="00FC693F" w:rsidRPr="0006063C" w:rsidSect="00034616">
      <w:type w:val="continuous"/>
      <w:pgSz w:w="12240" w:h="15840"/>
      <w:pgMar w:top="720" w:right="720" w:bottom="720" w:left="72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