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686479">
      <w:pPr>
        <w:spacing w:before="0" w:after="0" w:line="240" w:lineRule="auto"/>
        <w:jc w:val="center"/>
        <w:rPr>
          <w:sz w:val="24"/>
          <w:szCs w:val="24"/>
        </w:rPr>
      </w:pPr>
      <w:r>
        <w:rPr>
          <w:rFonts w:eastAsia="Times New Roman"/>
          <w:b w:val="0"/>
          <w:i w:val="0"/>
          <w:sz w:val="24"/>
          <w:szCs w:val="24"/>
        </w:rPr>
        <w:t>Course Code: CSE 499A</w:t>
      </w:r>
    </w:p>
    <w:p w14:paraId="4EA63E42">
      <w:pPr>
        <w:spacing w:before="0" w:after="0" w:line="240" w:lineRule="auto"/>
        <w:jc w:val="center"/>
        <w:rPr>
          <w:sz w:val="24"/>
          <w:szCs w:val="24"/>
        </w:rPr>
      </w:pPr>
      <w:r>
        <w:rPr>
          <w:rFonts w:eastAsia="Times New Roman"/>
          <w:b w:val="0"/>
          <w:i w:val="0"/>
          <w:sz w:val="24"/>
          <w:szCs w:val="24"/>
        </w:rPr>
        <w:t>Section: 15</w:t>
      </w:r>
    </w:p>
    <w:p w14:paraId="4B303076">
      <w:pPr>
        <w:spacing w:before="0" w:after="0" w:line="240" w:lineRule="auto"/>
        <w:jc w:val="center"/>
        <w:rPr>
          <w:sz w:val="24"/>
          <w:szCs w:val="24"/>
        </w:rPr>
      </w:pPr>
      <w:r>
        <w:rPr>
          <w:rFonts w:eastAsia="Times New Roman"/>
          <w:b w:val="0"/>
          <w:i w:val="0"/>
          <w:sz w:val="24"/>
          <w:szCs w:val="24"/>
        </w:rPr>
        <w:t>Project Group No: 06</w:t>
      </w:r>
    </w:p>
    <w:p w14:paraId="4DC78158">
      <w:pPr>
        <w:spacing w:before="0" w:after="0" w:line="240" w:lineRule="auto"/>
        <w:jc w:val="center"/>
        <w:rPr>
          <w:sz w:val="24"/>
          <w:szCs w:val="24"/>
        </w:rPr>
      </w:pPr>
      <w:r>
        <w:rPr>
          <w:rFonts w:eastAsia="Times New Roman"/>
          <w:b w:val="0"/>
          <w:i w:val="0"/>
          <w:sz w:val="24"/>
          <w:szCs w:val="24"/>
        </w:rPr>
        <w:t>Group Members:</w:t>
      </w:r>
    </w:p>
    <w:p w14:paraId="0ED0246F">
      <w:pPr>
        <w:spacing w:before="0" w:after="0" w:line="240" w:lineRule="auto"/>
        <w:jc w:val="center"/>
        <w:rPr>
          <w:sz w:val="24"/>
          <w:szCs w:val="24"/>
        </w:rPr>
      </w:pPr>
      <w:r>
        <w:rPr>
          <w:rFonts w:eastAsia="Times New Roman"/>
          <w:b w:val="0"/>
          <w:i w:val="0"/>
          <w:sz w:val="24"/>
          <w:szCs w:val="24"/>
        </w:rPr>
        <w:t>Md.Murad Ul Momin (ID: 2232360642)</w:t>
      </w:r>
    </w:p>
    <w:p w14:paraId="6C804F61">
      <w:pPr>
        <w:spacing w:before="0" w:after="0" w:line="240" w:lineRule="auto"/>
        <w:jc w:val="center"/>
        <w:rPr>
          <w:sz w:val="24"/>
          <w:szCs w:val="24"/>
        </w:rPr>
      </w:pPr>
      <w:r>
        <w:rPr>
          <w:rFonts w:eastAsia="Times New Roman"/>
          <w:b w:val="0"/>
          <w:i w:val="0"/>
          <w:sz w:val="24"/>
          <w:szCs w:val="24"/>
        </w:rPr>
        <w:t>Rima Saha (ID: 2132517042)</w:t>
      </w:r>
    </w:p>
    <w:p w14:paraId="2771A4FB">
      <w:pPr>
        <w:spacing w:before="0" w:after="0" w:line="240" w:lineRule="auto"/>
        <w:jc w:val="center"/>
        <w:rPr>
          <w:sz w:val="24"/>
          <w:szCs w:val="24"/>
        </w:rPr>
      </w:pPr>
      <w:r>
        <w:rPr>
          <w:rFonts w:eastAsia="Times New Roman"/>
          <w:b w:val="0"/>
          <w:i w:val="0"/>
          <w:sz w:val="24"/>
          <w:szCs w:val="24"/>
        </w:rPr>
        <w:t>Sakia Tabassum An</w:t>
      </w:r>
      <w:r>
        <w:rPr>
          <w:rFonts w:hint="default"/>
          <w:b w:val="0"/>
          <w:i w:val="0"/>
          <w:sz w:val="24"/>
          <w:szCs w:val="24"/>
          <w:lang w:val="en-US"/>
        </w:rPr>
        <w:t>a</w:t>
      </w:r>
      <w:r>
        <w:rPr>
          <w:rFonts w:eastAsia="Times New Roman"/>
          <w:b w:val="0"/>
          <w:i w:val="0"/>
          <w:sz w:val="24"/>
          <w:szCs w:val="24"/>
        </w:rPr>
        <w:t>nna (ID: 2221433042)</w:t>
      </w:r>
    </w:p>
    <w:p w14:paraId="3E782007">
      <w:pPr>
        <w:spacing w:before="0" w:after="0" w:line="240" w:lineRule="auto"/>
        <w:jc w:val="center"/>
        <w:rPr>
          <w:sz w:val="24"/>
          <w:szCs w:val="24"/>
        </w:rPr>
      </w:pPr>
      <w:r>
        <w:rPr>
          <w:rFonts w:eastAsia="Times New Roman"/>
          <w:b w:val="0"/>
          <w:i w:val="0"/>
          <w:sz w:val="24"/>
          <w:szCs w:val="24"/>
        </w:rPr>
        <w:t>Ashraful Hossain Riyan (ID: 2232845642)</w:t>
      </w:r>
      <w:bookmarkStart w:id="0" w:name="_GoBack"/>
      <w:bookmarkEnd w:id="0"/>
    </w:p>
    <w:p w14:paraId="0CD64237">
      <w:pPr>
        <w:spacing w:before="80" w:after="120"/>
        <w:jc w:val="center"/>
        <w:rPr>
          <w:rFonts w:ascii="Times New Roman" w:hAnsi="Times New Roman" w:eastAsia="Times New Roman"/>
          <w:b/>
          <w:i w:val="0"/>
          <w:sz w:val="31"/>
        </w:rPr>
      </w:pPr>
      <w:r>
        <w:rPr>
          <w:rFonts w:eastAsia="Times New Roman"/>
          <w:b/>
          <w:i w:val="0"/>
          <w:sz w:val="31"/>
        </w:rPr>
        <w:t>PRIVATE SHIELD: Weekly Report</w:t>
      </w:r>
    </w:p>
    <w:p w14:paraId="3A819A27">
      <w:pPr>
        <w:spacing w:before="80" w:after="120"/>
        <w:jc w:val="center"/>
        <w:rPr>
          <w:rFonts w:ascii="Times New Roman" w:hAnsi="Times New Roman" w:eastAsia="Times New Roman"/>
          <w:b/>
          <w:i w:val="0"/>
          <w:sz w:val="31"/>
        </w:rPr>
      </w:pPr>
    </w:p>
    <w:tbl>
      <w:tblPr>
        <w:tblStyle w:val="12"/>
        <w:tblW w:w="9216" w:type="dxa"/>
        <w:jc w:val="center"/>
        <w:tblLayout w:type="fixed"/>
        <w:tblCellMar>
          <w:top w:w="0" w:type="dxa"/>
          <w:left w:w="80" w:type="dxa"/>
          <w:bottom w:w="0" w:type="dxa"/>
          <w:right w:w="80" w:type="dxa"/>
        </w:tblCellMar>
      </w:tblPr>
      <w:tblGrid>
        <w:gridCol w:w="4665"/>
        <w:gridCol w:w="4551"/>
      </w:tblGrid>
      <w:tr w14:paraId="2008D94B">
        <w:tblPrEx>
          <w:tblCellMar>
            <w:top w:w="0" w:type="dxa"/>
            <w:left w:w="80" w:type="dxa"/>
            <w:bottom w:w="0" w:type="dxa"/>
            <w:right w:w="80" w:type="dxa"/>
          </w:tblCellMar>
        </w:tblPrEx>
        <w:trPr>
          <w:trHeight w:val="7830" w:hRule="atLeast"/>
          <w:jc w:val="center"/>
        </w:trPr>
        <w:tc>
          <w:tcPr>
            <w:tcW w:w="4665" w:type="dxa"/>
          </w:tcPr>
          <w:p w14:paraId="2F995EFD">
            <w:pPr>
              <w:keepNext/>
              <w:spacing w:before="0" w:after="0" w:line="240" w:lineRule="auto"/>
              <w:jc w:val="left"/>
              <w:rPr>
                <w:sz w:val="24"/>
                <w:szCs w:val="24"/>
              </w:rPr>
            </w:pPr>
            <w:r>
              <w:rPr>
                <w:rFonts w:eastAsia="Times New Roman"/>
                <w:b/>
                <w:i w:val="0"/>
                <w:sz w:val="24"/>
                <w:szCs w:val="24"/>
              </w:rPr>
              <w:t>I. INTRODUCTION</w:t>
            </w:r>
          </w:p>
          <w:p w14:paraId="3BC72A4C">
            <w:pPr>
              <w:spacing w:before="0" w:after="0" w:line="240" w:lineRule="auto"/>
              <w:jc w:val="both"/>
              <w:rPr>
                <w:rFonts w:ascii="Times New Roman" w:hAnsi="Times New Roman" w:eastAsia="Times New Roman"/>
                <w:b w:val="0"/>
                <w:i w:val="0"/>
                <w:sz w:val="20"/>
                <w:szCs w:val="20"/>
              </w:rPr>
            </w:pPr>
            <w:r>
              <w:rPr>
                <w:rFonts w:eastAsia="Times New Roman"/>
                <w:b w:val="0"/>
                <w:i w:val="0"/>
                <w:sz w:val="20"/>
                <w:szCs w:val="20"/>
              </w:rPr>
              <w:t>This week, the team implemented three federated-learning research approaches for the PRIVATE SHIELD IoT intrusion-detection project. The work focused on dynamic aggregation for heterogeneous attack data, defence against free-rider clients, and semi-supervised anomaly detection. Each paper was developed as a separate experimental module so that its core method could be executed and later compared in a common project environment.</w:t>
            </w:r>
          </w:p>
          <w:p w14:paraId="594DDB23">
            <w:pPr>
              <w:spacing w:before="0" w:after="0" w:line="240" w:lineRule="auto"/>
              <w:jc w:val="both"/>
              <w:rPr>
                <w:rFonts w:ascii="Times New Roman" w:hAnsi="Times New Roman" w:eastAsia="Times New Roman"/>
                <w:b w:val="0"/>
                <w:i w:val="0"/>
                <w:sz w:val="20"/>
                <w:szCs w:val="20"/>
              </w:rPr>
            </w:pPr>
          </w:p>
          <w:p w14:paraId="3B5C213E">
            <w:pPr>
              <w:keepNext/>
              <w:spacing w:before="20" w:after="0" w:line="240" w:lineRule="auto"/>
              <w:jc w:val="left"/>
              <w:rPr>
                <w:sz w:val="24"/>
                <w:szCs w:val="24"/>
              </w:rPr>
            </w:pPr>
            <w:r>
              <w:rPr>
                <w:rFonts w:eastAsia="Times New Roman"/>
                <w:b/>
                <w:i w:val="0"/>
                <w:sz w:val="24"/>
                <w:szCs w:val="24"/>
              </w:rPr>
              <w:t>II. IMPLEMENTATION WORK</w:t>
            </w:r>
          </w:p>
          <w:p w14:paraId="6F75C175">
            <w:pPr>
              <w:keepNext/>
              <w:spacing w:before="4" w:after="0" w:line="240" w:lineRule="auto"/>
              <w:jc w:val="left"/>
              <w:rPr>
                <w:sz w:val="24"/>
                <w:szCs w:val="24"/>
              </w:rPr>
            </w:pPr>
            <w:r>
              <w:rPr>
                <w:rFonts w:eastAsia="Times New Roman"/>
                <w:b/>
                <w:i w:val="0"/>
                <w:sz w:val="24"/>
                <w:szCs w:val="24"/>
              </w:rPr>
              <w:t>A. FedMADE Dynamic Aggregation</w:t>
            </w:r>
          </w:p>
          <w:p w14:paraId="1F779FC7">
            <w:pPr>
              <w:spacing w:before="0" w:after="0" w:line="240" w:lineRule="auto"/>
              <w:jc w:val="both"/>
              <w:rPr>
                <w:rFonts w:ascii="Times New Roman" w:hAnsi="Times New Roman" w:eastAsia="Times New Roman"/>
                <w:b w:val="0"/>
                <w:i w:val="0"/>
                <w:sz w:val="20"/>
                <w:szCs w:val="20"/>
              </w:rPr>
            </w:pPr>
            <w:r>
              <w:rPr>
                <w:rFonts w:eastAsia="Times New Roman"/>
                <w:b w:val="0"/>
                <w:i w:val="0"/>
                <w:sz w:val="20"/>
                <w:szCs w:val="20"/>
              </w:rPr>
              <w:t>The FedMADE implementation was prepared for federated intrusion detection when IoT clients contain different traffic and attack-class distributions. Local client models were trained independently, and a Class Probability Matrix was produced from validation predictions. Similar models were grouped using DBSCAN. Dynamic aggregation weights were then calculated so that models with stronger class-level contributions received greater influence in the global model. A basic suspicious-client test was also added so that poisoned or poorly performing updates could receive a very small aggregation weight.</w:t>
            </w:r>
          </w:p>
          <w:p w14:paraId="6B3AEC23">
            <w:pPr>
              <w:spacing w:before="0" w:after="0" w:line="240" w:lineRule="auto"/>
              <w:jc w:val="both"/>
              <w:rPr>
                <w:rFonts w:ascii="Times New Roman" w:hAnsi="Times New Roman" w:eastAsia="Times New Roman"/>
                <w:b w:val="0"/>
                <w:i w:val="0"/>
                <w:sz w:val="20"/>
                <w:szCs w:val="20"/>
              </w:rPr>
            </w:pPr>
          </w:p>
          <w:p w14:paraId="4C8C9D50">
            <w:pPr>
              <w:keepNext/>
              <w:spacing w:before="8" w:after="0" w:line="240" w:lineRule="auto"/>
              <w:jc w:val="left"/>
              <w:rPr>
                <w:sz w:val="24"/>
                <w:szCs w:val="24"/>
              </w:rPr>
            </w:pPr>
            <w:r>
              <w:rPr>
                <w:rFonts w:eastAsia="Times New Roman"/>
                <w:b/>
                <w:i w:val="0"/>
                <w:sz w:val="24"/>
                <w:szCs w:val="24"/>
              </w:rPr>
              <w:t>B. WEF-Defense Against Free Riders</w:t>
            </w:r>
          </w:p>
          <w:p w14:paraId="3EB3F6CB">
            <w:pPr>
              <w:spacing w:before="0" w:after="0" w:line="240" w:lineRule="auto"/>
              <w:jc w:val="both"/>
              <w:rPr>
                <w:sz w:val="20"/>
                <w:szCs w:val="20"/>
              </w:rPr>
            </w:pPr>
            <w:r>
              <w:rPr>
                <w:rFonts w:eastAsia="Times New Roman"/>
                <w:b w:val="0"/>
                <w:i w:val="0"/>
                <w:sz w:val="20"/>
                <w:szCs w:val="20"/>
              </w:rPr>
              <w:t>The WEF-Defense implementation focused on clients that try to receive the global model without performing genuine local training. Changes in penultimate-layer weights were monitored during local epochs, and a dynamic threshold was used to count meaningful changes. These counts formed a Weight Evolving Frequency Matrix for each client. The server compared the matrices using Euclidean distance, cosine similarity, and average frequency. Normal contributors and suspected free riders were then separated, and different aggregation outputs were prepared for the two groups.</w:t>
            </w:r>
          </w:p>
        </w:tc>
        <w:tc>
          <w:tcPr>
            <w:tcW w:w="4551" w:type="dxa"/>
          </w:tcPr>
          <w:p w14:paraId="2D93EC54">
            <w:pPr>
              <w:keepNext/>
              <w:spacing w:before="0" w:after="0" w:line="240" w:lineRule="auto"/>
              <w:jc w:val="left"/>
              <w:rPr>
                <w:sz w:val="24"/>
                <w:szCs w:val="24"/>
              </w:rPr>
            </w:pPr>
            <w:r>
              <w:rPr>
                <w:rFonts w:eastAsia="Times New Roman"/>
                <w:b/>
                <w:i w:val="0"/>
                <w:sz w:val="24"/>
                <w:szCs w:val="24"/>
              </w:rPr>
              <w:t>C. FedMSE Semi-Supervised Detection</w:t>
            </w:r>
          </w:p>
          <w:p w14:paraId="5C0E2B7C">
            <w:pPr>
              <w:spacing w:before="0" w:after="0" w:line="240" w:lineRule="auto"/>
              <w:jc w:val="both"/>
              <w:rPr>
                <w:rFonts w:ascii="Times New Roman" w:hAnsi="Times New Roman" w:eastAsia="Times New Roman"/>
                <w:b w:val="0"/>
                <w:i w:val="0"/>
                <w:sz w:val="20"/>
                <w:szCs w:val="20"/>
              </w:rPr>
            </w:pPr>
            <w:r>
              <w:rPr>
                <w:rFonts w:eastAsia="Times New Roman"/>
                <w:b w:val="0"/>
                <w:i w:val="0"/>
                <w:sz w:val="20"/>
                <w:szCs w:val="20"/>
              </w:rPr>
              <w:t>The FedMSE implementation used N-BaIoT-compatible data and normal-only training. The core SAE-CEN structure combined a Shrink Autoencoder with a centroid-based one-class classifier. The autoencoder learned a compact representation of normal traffic, while centroid distance was used to identify abnormal traffic. The MSEAvg aggregation method assigned greater importance to local models with lower reconstruction error. Client datasets were divided into non-IID gateway partitions to represent different IoT devices and traffic conditions.</w:t>
            </w:r>
          </w:p>
          <w:p w14:paraId="33F3C4BD">
            <w:pPr>
              <w:spacing w:before="0" w:after="0" w:line="240" w:lineRule="auto"/>
              <w:jc w:val="both"/>
              <w:rPr>
                <w:rFonts w:ascii="Times New Roman" w:hAnsi="Times New Roman" w:eastAsia="Times New Roman"/>
                <w:b w:val="0"/>
                <w:i w:val="0"/>
                <w:sz w:val="20"/>
                <w:szCs w:val="20"/>
              </w:rPr>
            </w:pPr>
          </w:p>
          <w:p w14:paraId="0AC466E5">
            <w:pPr>
              <w:keepNext/>
              <w:spacing w:before="20" w:after="0" w:line="240" w:lineRule="auto"/>
              <w:jc w:val="left"/>
              <w:rPr>
                <w:sz w:val="24"/>
                <w:szCs w:val="24"/>
              </w:rPr>
            </w:pPr>
            <w:r>
              <w:rPr>
                <w:rFonts w:eastAsia="Times New Roman"/>
                <w:b/>
                <w:i w:val="0"/>
                <w:sz w:val="24"/>
                <w:szCs w:val="24"/>
              </w:rPr>
              <w:t>III. INTEGRATION AND CURRENT STATUS</w:t>
            </w:r>
          </w:p>
          <w:p w14:paraId="4DFA92CA">
            <w:pPr>
              <w:spacing w:before="0" w:after="0" w:line="240" w:lineRule="auto"/>
              <w:jc w:val="both"/>
              <w:rPr>
                <w:rFonts w:ascii="Times New Roman" w:hAnsi="Times New Roman" w:eastAsia="Times New Roman"/>
                <w:b w:val="0"/>
                <w:i w:val="0"/>
                <w:sz w:val="20"/>
                <w:szCs w:val="20"/>
              </w:rPr>
            </w:pPr>
            <w:r>
              <w:rPr>
                <w:rFonts w:eastAsia="Times New Roman"/>
                <w:b w:val="0"/>
                <w:i w:val="0"/>
                <w:sz w:val="20"/>
                <w:szCs w:val="20"/>
              </w:rPr>
              <w:t>The three implementations now provide working baselines for robust aggregation, free-rider defence, and anomaly-based intrusion detection. The core training flow, client-server communication logic, and evaluation steps were checked through basic local runs. Exact research-paper performance values are not claimed because the experiments use selected dataset portions and the team's available computing environment.</w:t>
            </w:r>
          </w:p>
          <w:p w14:paraId="5D9E9625">
            <w:pPr>
              <w:spacing w:before="0" w:after="0" w:line="240" w:lineRule="auto"/>
              <w:jc w:val="both"/>
              <w:rPr>
                <w:rFonts w:ascii="Times New Roman" w:hAnsi="Times New Roman" w:eastAsia="Times New Roman"/>
                <w:b w:val="0"/>
                <w:i w:val="0"/>
                <w:sz w:val="20"/>
                <w:szCs w:val="20"/>
              </w:rPr>
            </w:pPr>
          </w:p>
          <w:p w14:paraId="7DC1C2DF">
            <w:pPr>
              <w:keepNext/>
              <w:spacing w:before="20" w:after="0" w:line="240" w:lineRule="auto"/>
              <w:jc w:val="center"/>
              <w:rPr>
                <w:sz w:val="24"/>
                <w:szCs w:val="24"/>
              </w:rPr>
            </w:pPr>
            <w:r>
              <w:rPr>
                <w:rFonts w:eastAsia="Times New Roman"/>
                <w:b/>
                <w:i w:val="0"/>
                <w:sz w:val="24"/>
                <w:szCs w:val="24"/>
              </w:rPr>
              <w:t>FUTURE OBJECTIVES</w:t>
            </w:r>
          </w:p>
          <w:p w14:paraId="6D611AEE">
            <w:pPr>
              <w:spacing w:before="0" w:after="0" w:line="240" w:lineRule="auto"/>
              <w:ind w:left="202" w:hanging="144"/>
              <w:jc w:val="both"/>
              <w:rPr>
                <w:sz w:val="20"/>
                <w:szCs w:val="20"/>
              </w:rPr>
            </w:pPr>
            <w:r>
              <w:rPr>
                <w:rFonts w:eastAsia="Times New Roman"/>
                <w:b w:val="0"/>
                <w:i w:val="0"/>
                <w:sz w:val="20"/>
                <w:szCs w:val="20"/>
              </w:rPr>
              <w:t>• Run all three methods with the same client count, data split, training rounds, and random seed.</w:t>
            </w:r>
          </w:p>
          <w:p w14:paraId="052D40F4">
            <w:pPr>
              <w:spacing w:before="0" w:after="0" w:line="240" w:lineRule="auto"/>
              <w:ind w:left="202" w:hanging="144"/>
              <w:jc w:val="both"/>
              <w:rPr>
                <w:sz w:val="20"/>
                <w:szCs w:val="20"/>
              </w:rPr>
            </w:pPr>
            <w:r>
              <w:rPr>
                <w:rFonts w:eastAsia="Times New Roman"/>
                <w:b w:val="0"/>
                <w:i w:val="0"/>
                <w:sz w:val="20"/>
                <w:szCs w:val="20"/>
              </w:rPr>
              <w:t>• Compare accuracy, precision, recall, F1-score, AUC, communication time, and attack robustness.</w:t>
            </w:r>
          </w:p>
          <w:p w14:paraId="11CD4F26">
            <w:pPr>
              <w:spacing w:before="0" w:after="0" w:line="240" w:lineRule="auto"/>
              <w:ind w:left="202" w:hanging="144"/>
              <w:jc w:val="both"/>
              <w:rPr>
                <w:sz w:val="20"/>
                <w:szCs w:val="20"/>
              </w:rPr>
            </w:pPr>
            <w:r>
              <w:rPr>
                <w:rFonts w:eastAsia="Times New Roman"/>
                <w:b w:val="0"/>
                <w:i w:val="0"/>
                <w:sz w:val="20"/>
                <w:szCs w:val="20"/>
              </w:rPr>
              <w:t>• Test FedMADE under model poisoning and WEF-Defense under multiple free-rider ratios.</w:t>
            </w:r>
          </w:p>
          <w:p w14:paraId="3EA7F1C7">
            <w:pPr>
              <w:spacing w:before="0" w:after="0" w:line="240" w:lineRule="auto"/>
              <w:ind w:left="202" w:hanging="144"/>
              <w:jc w:val="both"/>
              <w:rPr>
                <w:sz w:val="20"/>
                <w:szCs w:val="20"/>
              </w:rPr>
            </w:pPr>
            <w:r>
              <w:rPr>
                <w:rFonts w:eastAsia="Times New Roman"/>
                <w:b w:val="0"/>
                <w:i w:val="0"/>
                <w:sz w:val="20"/>
                <w:szCs w:val="20"/>
              </w:rPr>
              <w:t>• Integrate the strongest components into the main PRIVATE SHIELD detection pipeline.</w:t>
            </w:r>
          </w:p>
          <w:p w14:paraId="1B6D668C">
            <w:pPr>
              <w:keepNext/>
              <w:spacing w:before="20" w:after="0" w:line="240" w:lineRule="auto"/>
              <w:jc w:val="center"/>
              <w:rPr>
                <w:sz w:val="24"/>
                <w:szCs w:val="24"/>
              </w:rPr>
            </w:pPr>
            <w:r>
              <w:rPr>
                <w:rFonts w:eastAsia="Times New Roman"/>
                <w:b/>
                <w:i w:val="0"/>
                <w:sz w:val="24"/>
                <w:szCs w:val="24"/>
              </w:rPr>
              <w:t>REFERENCES</w:t>
            </w:r>
          </w:p>
          <w:p w14:paraId="05E27A37">
            <w:pPr>
              <w:spacing w:before="0" w:after="0" w:line="240" w:lineRule="auto"/>
              <w:jc w:val="both"/>
              <w:rPr>
                <w:sz w:val="20"/>
                <w:szCs w:val="20"/>
              </w:rPr>
            </w:pPr>
            <w:r>
              <w:rPr>
                <w:rFonts w:eastAsia="Times New Roman"/>
                <w:b w:val="0"/>
                <w:i w:val="0"/>
                <w:sz w:val="20"/>
                <w:szCs w:val="20"/>
              </w:rPr>
              <w:t>[1] S. Sun, P. Sharma, K. Nwodo, A. Stavrou, and H. Wang, “FedMADE: Robust Federated Learning for Intrusion Detection in IoT Networks Using a Dynamic Aggregation Method,” arXiv:2408.07152, 2024.</w:t>
            </w:r>
          </w:p>
          <w:p w14:paraId="42312ECD">
            <w:pPr>
              <w:spacing w:before="0" w:after="0" w:line="240" w:lineRule="auto"/>
              <w:jc w:val="both"/>
              <w:rPr>
                <w:sz w:val="20"/>
                <w:szCs w:val="20"/>
              </w:rPr>
            </w:pPr>
            <w:r>
              <w:rPr>
                <w:rFonts w:eastAsia="Times New Roman"/>
                <w:b w:val="0"/>
                <w:i w:val="0"/>
                <w:sz w:val="20"/>
                <w:szCs w:val="20"/>
              </w:rPr>
              <w:t>[2] J. Chen, M. Li, T. Liu, H. Zheng, Y. Cheng, and C. Lin, “Rethinking the Defense Against Free-rider Attack From the Perspective of Model Weight Evolving Frequency,” arXiv:2206.05406, 2022.</w:t>
            </w:r>
          </w:p>
          <w:p w14:paraId="3F77F483">
            <w:pPr>
              <w:spacing w:before="0" w:after="0" w:line="240" w:lineRule="auto"/>
              <w:jc w:val="both"/>
              <w:rPr>
                <w:sz w:val="20"/>
                <w:szCs w:val="20"/>
              </w:rPr>
            </w:pPr>
            <w:r>
              <w:rPr>
                <w:rFonts w:eastAsia="Times New Roman"/>
                <w:b w:val="0"/>
                <w:i w:val="0"/>
                <w:sz w:val="20"/>
                <w:szCs w:val="20"/>
              </w:rPr>
              <w:t>[3] V. T. Nguyen and R. Beuran, “FedMSE: Semi-supervised Federated Learning Approach for IoT Network Intrusion Detection,” Computers &amp; Security, vol. 151, Art. no. 104337, 2025.</w:t>
            </w:r>
          </w:p>
        </w:tc>
      </w:tr>
    </w:tbl>
    <w:p w14:paraId="3124DCC4"/>
    <w:sectPr>
      <w:pgSz w:w="11906" w:h="16838"/>
      <w:pgMar w:top="835" w:right="1181" w:bottom="749" w:left="1181" w:header="0" w:footer="0" w:gutter="0"/>
      <w:pgNumType w:fmt="decimal"/>
      <w:cols w:space="720" w:num="1"/>
      <w:formProt w:val="0"/>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黑体">
    <w:altName w:val="SimSun"/>
    <w:panose1 w:val="00000000000000000000"/>
    <w:charset w:val="86"/>
    <w:family w:val="auto"/>
    <w:pitch w:val="default"/>
    <w:sig w:usb0="00000000" w:usb1="00000000" w:usb2="00000000" w:usb3="00000000" w:csb0="00000000" w:csb1="00000000"/>
  </w:font>
  <w:font w:name="Cambria">
    <w:panose1 w:val="02040503050406030204"/>
    <w:charset w:val="01"/>
    <w:family w:val="roman"/>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alibri">
    <w:panose1 w:val="020F0502020204030204"/>
    <w:charset w:val="01"/>
    <w:family w:val="roman"/>
    <w:pitch w:val="default"/>
    <w:sig w:usb0="E4002EFF" w:usb1="C200247B" w:usb2="00000009" w:usb3="00000000" w:csb0="200001FF" w:csb1="00000000"/>
  </w:font>
  <w:font w:name="Courier">
    <w:altName w:val="Courier New"/>
    <w:panose1 w:val="00000000000000000000"/>
    <w:charset w:val="01"/>
    <w:family w:val="roman"/>
    <w:pitch w:val="default"/>
    <w:sig w:usb0="00000000" w:usb1="00000000" w:usb2="00000000" w:usb3="00000000" w:csb0="00000000" w:csb1="00000000"/>
  </w:font>
  <w:font w:name="Liberation Sans">
    <w:altName w:val="Arial"/>
    <w:panose1 w:val="00000000000000000000"/>
    <w:charset w:val="01"/>
    <w:family w:val="swiss"/>
    <w:pitch w:val="default"/>
    <w:sig w:usb0="00000000" w:usb1="00000000" w:usb2="00000000" w:usb3="00000000" w:csb0="00000000" w:csb1="00000000"/>
  </w:font>
  <w:font w:name="Noto Sans CJK SC">
    <w:altName w:val="Segoe Print"/>
    <w:panose1 w:val="00000000000000000000"/>
    <w:charset w:val="00"/>
    <w:family w:val="auto"/>
    <w:pitch w:val="default"/>
    <w:sig w:usb0="00000000" w:usb1="00000000" w:usb2="00000000" w:usb3="00000000" w:csb0="00000000" w:csb1="00000000"/>
  </w:font>
  <w:font w:name="Noto Sans Devanagari">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黑体">
    <w:altName w:val="SimSun"/>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E306ED"/>
    <w:multiLevelType w:val="multilevel"/>
    <w:tmpl w:val="B5E306ED"/>
    <w:lvl w:ilvl="0" w:tentative="0">
      <w:start w:val="1"/>
      <w:numFmt w:val="decimal"/>
      <w:pStyle w:val="32"/>
      <w:lvlText w:val="%1."/>
      <w:lvlJc w:val="left"/>
      <w:pPr>
        <w:tabs>
          <w:tab w:val="left" w:pos="720"/>
        </w:tabs>
        <w:ind w:left="72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1">
    <w:nsid w:val="BF205925"/>
    <w:multiLevelType w:val="multilevel"/>
    <w:tmpl w:val="BF205925"/>
    <w:lvl w:ilvl="0" w:tentative="0">
      <w:start w:val="1"/>
      <w:numFmt w:val="decimal"/>
      <w:pStyle w:val="31"/>
      <w:lvlText w:val="%1."/>
      <w:lvlJc w:val="left"/>
      <w:pPr>
        <w:tabs>
          <w:tab w:val="left" w:pos="360"/>
        </w:tabs>
        <w:ind w:left="36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2">
    <w:nsid w:val="CF092B84"/>
    <w:multiLevelType w:val="multilevel"/>
    <w:tmpl w:val="CF092B84"/>
    <w:lvl w:ilvl="0" w:tentative="0">
      <w:start w:val="1"/>
      <w:numFmt w:val="bullet"/>
      <w:pStyle w:val="26"/>
      <w:lvlText w:val=""/>
      <w:lvlJc w:val="left"/>
      <w:pPr>
        <w:tabs>
          <w:tab w:val="left" w:pos="720"/>
        </w:tabs>
        <w:ind w:left="72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3">
    <w:nsid w:val="0053208E"/>
    <w:multiLevelType w:val="multilevel"/>
    <w:tmpl w:val="0053208E"/>
    <w:lvl w:ilvl="0" w:tentative="0">
      <w:start w:val="1"/>
      <w:numFmt w:val="bullet"/>
      <w:pStyle w:val="25"/>
      <w:lvlText w:val=""/>
      <w:lvlJc w:val="left"/>
      <w:pPr>
        <w:tabs>
          <w:tab w:val="left" w:pos="360"/>
        </w:tabs>
        <w:ind w:left="36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4">
    <w:nsid w:val="03D62ECE"/>
    <w:multiLevelType w:val="multilevel"/>
    <w:tmpl w:val="03D62ECE"/>
    <w:lvl w:ilvl="0" w:tentative="0">
      <w:start w:val="1"/>
      <w:numFmt w:val="decimal"/>
      <w:pStyle w:val="33"/>
      <w:lvlText w:val="%1."/>
      <w:lvlJc w:val="left"/>
      <w:pPr>
        <w:tabs>
          <w:tab w:val="left" w:pos="1080"/>
        </w:tabs>
        <w:ind w:left="1080" w:hanging="360"/>
      </w:p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abstractNum w:abstractNumId="5">
    <w:nsid w:val="59ADCABA"/>
    <w:multiLevelType w:val="multilevel"/>
    <w:tmpl w:val="59ADCABA"/>
    <w:lvl w:ilvl="0" w:tentative="0">
      <w:start w:val="1"/>
      <w:numFmt w:val="bullet"/>
      <w:pStyle w:val="27"/>
      <w:lvlText w:val=""/>
      <w:lvlJc w:val="left"/>
      <w:pPr>
        <w:tabs>
          <w:tab w:val="left" w:pos="1080"/>
        </w:tabs>
        <w:ind w:left="1080" w:hanging="360"/>
      </w:pPr>
      <w:rPr>
        <w:rFonts w:hint="default" w:ascii="Symbol" w:hAnsi="Symbol" w:cs="Symbol"/>
      </w:rPr>
    </w:lvl>
    <w:lvl w:ilvl="1" w:tentative="0">
      <w:start w:val="1"/>
      <w:numFmt w:val="decimal"/>
      <w:lvlText w:val="%2."/>
      <w:lvlJc w:val="left"/>
      <w:pPr>
        <w:tabs>
          <w:tab w:val="left" w:pos="1080"/>
        </w:tabs>
        <w:ind w:left="1080" w:hanging="360"/>
      </w:pPr>
    </w:lvl>
    <w:lvl w:ilvl="2" w:tentative="0">
      <w:start w:val="1"/>
      <w:numFmt w:val="decimal"/>
      <w:lvlText w:val="%3."/>
      <w:lvlJc w:val="left"/>
      <w:pPr>
        <w:tabs>
          <w:tab w:val="left" w:pos="1440"/>
        </w:tabs>
        <w:ind w:left="1440" w:hanging="360"/>
      </w:pPr>
    </w:lvl>
    <w:lvl w:ilvl="3" w:tentative="0">
      <w:start w:val="1"/>
      <w:numFmt w:val="decimal"/>
      <w:lvlText w:val="%4."/>
      <w:lvlJc w:val="left"/>
      <w:pPr>
        <w:tabs>
          <w:tab w:val="left" w:pos="1800"/>
        </w:tabs>
        <w:ind w:left="1800" w:hanging="360"/>
      </w:pPr>
    </w:lvl>
    <w:lvl w:ilvl="4" w:tentative="0">
      <w:start w:val="1"/>
      <w:numFmt w:val="decimal"/>
      <w:lvlText w:val="%5."/>
      <w:lvlJc w:val="left"/>
      <w:pPr>
        <w:tabs>
          <w:tab w:val="left" w:pos="2160"/>
        </w:tabs>
        <w:ind w:left="2160" w:hanging="360"/>
      </w:pPr>
    </w:lvl>
    <w:lvl w:ilvl="5" w:tentative="0">
      <w:start w:val="1"/>
      <w:numFmt w:val="decimal"/>
      <w:lvlText w:val="%6."/>
      <w:lvlJc w:val="left"/>
      <w:pPr>
        <w:tabs>
          <w:tab w:val="left" w:pos="2520"/>
        </w:tabs>
        <w:ind w:left="2520" w:hanging="360"/>
      </w:pPr>
    </w:lvl>
    <w:lvl w:ilvl="6" w:tentative="0">
      <w:start w:val="1"/>
      <w:numFmt w:val="decimal"/>
      <w:lvlText w:val="%7."/>
      <w:lvlJc w:val="left"/>
      <w:pPr>
        <w:tabs>
          <w:tab w:val="left" w:pos="2880"/>
        </w:tabs>
        <w:ind w:left="2880" w:hanging="360"/>
      </w:pPr>
    </w:lvl>
    <w:lvl w:ilvl="7" w:tentative="0">
      <w:start w:val="1"/>
      <w:numFmt w:val="decimal"/>
      <w:lvlText w:val="%8."/>
      <w:lvlJc w:val="left"/>
      <w:pPr>
        <w:tabs>
          <w:tab w:val="left" w:pos="3240"/>
        </w:tabs>
        <w:ind w:left="3240" w:hanging="360"/>
      </w:pPr>
    </w:lvl>
    <w:lvl w:ilvl="8" w:tentative="0">
      <w:start w:val="1"/>
      <w:numFmt w:val="decimal"/>
      <w:lvlText w:val="%9."/>
      <w:lvlJc w:val="left"/>
      <w:pPr>
        <w:tabs>
          <w:tab w:val="left" w:pos="3600"/>
        </w:tabs>
        <w:ind w:left="3600" w:hanging="360"/>
      </w:pPr>
    </w:lvl>
  </w:abstractNum>
  <w:num w:numId="1">
    <w:abstractNumId w:val="3"/>
  </w:num>
  <w:num w:numId="2">
    <w:abstractNumId w:val="2"/>
  </w:num>
  <w:num w:numId="3">
    <w:abstractNumId w:val="5"/>
  </w:num>
  <w:num w:numId="4">
    <w:abstractNumId w:val="1"/>
  </w:num>
  <w:num w:numId="5">
    <w:abstractNumId w:val="0"/>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AB429F"/>
  </w:rsids>
  <m:mathPr>
    <m:brkBin m:val="before"/>
    <m:brkBinSub m:val="--"/>
    <m:smallFrac m:val="0"/>
    <m:dispDef/>
    <m:lMargin m:val="0"/>
    <m:rMargin m:val="0"/>
    <m:defJc m:val="centerGroup"/>
    <m:wrapIndent m:val="1440"/>
    <m:intLim m:val="subSup"/>
    <m:naryLim m:val="undOvr"/>
  </m:mathPr>
  <w:themeFontLang w:val="en-US" w:eastAsia="ja-JP" w:bidi="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qFormat="1" w:unhideWhenUsed="0" w:uiPriority="0" w:semiHidden="0"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200" w:line="276" w:lineRule="auto"/>
      <w:jc w:val="left"/>
    </w:pPr>
    <w:rPr>
      <w:rFonts w:ascii="Times New Roman" w:hAnsi="Times New Roman" w:eastAsia="Times New Roman" w:cstheme="minorBidi"/>
      <w:color w:val="auto"/>
      <w:kern w:val="0"/>
      <w:sz w:val="18"/>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uiPriority w:val="99"/>
    <w:pPr>
      <w:spacing w:before="0" w:after="120"/>
    </w:pPr>
  </w:style>
  <w:style w:type="paragraph" w:styleId="14">
    <w:name w:val="Body Text 2"/>
    <w:basedOn w:val="1"/>
    <w:link w:val="145"/>
    <w:unhideWhenUsed/>
    <w:qFormat/>
    <w:uiPriority w:val="99"/>
    <w:pPr>
      <w:spacing w:before="0" w:after="120" w:line="480" w:lineRule="auto"/>
    </w:pPr>
  </w:style>
  <w:style w:type="paragraph" w:styleId="15">
    <w:name w:val="Body Text 3"/>
    <w:basedOn w:val="1"/>
    <w:link w:val="146"/>
    <w:unhideWhenUsed/>
    <w:qFormat/>
    <w:uiPriority w:val="99"/>
    <w:pPr>
      <w:spacing w:before="0"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uiPriority w:val="99"/>
    <w:pPr>
      <w:tabs>
        <w:tab w:val="center" w:pos="4680"/>
        <w:tab w:val="right" w:pos="9360"/>
      </w:tabs>
      <w:spacing w:before="0" w:after="0" w:line="240" w:lineRule="auto"/>
    </w:pPr>
  </w:style>
  <w:style w:type="paragraph" w:styleId="19">
    <w:name w:val="header"/>
    <w:basedOn w:val="1"/>
    <w:link w:val="137"/>
    <w:unhideWhenUsed/>
    <w:uiPriority w:val="99"/>
    <w:pPr>
      <w:tabs>
        <w:tab w:val="center" w:pos="4680"/>
        <w:tab w:val="right" w:pos="9360"/>
      </w:tabs>
      <w:spacing w:before="0" w:after="0" w:line="240" w:lineRule="auto"/>
    </w:pPr>
  </w:style>
  <w:style w:type="paragraph" w:styleId="20">
    <w:name w:val="index heading"/>
    <w:basedOn w:val="21"/>
    <w:qFormat/>
    <w:uiPriority w:val="0"/>
  </w:style>
  <w:style w:type="paragraph" w:customStyle="1" w:styleId="21">
    <w:name w:val="Heading"/>
    <w:basedOn w:val="1"/>
    <w:next w:val="13"/>
    <w:qFormat/>
    <w:uiPriority w:val="0"/>
    <w:pPr>
      <w:keepNext/>
      <w:spacing w:before="240" w:after="120"/>
    </w:pPr>
    <w:rPr>
      <w:rFonts w:ascii="Liberation Sans" w:hAnsi="Liberation Sans" w:eastAsia="Noto Sans CJK SC" w:cs="Noto Sans Devanagari"/>
      <w:sz w:val="28"/>
      <w:szCs w:val="28"/>
    </w:rPr>
  </w:style>
  <w:style w:type="paragraph" w:styleId="22">
    <w:name w:val="List"/>
    <w:basedOn w:val="1"/>
    <w:unhideWhenUsed/>
    <w:uiPriority w:val="99"/>
    <w:pPr>
      <w:spacing w:before="0" w:after="200"/>
      <w:ind w:left="360" w:hanging="360"/>
      <w:contextualSpacing/>
    </w:pPr>
  </w:style>
  <w:style w:type="paragraph" w:styleId="23">
    <w:name w:val="List 2"/>
    <w:basedOn w:val="1"/>
    <w:unhideWhenUsed/>
    <w:qFormat/>
    <w:uiPriority w:val="99"/>
    <w:pPr>
      <w:spacing w:before="0" w:after="200"/>
      <w:ind w:left="720" w:hanging="360"/>
      <w:contextualSpacing/>
    </w:pPr>
  </w:style>
  <w:style w:type="paragraph" w:styleId="24">
    <w:name w:val="List 3"/>
    <w:basedOn w:val="1"/>
    <w:unhideWhenUsed/>
    <w:qFormat/>
    <w:uiPriority w:val="99"/>
    <w:pPr>
      <w:spacing w:before="0" w:after="200"/>
      <w:ind w:left="1080" w:hanging="360"/>
      <w:contextualSpacing/>
    </w:pPr>
  </w:style>
  <w:style w:type="paragraph" w:styleId="25">
    <w:name w:val="List Bullet"/>
    <w:basedOn w:val="1"/>
    <w:unhideWhenUsed/>
    <w:uiPriority w:val="99"/>
    <w:pPr>
      <w:numPr>
        <w:ilvl w:val="0"/>
        <w:numId w:val="1"/>
      </w:numPr>
      <w:spacing w:before="0" w:after="200"/>
      <w:contextualSpacing/>
    </w:pPr>
  </w:style>
  <w:style w:type="paragraph" w:styleId="26">
    <w:name w:val="List Bullet 2"/>
    <w:basedOn w:val="1"/>
    <w:unhideWhenUsed/>
    <w:uiPriority w:val="99"/>
    <w:pPr>
      <w:numPr>
        <w:ilvl w:val="0"/>
        <w:numId w:val="2"/>
      </w:numPr>
      <w:spacing w:before="0" w:after="200"/>
      <w:contextualSpacing/>
    </w:pPr>
  </w:style>
  <w:style w:type="paragraph" w:styleId="27">
    <w:name w:val="List Bullet 3"/>
    <w:basedOn w:val="1"/>
    <w:unhideWhenUsed/>
    <w:uiPriority w:val="99"/>
    <w:pPr>
      <w:numPr>
        <w:ilvl w:val="0"/>
        <w:numId w:val="3"/>
      </w:numPr>
      <w:spacing w:before="0" w:after="200"/>
      <w:contextualSpacing/>
    </w:pPr>
  </w:style>
  <w:style w:type="paragraph" w:styleId="28">
    <w:name w:val="List Continue"/>
    <w:basedOn w:val="1"/>
    <w:unhideWhenUsed/>
    <w:uiPriority w:val="99"/>
    <w:pPr>
      <w:spacing w:before="0" w:after="120"/>
      <w:ind w:left="360"/>
      <w:contextualSpacing/>
    </w:pPr>
  </w:style>
  <w:style w:type="paragraph" w:styleId="29">
    <w:name w:val="List Continue 2"/>
    <w:basedOn w:val="1"/>
    <w:unhideWhenUsed/>
    <w:uiPriority w:val="99"/>
    <w:pPr>
      <w:spacing w:before="0" w:after="120"/>
      <w:ind w:left="720"/>
      <w:contextualSpacing/>
    </w:pPr>
  </w:style>
  <w:style w:type="paragraph" w:styleId="30">
    <w:name w:val="List Continue 3"/>
    <w:basedOn w:val="1"/>
    <w:unhideWhenUsed/>
    <w:uiPriority w:val="99"/>
    <w:pPr>
      <w:spacing w:before="0" w:after="120"/>
      <w:ind w:left="1080"/>
      <w:contextualSpacing/>
    </w:pPr>
  </w:style>
  <w:style w:type="paragraph" w:styleId="31">
    <w:name w:val="List Number"/>
    <w:basedOn w:val="1"/>
    <w:unhideWhenUsed/>
    <w:uiPriority w:val="99"/>
    <w:pPr>
      <w:numPr>
        <w:ilvl w:val="0"/>
        <w:numId w:val="4"/>
      </w:numPr>
      <w:spacing w:before="0" w:after="200"/>
      <w:contextualSpacing/>
    </w:pPr>
  </w:style>
  <w:style w:type="paragraph" w:styleId="32">
    <w:name w:val="List Number 2"/>
    <w:basedOn w:val="1"/>
    <w:unhideWhenUsed/>
    <w:uiPriority w:val="99"/>
    <w:pPr>
      <w:numPr>
        <w:ilvl w:val="0"/>
        <w:numId w:val="5"/>
      </w:numPr>
      <w:spacing w:before="0" w:after="200"/>
      <w:contextualSpacing/>
    </w:pPr>
  </w:style>
  <w:style w:type="paragraph" w:styleId="33">
    <w:name w:val="List Number 3"/>
    <w:basedOn w:val="1"/>
    <w:unhideWhenUsed/>
    <w:uiPriority w:val="99"/>
    <w:pPr>
      <w:numPr>
        <w:ilvl w:val="0"/>
        <w:numId w:val="6"/>
      </w:numPr>
      <w:spacing w:before="0" w:after="200"/>
      <w:contextualSpacing/>
    </w:pPr>
  </w:style>
  <w:style w:type="paragraph" w:styleId="34">
    <w:name w:val="macro"/>
    <w:link w:val="147"/>
    <w:unhideWhenUsed/>
    <w:qFormat/>
    <w:uiPriority w:val="99"/>
    <w:pPr>
      <w:widowControl/>
      <w:tabs>
        <w:tab w:val="left" w:pos="576"/>
        <w:tab w:val="left" w:pos="1152"/>
        <w:tab w:val="left" w:pos="1728"/>
        <w:tab w:val="left" w:pos="2304"/>
        <w:tab w:val="left" w:pos="2880"/>
        <w:tab w:val="left" w:pos="3456"/>
        <w:tab w:val="left" w:pos="4032"/>
      </w:tabs>
      <w:suppressAutoHyphens/>
      <w:bidi w:val="0"/>
      <w:spacing w:before="0" w:after="200" w:line="276" w:lineRule="auto"/>
      <w:jc w:val="left"/>
    </w:pPr>
    <w:rPr>
      <w:rFonts w:ascii="Courier" w:hAnsi="Courier" w:eastAsiaTheme="minorEastAsia" w:cstheme="minorBidi"/>
      <w:color w:val="auto"/>
      <w:kern w:val="0"/>
      <w:sz w:val="20"/>
      <w:szCs w:val="20"/>
      <w:lang w:val="en-US" w:eastAsia="en-US" w:bidi="ar-SA"/>
    </w:rPr>
  </w:style>
  <w:style w:type="character" w:styleId="35">
    <w:name w:val="Strong"/>
    <w:basedOn w:val="11"/>
    <w:qFormat/>
    <w:uiPriority w:val="22"/>
    <w:rPr>
      <w:b/>
      <w:bCs/>
    </w:rPr>
  </w:style>
  <w:style w:type="paragraph" w:styleId="3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2"/>
    <w:qFormat/>
    <w:uiPriority w:val="10"/>
    <w:pPr>
      <w:pBdr>
        <w:bottom w:val="single" w:color="4F81BD" w:themeColor="accent1" w:sz="8" w:space="4"/>
      </w:pBdr>
      <w:spacing w:before="0" w:after="300" w:line="240" w:lineRule="auto"/>
      <w:contextualSpacing/>
    </w:pPr>
    <w:rPr>
      <w:rFonts w:asciiTheme="majorHAnsi" w:hAnsiTheme="majorHAnsi" w:eastAsiaTheme="majorEastAsia" w:cstheme="majorBidi"/>
      <w:color w:val="17375E" w:themeColor="text2" w:themeShade="BF"/>
      <w:spacing w:val="5"/>
      <w:kern w:val="2"/>
      <w:sz w:val="52"/>
      <w:szCs w:val="52"/>
    </w:rPr>
  </w:style>
  <w:style w:type="table" w:styleId="39">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000000" w:themeColor="text1" w:sz="8" w:space="0"/>
          <w:left w:val="single" w:color="000000" w:themeColor="text1" w:sz="8" w:space="0"/>
          <w:bottom w:val="single" w:color="000000" w:themeColor="text1" w:sz="8" w:space="0"/>
          <w:right w:val="single" w:color="00000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000000" w:themeColor="text1"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4F81BD" w:themeColor="accent1"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0504D" w:themeColor="accent2"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9BBB59" w:themeColor="accent3"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8064A2" w:themeColor="accent4"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4BACC6" w:themeColor="accent5"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79646" w:themeColor="accent6"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8"/>
    <w:qFormat/>
    <w:uiPriority w:val="10"/>
    <w:rPr>
      <w:rFonts w:asciiTheme="majorHAnsi" w:hAnsiTheme="majorHAnsi" w:eastAsiaTheme="majorEastAsia" w:cstheme="majorBidi"/>
      <w:color w:val="17375E" w:themeColor="text2" w:themeShade="BF"/>
      <w:spacing w:val="5"/>
      <w:kern w:val="2"/>
      <w:sz w:val="52"/>
      <w:szCs w:val="52"/>
    </w:rPr>
  </w:style>
  <w:style w:type="character" w:customStyle="1" w:styleId="143">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4"/>
    <w:qFormat/>
    <w:uiPriority w:val="99"/>
    <w:rPr>
      <w:rFonts w:ascii="Courier" w:hAnsi="Courier"/>
      <w:sz w:val="20"/>
      <w:szCs w:val="20"/>
    </w:rPr>
  </w:style>
  <w:style w:type="character" w:customStyle="1" w:styleId="148">
    <w:name w:val="Quote Char"/>
    <w:basedOn w:val="11"/>
    <w:link w:val="149"/>
    <w:qFormat/>
    <w:uiPriority w:val="29"/>
    <w:rPr>
      <w:i/>
      <w:iCs/>
      <w:color w:val="000000" w:themeColor="text1"/>
      <w14:textFill>
        <w14:solidFill>
          <w14:schemeClr w14:val="tx1"/>
        </w14:solidFill>
      </w14:textFill>
    </w:rPr>
  </w:style>
  <w:style w:type="paragraph" w:styleId="149">
    <w:name w:val="Quote"/>
    <w:basedOn w:val="1"/>
    <w:next w:val="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customStyle="1" w:styleId="156">
    <w:name w:val="Intense Quote Char"/>
    <w:basedOn w:val="11"/>
    <w:link w:val="157"/>
    <w:qFormat/>
    <w:uiPriority w:val="30"/>
    <w:rPr>
      <w:b/>
      <w:bCs/>
      <w:i/>
      <w:iCs/>
      <w:color w:val="4F81BD" w:themeColor="accent1"/>
      <w14:textFill>
        <w14:solidFill>
          <w14:schemeClr w14:val="accent1"/>
        </w14:solidFill>
      </w14:textFill>
    </w:rPr>
  </w:style>
  <w:style w:type="paragraph" w:styleId="157">
    <w:name w:val="Intense Quote"/>
    <w:basedOn w:val="1"/>
    <w:next w:val="1"/>
    <w:link w:val="156"/>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Index"/>
    <w:basedOn w:val="1"/>
    <w:qFormat/>
    <w:uiPriority w:val="0"/>
    <w:pPr>
      <w:suppressLineNumbers/>
    </w:pPr>
    <w:rPr>
      <w:rFonts w:cs="Noto Sans Devanagari"/>
    </w:rPr>
  </w:style>
  <w:style w:type="paragraph" w:customStyle="1" w:styleId="164">
    <w:name w:val="Header and Footer"/>
    <w:basedOn w:val="1"/>
    <w:qFormat/>
    <w:uiPriority w:val="0"/>
  </w:style>
  <w:style w:type="paragraph" w:styleId="165">
    <w:name w:val="No Spacing"/>
    <w:qFormat/>
    <w:uiPriority w:val="1"/>
    <w:pPr>
      <w:widowControl/>
      <w:suppressAutoHyphens/>
      <w:bidi w:val="0"/>
      <w:spacing w:before="0" w:after="0" w:line="240" w:lineRule="auto"/>
      <w:jc w:val="left"/>
    </w:pPr>
    <w:rPr>
      <w:rFonts w:asciiTheme="minorHAnsi" w:hAnsiTheme="minorHAnsi" w:eastAsiaTheme="minorEastAsia" w:cstheme="minorBidi"/>
      <w:color w:val="auto"/>
      <w:kern w:val="0"/>
      <w:sz w:val="22"/>
      <w:szCs w:val="22"/>
      <w:lang w:val="en-US" w:eastAsia="en-US" w:bidi="ar-SA"/>
    </w:rPr>
  </w:style>
  <w:style w:type="paragraph" w:styleId="166">
    <w:name w:val="List Paragraph"/>
    <w:basedOn w:val="1"/>
    <w:qFormat/>
    <w:uiPriority w:val="34"/>
    <w:pPr>
      <w:spacing w:before="0" w:after="200"/>
      <w:ind w:left="720"/>
      <w:contextualSpacing/>
    </w:pPr>
  </w:style>
  <w:style w:type="paragraph" w:customStyle="1" w:styleId="167">
    <w:name w:val="TOC Heading"/>
    <w:basedOn w:val="2"/>
    <w:next w:val="1"/>
    <w:semiHidden/>
    <w:unhideWhenUsed/>
    <w:qFormat/>
    <w:uiPriority w:val="39"/>
    <w:pPr>
      <w:outlineLvl w:val="9"/>
    </w:pPr>
  </w:style>
  <w:style w:type="paragraph" w:customStyle="1" w:styleId="168">
    <w:name w:val="Table Contents"/>
    <w:basedOn w:val="1"/>
    <w:qFormat/>
    <w:uiPriority w:val="0"/>
    <w:pPr>
      <w:widowControl w:val="0"/>
      <w:suppressLineNumbers/>
    </w:pPr>
  </w:style>
  <w:style w:type="paragraph" w:customStyle="1" w:styleId="169">
    <w:name w:val="Table Heading"/>
    <w:basedOn w:val="168"/>
    <w:qFormat/>
    <w:uiPriority w:val="0"/>
    <w:pPr>
      <w:suppressLineNumbers/>
      <w:jc w:val="center"/>
    </w:pPr>
    <w:rPr>
      <w:b/>
      <w:bC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541</Words>
  <Characters>3404</Characters>
  <Paragraphs>29</Paragraphs>
  <TotalTime>9</TotalTime>
  <ScaleCrop>false</ScaleCrop>
  <LinksUpToDate>false</LinksUpToDate>
  <CharactersWithSpaces>3916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Sakia Tabassum Ananna 22214330</cp:lastModifiedBy>
  <dcterms:modified xsi:type="dcterms:W3CDTF">2026-07-28T16:07:27Z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eyJoZGlkIjoiMDVlMjRmOTAzMTJmMzlkODMxOTBkNjg2ZTZlNGM2NTYiLCJ1c2VySWQiOiIzMTc4NzgwMjk5ODYwIn0=</vt:lpwstr>
  </property>
  <property fmtid="{D5CDD505-2E9C-101B-9397-08002B2CF9AE}" pid="3" name="KSOProductBuildVer">
    <vt:lpwstr>1033-12.1.0.27458</vt:lpwstr>
  </property>
  <property fmtid="{D5CDD505-2E9C-101B-9397-08002B2CF9AE}" pid="4" name="ICV">
    <vt:lpwstr>CA35ABBABE4547918BAE077EB68966B6_13</vt:lpwstr>
  </property>
</Properties>
</file>