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F143" w14:textId="77777777" w:rsidR="00DC36AB" w:rsidRDefault="00DC36AB"/>
    <w:p w14:paraId="7D61D5B5" w14:textId="77777777" w:rsidR="003D12B0" w:rsidRDefault="00000000">
      <w:pPr>
        <w:pStyle w:val="Title"/>
        <w:jc w:val="center"/>
        <w:rPr>
          <w:b/>
          <w:bCs/>
        </w:rPr>
      </w:pPr>
      <w:r w:rsidRPr="0089702B">
        <w:rPr>
          <w:b/>
          <w:bCs/>
        </w:rPr>
        <w:t>NHCX Interoperability Platform</w:t>
      </w:r>
      <w:r w:rsidR="003D12B0">
        <w:rPr>
          <w:b/>
          <w:bCs/>
        </w:rPr>
        <w:t xml:space="preserve"> </w:t>
      </w:r>
    </w:p>
    <w:p w14:paraId="14243C11" w14:textId="1FD16212" w:rsidR="003D12B0" w:rsidRPr="003D12B0" w:rsidRDefault="003D12B0" w:rsidP="003D12B0">
      <w:pPr>
        <w:pStyle w:val="Title"/>
        <w:jc w:val="center"/>
        <w:rPr>
          <w:rFonts w:cstheme="majorHAnsi"/>
          <w:b/>
          <w:bCs/>
          <w:i/>
          <w:iCs/>
          <w:sz w:val="36"/>
          <w:szCs w:val="36"/>
        </w:rPr>
      </w:pPr>
      <w:r w:rsidRPr="003D12B0">
        <w:rPr>
          <w:rFonts w:cstheme="majorHAnsi"/>
          <w:b/>
          <w:bCs/>
          <w:i/>
          <w:iCs/>
          <w:sz w:val="36"/>
          <w:szCs w:val="36"/>
        </w:rPr>
        <w:t>Team Name: CFC</w:t>
      </w:r>
      <w:r w:rsidR="008412F2">
        <w:rPr>
          <w:rFonts w:cstheme="majorHAnsi"/>
          <w:b/>
          <w:bCs/>
          <w:i/>
          <w:iCs/>
          <w:sz w:val="36"/>
          <w:szCs w:val="36"/>
        </w:rPr>
        <w:t xml:space="preserve"> [Murali Nidugondi]</w:t>
      </w:r>
      <w:r w:rsidRPr="003D12B0">
        <w:rPr>
          <w:rFonts w:cstheme="majorHAnsi"/>
          <w:b/>
          <w:bCs/>
          <w:i/>
          <w:iCs/>
          <w:sz w:val="36"/>
          <w:szCs w:val="36"/>
        </w:rPr>
        <w:t xml:space="preserve">. </w:t>
      </w:r>
    </w:p>
    <w:p w14:paraId="08A90D42" w14:textId="77777777" w:rsidR="003D12B0" w:rsidRPr="003D12B0" w:rsidRDefault="003D12B0" w:rsidP="003D12B0">
      <w:pPr>
        <w:pStyle w:val="Title"/>
        <w:jc w:val="center"/>
        <w:rPr>
          <w:rStyle w:val="Strong"/>
          <w:rFonts w:cstheme="majorHAnsi"/>
          <w:i/>
          <w:iCs/>
          <w:color w:val="000000"/>
          <w:sz w:val="36"/>
          <w:szCs w:val="36"/>
        </w:rPr>
      </w:pPr>
      <w:r w:rsidRPr="003D12B0">
        <w:rPr>
          <w:rFonts w:cstheme="majorHAnsi"/>
          <w:b/>
          <w:bCs/>
          <w:i/>
          <w:iCs/>
          <w:color w:val="000000"/>
          <w:sz w:val="36"/>
          <w:szCs w:val="36"/>
        </w:rPr>
        <w:t>Hackathon</w:t>
      </w:r>
      <w:r w:rsidRPr="003D12B0">
        <w:rPr>
          <w:rFonts w:cstheme="majorHAnsi"/>
          <w:i/>
          <w:iCs/>
          <w:color w:val="000000"/>
          <w:sz w:val="36"/>
          <w:szCs w:val="36"/>
        </w:rPr>
        <w:t>:</w:t>
      </w:r>
      <w:r w:rsidRPr="003D12B0">
        <w:rPr>
          <w:rStyle w:val="apple-converted-space"/>
          <w:rFonts w:cstheme="majorHAnsi"/>
          <w:i/>
          <w:iCs/>
          <w:color w:val="000000"/>
          <w:sz w:val="36"/>
          <w:szCs w:val="36"/>
        </w:rPr>
        <w:t> </w:t>
      </w:r>
      <w:r w:rsidRPr="003D12B0">
        <w:rPr>
          <w:rStyle w:val="Strong"/>
          <w:rFonts w:cstheme="majorHAnsi"/>
          <w:i/>
          <w:iCs/>
          <w:color w:val="000000"/>
          <w:sz w:val="36"/>
          <w:szCs w:val="36"/>
        </w:rPr>
        <w:t xml:space="preserve">NHCX Hackathon 2026. </w:t>
      </w:r>
    </w:p>
    <w:p w14:paraId="7B184FE7" w14:textId="4D21117F" w:rsidR="003D12B0" w:rsidRPr="003D12B0" w:rsidRDefault="003D12B0" w:rsidP="003D12B0">
      <w:pPr>
        <w:pStyle w:val="Title"/>
        <w:jc w:val="center"/>
        <w:rPr>
          <w:rStyle w:val="Strong"/>
          <w:rFonts w:cstheme="majorHAnsi"/>
          <w:i/>
          <w:iCs/>
          <w:color w:val="000000"/>
          <w:sz w:val="36"/>
          <w:szCs w:val="36"/>
        </w:rPr>
      </w:pPr>
      <w:r w:rsidRPr="003D12B0">
        <w:rPr>
          <w:rStyle w:val="Strong"/>
          <w:rFonts w:cstheme="majorHAnsi"/>
          <w:i/>
          <w:iCs/>
          <w:color w:val="000000"/>
          <w:sz w:val="36"/>
          <w:szCs w:val="36"/>
        </w:rPr>
        <w:t>Date: March 1</w:t>
      </w:r>
      <w:r w:rsidRPr="003D12B0">
        <w:rPr>
          <w:rStyle w:val="Strong"/>
          <w:rFonts w:cstheme="majorHAnsi"/>
          <w:i/>
          <w:iCs/>
          <w:color w:val="000000"/>
          <w:sz w:val="36"/>
          <w:szCs w:val="36"/>
          <w:vertAlign w:val="superscript"/>
        </w:rPr>
        <w:t>st</w:t>
      </w:r>
      <w:r w:rsidRPr="003D12B0">
        <w:rPr>
          <w:rStyle w:val="Strong"/>
          <w:rFonts w:cstheme="majorHAnsi"/>
          <w:i/>
          <w:iCs/>
          <w:color w:val="000000"/>
          <w:sz w:val="36"/>
          <w:szCs w:val="36"/>
        </w:rPr>
        <w:t>, 2026.</w:t>
      </w:r>
    </w:p>
    <w:p w14:paraId="68C36573" w14:textId="1A07DBCF" w:rsidR="003D12B0" w:rsidRPr="003D12B0" w:rsidRDefault="003D12B0" w:rsidP="003D12B0">
      <w:pPr>
        <w:pStyle w:val="Title"/>
        <w:jc w:val="center"/>
        <w:rPr>
          <w:rFonts w:cstheme="majorHAnsi"/>
          <w:b/>
          <w:bCs/>
          <w:i/>
          <w:iCs/>
          <w:sz w:val="36"/>
          <w:szCs w:val="36"/>
        </w:rPr>
      </w:pPr>
      <w:r w:rsidRPr="003D12B0">
        <w:rPr>
          <w:rFonts w:cstheme="majorHAnsi"/>
          <w:b/>
          <w:bCs/>
          <w:i/>
          <w:iCs/>
          <w:sz w:val="36"/>
          <w:szCs w:val="36"/>
        </w:rPr>
        <w:t xml:space="preserve"> https://github.com/Murali-SpringAI/NHCX-Interoperability-Platform</w:t>
      </w:r>
    </w:p>
    <w:p w14:paraId="5A47D442" w14:textId="77777777" w:rsidR="003D12B0" w:rsidRPr="003D12B0" w:rsidRDefault="003D12B0" w:rsidP="003D12B0"/>
    <w:p w14:paraId="121EFB5E" w14:textId="77777777" w:rsidR="00DC36AB" w:rsidRPr="00B63B15" w:rsidRDefault="00000000">
      <w:pPr>
        <w:rPr>
          <w:sz w:val="32"/>
          <w:szCs w:val="32"/>
        </w:rPr>
      </w:pPr>
      <w:r w:rsidRPr="00B63B15">
        <w:rPr>
          <w:sz w:val="32"/>
          <w:szCs w:val="32"/>
        </w:rPr>
        <w:t>A pluggable, AI-ready healthcare interoperability engine that converts heterogeneous healthcare data (HL7, CSV, legacy formats) into standardized FHIR bundles across multiple workflows — Eligibility and Claims — without rewriting core logic.</w:t>
      </w:r>
    </w:p>
    <w:p w14:paraId="499E0536" w14:textId="77777777" w:rsidR="00DC36AB" w:rsidRDefault="00000000">
      <w:pPr>
        <w:pStyle w:val="Heading1"/>
        <w:rPr>
          <w:sz w:val="36"/>
          <w:szCs w:val="36"/>
        </w:rPr>
      </w:pPr>
      <w:r w:rsidRPr="0089702B">
        <w:rPr>
          <w:sz w:val="36"/>
          <w:szCs w:val="36"/>
        </w:rPr>
        <w:t>🚀 30-Second Pitch</w:t>
      </w:r>
    </w:p>
    <w:p w14:paraId="081BFFBD" w14:textId="77777777" w:rsidR="00653862" w:rsidRPr="00653862" w:rsidRDefault="00653862" w:rsidP="00653862"/>
    <w:p w14:paraId="41006021" w14:textId="1127014E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Healthcare integrations today are brittle and expensive because every system speaks a different language.</w:t>
      </w:r>
    </w:p>
    <w:p w14:paraId="4674B8CA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Hospitals → HL7 v2</w:t>
      </w:r>
    </w:p>
    <w:p w14:paraId="06E1FF51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Insurers → CSV / Flat files</w:t>
      </w:r>
    </w:p>
    <w:p w14:paraId="270C896A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Government Exchanges → FHIR</w:t>
      </w:r>
    </w:p>
    <w:p w14:paraId="270069D2" w14:textId="77777777" w:rsidR="00DC36A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Every new connection usually requires a custom integration project.</w:t>
      </w:r>
    </w:p>
    <w:p w14:paraId="5C0A13C9" w14:textId="77777777" w:rsidR="00653862" w:rsidRPr="00653862" w:rsidRDefault="00653862" w:rsidP="00653862">
      <w:pPr>
        <w:pStyle w:val="isselectedend"/>
        <w:rPr>
          <w:rFonts w:asciiTheme="minorHAnsi" w:hAnsiTheme="minorHAnsi"/>
          <w:color w:val="000000"/>
          <w:sz w:val="28"/>
          <w:szCs w:val="28"/>
        </w:rPr>
      </w:pPr>
      <w:r w:rsidRPr="00653862">
        <w:rPr>
          <w:rFonts w:asciiTheme="minorHAnsi" w:hAnsiTheme="minorHAnsi"/>
          <w:color w:val="000000"/>
          <w:sz w:val="28"/>
          <w:szCs w:val="28"/>
        </w:rPr>
        <w:t>This creates:</w:t>
      </w:r>
    </w:p>
    <w:p w14:paraId="09A5E93A" w14:textId="77777777" w:rsidR="00653862" w:rsidRPr="00653862" w:rsidRDefault="00653862" w:rsidP="00653862">
      <w:pPr>
        <w:pStyle w:val="isselectedend"/>
        <w:numPr>
          <w:ilvl w:val="0"/>
          <w:numId w:val="11"/>
        </w:numPr>
        <w:rPr>
          <w:rFonts w:asciiTheme="minorHAnsi" w:hAnsiTheme="minorHAnsi"/>
          <w:color w:val="000000"/>
          <w:sz w:val="28"/>
          <w:szCs w:val="28"/>
        </w:rPr>
      </w:pPr>
      <w:r w:rsidRPr="00653862">
        <w:rPr>
          <w:rFonts w:asciiTheme="minorHAnsi" w:hAnsiTheme="minorHAnsi"/>
          <w:color w:val="000000"/>
          <w:sz w:val="28"/>
          <w:szCs w:val="28"/>
        </w:rPr>
        <w:t>Integration delays</w:t>
      </w:r>
    </w:p>
    <w:p w14:paraId="3CF11C6E" w14:textId="77777777" w:rsidR="00653862" w:rsidRPr="00653862" w:rsidRDefault="00653862" w:rsidP="00653862">
      <w:pPr>
        <w:pStyle w:val="isselectedend"/>
        <w:numPr>
          <w:ilvl w:val="0"/>
          <w:numId w:val="11"/>
        </w:numPr>
        <w:rPr>
          <w:rFonts w:asciiTheme="minorHAnsi" w:hAnsiTheme="minorHAnsi"/>
          <w:color w:val="000000"/>
          <w:sz w:val="28"/>
          <w:szCs w:val="28"/>
        </w:rPr>
      </w:pPr>
      <w:r w:rsidRPr="00653862">
        <w:rPr>
          <w:rFonts w:asciiTheme="minorHAnsi" w:hAnsiTheme="minorHAnsi"/>
          <w:color w:val="000000"/>
          <w:sz w:val="28"/>
          <w:szCs w:val="28"/>
        </w:rPr>
        <w:t>Data quality problems</w:t>
      </w:r>
    </w:p>
    <w:p w14:paraId="08DC70F2" w14:textId="77777777" w:rsidR="00653862" w:rsidRPr="00653862" w:rsidRDefault="00653862" w:rsidP="00653862">
      <w:pPr>
        <w:pStyle w:val="isselectedend"/>
        <w:numPr>
          <w:ilvl w:val="0"/>
          <w:numId w:val="11"/>
        </w:numPr>
        <w:rPr>
          <w:rFonts w:asciiTheme="minorHAnsi" w:hAnsiTheme="minorHAnsi"/>
          <w:color w:val="000000"/>
          <w:sz w:val="28"/>
          <w:szCs w:val="28"/>
        </w:rPr>
      </w:pPr>
      <w:r w:rsidRPr="00653862">
        <w:rPr>
          <w:rFonts w:asciiTheme="minorHAnsi" w:hAnsiTheme="minorHAnsi"/>
          <w:color w:val="000000"/>
          <w:sz w:val="28"/>
          <w:szCs w:val="28"/>
        </w:rPr>
        <w:t>High operational cost</w:t>
      </w:r>
    </w:p>
    <w:p w14:paraId="0BE5A43F" w14:textId="77777777" w:rsidR="00653862" w:rsidRPr="00653862" w:rsidRDefault="00653862" w:rsidP="00653862">
      <w:pPr>
        <w:pStyle w:val="NormalWeb"/>
        <w:numPr>
          <w:ilvl w:val="0"/>
          <w:numId w:val="11"/>
        </w:numPr>
        <w:rPr>
          <w:rFonts w:asciiTheme="minorHAnsi" w:hAnsiTheme="minorHAnsi"/>
          <w:color w:val="000000"/>
          <w:sz w:val="28"/>
          <w:szCs w:val="28"/>
        </w:rPr>
      </w:pPr>
      <w:r w:rsidRPr="00653862">
        <w:rPr>
          <w:rFonts w:asciiTheme="minorHAnsi" w:hAnsiTheme="minorHAnsi"/>
          <w:color w:val="000000"/>
          <w:sz w:val="28"/>
          <w:szCs w:val="28"/>
        </w:rPr>
        <w:t>Vendor lock-in</w:t>
      </w:r>
    </w:p>
    <w:p w14:paraId="0CCA1DE7" w14:textId="77777777" w:rsidR="00653862" w:rsidRPr="00653862" w:rsidRDefault="00653862" w:rsidP="00653862">
      <w:pPr>
        <w:pStyle w:val="Heading3"/>
        <w:rPr>
          <w:rFonts w:asciiTheme="minorHAnsi" w:hAnsiTheme="minorHAnsi"/>
          <w:color w:val="000000"/>
          <w:sz w:val="28"/>
          <w:szCs w:val="28"/>
        </w:rPr>
      </w:pPr>
      <w:r w:rsidRPr="00653862">
        <w:rPr>
          <w:rFonts w:asciiTheme="minorHAnsi" w:hAnsiTheme="minorHAnsi"/>
          <w:color w:val="000000"/>
          <w:sz w:val="28"/>
          <w:szCs w:val="28"/>
        </w:rPr>
        <w:t>Our solution</w:t>
      </w:r>
    </w:p>
    <w:p w14:paraId="40E9E45C" w14:textId="77777777" w:rsidR="00653862" w:rsidRDefault="00653862" w:rsidP="00653862">
      <w:pPr>
        <w:pStyle w:val="isselectedend"/>
        <w:rPr>
          <w:rFonts w:asciiTheme="minorHAnsi" w:hAnsiTheme="minorHAnsi"/>
          <w:color w:val="000000"/>
          <w:sz w:val="28"/>
          <w:szCs w:val="28"/>
        </w:rPr>
      </w:pPr>
      <w:r w:rsidRPr="00653862">
        <w:rPr>
          <w:rFonts w:asciiTheme="minorHAnsi" w:hAnsiTheme="minorHAnsi"/>
          <w:color w:val="000000"/>
          <w:sz w:val="28"/>
          <w:szCs w:val="28"/>
        </w:rPr>
        <w:t>We built a</w:t>
      </w:r>
      <w:r w:rsidRPr="00653862">
        <w:rPr>
          <w:rStyle w:val="apple-converted-space"/>
          <w:rFonts w:asciiTheme="minorHAnsi" w:hAnsiTheme="minorHAnsi"/>
          <w:color w:val="000000"/>
          <w:sz w:val="28"/>
          <w:szCs w:val="28"/>
        </w:rPr>
        <w:t> </w:t>
      </w:r>
      <w:r w:rsidRPr="00653862">
        <w:rPr>
          <w:rStyle w:val="Strong"/>
          <w:rFonts w:asciiTheme="minorHAnsi" w:hAnsiTheme="minorHAnsi"/>
          <w:color w:val="000000"/>
          <w:sz w:val="28"/>
          <w:szCs w:val="28"/>
        </w:rPr>
        <w:t>domain-agnostic interoperability platform core</w:t>
      </w:r>
      <w:r w:rsidRPr="00653862">
        <w:rPr>
          <w:rStyle w:val="apple-converted-space"/>
          <w:rFonts w:asciiTheme="minorHAnsi" w:hAnsiTheme="minorHAnsi"/>
          <w:color w:val="000000"/>
          <w:sz w:val="28"/>
          <w:szCs w:val="28"/>
        </w:rPr>
        <w:t> </w:t>
      </w:r>
      <w:r w:rsidRPr="00653862">
        <w:rPr>
          <w:rFonts w:asciiTheme="minorHAnsi" w:hAnsiTheme="minorHAnsi"/>
          <w:color w:val="000000"/>
          <w:sz w:val="28"/>
          <w:szCs w:val="28"/>
        </w:rPr>
        <w:t>that normalizes any healthcare input into a canonical model, enriches it using semantic intelligence, and produces standards-compliant FHIR.</w:t>
      </w:r>
    </w:p>
    <w:p w14:paraId="62FFD58D" w14:textId="77777777" w:rsidR="00653862" w:rsidRPr="00653862" w:rsidRDefault="00653862" w:rsidP="00653862">
      <w:pPr>
        <w:pStyle w:val="isselectedend"/>
        <w:rPr>
          <w:rFonts w:asciiTheme="minorHAnsi" w:hAnsiTheme="minorHAnsi"/>
          <w:color w:val="000000"/>
          <w:sz w:val="28"/>
          <w:szCs w:val="28"/>
        </w:rPr>
      </w:pPr>
    </w:p>
    <w:p w14:paraId="50C1EF15" w14:textId="77777777" w:rsidR="00DC36AB" w:rsidRPr="0089702B" w:rsidRDefault="00000000">
      <w:pPr>
        <w:rPr>
          <w:b/>
          <w:bCs/>
          <w:sz w:val="28"/>
          <w:szCs w:val="28"/>
        </w:rPr>
      </w:pPr>
      <w:r w:rsidRPr="00917243">
        <w:rPr>
          <w:b/>
          <w:bCs/>
          <w:sz w:val="28"/>
          <w:szCs w:val="28"/>
        </w:rPr>
        <w:t>Our platform:</w:t>
      </w:r>
    </w:p>
    <w:p w14:paraId="3AFDEAAC" w14:textId="55F847C1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Accepts legacy healthcare data</w:t>
      </w:r>
      <w:r w:rsidR="00917243">
        <w:rPr>
          <w:sz w:val="28"/>
          <w:szCs w:val="28"/>
        </w:rPr>
        <w:t>.</w:t>
      </w:r>
    </w:p>
    <w:p w14:paraId="3A208D7E" w14:textId="30E59899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Normalizes it into a canonical model</w:t>
      </w:r>
      <w:r w:rsidR="00917243">
        <w:rPr>
          <w:sz w:val="28"/>
          <w:szCs w:val="28"/>
        </w:rPr>
        <w:t>.</w:t>
      </w:r>
    </w:p>
    <w:p w14:paraId="0DE0FFC8" w14:textId="731BE51E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Enhances it with semantic intelligence (AI layer)</w:t>
      </w:r>
      <w:r w:rsidR="00917243">
        <w:rPr>
          <w:sz w:val="28"/>
          <w:szCs w:val="28"/>
        </w:rPr>
        <w:t>.</w:t>
      </w:r>
    </w:p>
    <w:p w14:paraId="0BC14971" w14:textId="1031B14E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Produces standards-compliant FHIR bundles</w:t>
      </w:r>
      <w:r w:rsidR="00917243">
        <w:rPr>
          <w:sz w:val="28"/>
          <w:szCs w:val="28"/>
        </w:rPr>
        <w:t>.</w:t>
      </w:r>
    </w:p>
    <w:p w14:paraId="3E1A045A" w14:textId="0725CE5C" w:rsidR="00C337E8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This allows one system to integrate with many ecosystems.</w:t>
      </w:r>
    </w:p>
    <w:p w14:paraId="3F7E58E1" w14:textId="4ACB791F" w:rsidR="00DC36AB" w:rsidRPr="0089702B" w:rsidRDefault="00000000">
      <w:pPr>
        <w:pStyle w:val="Heading1"/>
        <w:rPr>
          <w:sz w:val="36"/>
          <w:szCs w:val="36"/>
        </w:rPr>
      </w:pPr>
      <w:r w:rsidRPr="0089702B">
        <w:rPr>
          <w:sz w:val="36"/>
          <w:szCs w:val="36"/>
        </w:rPr>
        <w:t>🧠 What Makes This Interesting</w:t>
      </w:r>
    </w:p>
    <w:p w14:paraId="40C78D5A" w14:textId="77777777" w:rsidR="0089702B" w:rsidRPr="0089702B" w:rsidRDefault="0089702B">
      <w:pPr>
        <w:rPr>
          <w:sz w:val="28"/>
          <w:szCs w:val="28"/>
        </w:rPr>
      </w:pPr>
    </w:p>
    <w:p w14:paraId="6D2487DA" w14:textId="7AF26988" w:rsidR="00DC36AB" w:rsidRPr="0089702B" w:rsidRDefault="00000000">
      <w:pPr>
        <w:rPr>
          <w:b/>
          <w:bCs/>
          <w:sz w:val="28"/>
          <w:szCs w:val="28"/>
        </w:rPr>
      </w:pPr>
      <w:r w:rsidRPr="0089702B">
        <w:rPr>
          <w:b/>
          <w:bCs/>
          <w:sz w:val="28"/>
          <w:szCs w:val="28"/>
        </w:rPr>
        <w:t>Not a Converter — A Platform</w:t>
      </w:r>
    </w:p>
    <w:p w14:paraId="13BB3104" w14:textId="5D6BA51F" w:rsidR="00653862" w:rsidRPr="00653862" w:rsidRDefault="00653862" w:rsidP="00653862">
      <w:pPr>
        <w:pStyle w:val="ListParagraph"/>
        <w:numPr>
          <w:ilvl w:val="0"/>
          <w:numId w:val="13"/>
        </w:numPr>
        <w:rPr>
          <w:rFonts w:cs="Aharoni"/>
          <w:sz w:val="28"/>
          <w:szCs w:val="28"/>
        </w:rPr>
      </w:pPr>
      <w:r w:rsidRPr="00653862">
        <w:rPr>
          <w:rFonts w:cs="Aharoni"/>
          <w:sz w:val="28"/>
          <w:szCs w:val="28"/>
        </w:rPr>
        <w:t>Most projects do: HL7 → FHIR conversion</w:t>
      </w:r>
      <w:r w:rsidR="00917243">
        <w:rPr>
          <w:rFonts w:cs="Aharoni"/>
          <w:sz w:val="28"/>
          <w:szCs w:val="28"/>
        </w:rPr>
        <w:t>.</w:t>
      </w:r>
    </w:p>
    <w:p w14:paraId="222F52AB" w14:textId="6C79406C" w:rsidR="00DC36AB" w:rsidRDefault="00000000" w:rsidP="00653862">
      <w:pPr>
        <w:pStyle w:val="ListParagraph"/>
        <w:numPr>
          <w:ilvl w:val="0"/>
          <w:numId w:val="13"/>
        </w:numPr>
        <w:rPr>
          <w:rFonts w:cs="Aharoni"/>
          <w:sz w:val="28"/>
          <w:szCs w:val="28"/>
        </w:rPr>
      </w:pPr>
      <w:r w:rsidRPr="00653862">
        <w:rPr>
          <w:rFonts w:cs="Aharoni"/>
          <w:sz w:val="28"/>
          <w:szCs w:val="28"/>
        </w:rPr>
        <w:t>We built: Source-agnostic ingestion → Canonical healthcare model → AI semantic enrichment → Multi-workflow FHIR transformation</w:t>
      </w:r>
      <w:r w:rsidR="00653862" w:rsidRPr="00653862">
        <w:rPr>
          <w:rFonts w:cs="Aharoni"/>
          <w:sz w:val="28"/>
          <w:szCs w:val="28"/>
        </w:rPr>
        <w:t>.</w:t>
      </w:r>
    </w:p>
    <w:p w14:paraId="6D3A93CA" w14:textId="05AA816A" w:rsidR="00653862" w:rsidRPr="00653862" w:rsidRDefault="00653862" w:rsidP="00653862">
      <w:pPr>
        <w:pStyle w:val="ListParagraph"/>
        <w:numPr>
          <w:ilvl w:val="0"/>
          <w:numId w:val="13"/>
        </w:numPr>
        <w:rPr>
          <w:rFonts w:cs="Aharoni"/>
          <w:sz w:val="28"/>
          <w:szCs w:val="28"/>
        </w:rPr>
      </w:pPr>
      <w:r w:rsidRPr="00653862">
        <w:rPr>
          <w:rFonts w:cs="Aharoni"/>
          <w:sz w:val="28"/>
          <w:szCs w:val="28"/>
        </w:rPr>
        <w:t>Most projects do: HL7 → FHIR conversion</w:t>
      </w:r>
      <w:r w:rsidR="00917243">
        <w:rPr>
          <w:rFonts w:cs="Aharoni"/>
          <w:sz w:val="28"/>
          <w:szCs w:val="28"/>
        </w:rPr>
        <w:t>.</w:t>
      </w:r>
    </w:p>
    <w:p w14:paraId="3772E0E3" w14:textId="6F494BF9" w:rsidR="00653862" w:rsidRPr="00653862" w:rsidRDefault="00653862" w:rsidP="00653862">
      <w:pPr>
        <w:pStyle w:val="ListParagraph"/>
        <w:numPr>
          <w:ilvl w:val="0"/>
          <w:numId w:val="13"/>
        </w:numPr>
        <w:rPr>
          <w:rFonts w:cs="Aharoni"/>
          <w:sz w:val="28"/>
          <w:szCs w:val="28"/>
        </w:rPr>
      </w:pPr>
      <w:r w:rsidRPr="00653862">
        <w:rPr>
          <w:color w:val="000000"/>
          <w:sz w:val="28"/>
          <w:szCs w:val="28"/>
        </w:rPr>
        <w:t>Supports multiple sources without modifying core code.</w:t>
      </w:r>
    </w:p>
    <w:p w14:paraId="670CCE92" w14:textId="6209DEF1" w:rsidR="00653862" w:rsidRPr="00653862" w:rsidRDefault="00653862" w:rsidP="00653862">
      <w:pPr>
        <w:pStyle w:val="ListParagraph"/>
        <w:numPr>
          <w:ilvl w:val="0"/>
          <w:numId w:val="13"/>
        </w:numPr>
        <w:rPr>
          <w:rStyle w:val="Strong"/>
          <w:rFonts w:cs="Aharoni"/>
          <w:b w:val="0"/>
          <w:bCs w:val="0"/>
          <w:sz w:val="28"/>
          <w:szCs w:val="28"/>
        </w:rPr>
      </w:pPr>
      <w:r w:rsidRPr="00653862">
        <w:rPr>
          <w:color w:val="000000"/>
          <w:sz w:val="28"/>
          <w:szCs w:val="28"/>
        </w:rPr>
        <w:t>All data is first converted into</w:t>
      </w:r>
      <w:r w:rsidRPr="00653862">
        <w:rPr>
          <w:rStyle w:val="apple-converted-space"/>
          <w:color w:val="000000"/>
          <w:sz w:val="28"/>
          <w:szCs w:val="28"/>
        </w:rPr>
        <w:t> </w:t>
      </w:r>
      <w:r w:rsidRPr="00653862">
        <w:rPr>
          <w:rStyle w:val="Strong"/>
          <w:color w:val="000000"/>
          <w:sz w:val="28"/>
          <w:szCs w:val="28"/>
        </w:rPr>
        <w:t>canonical domain objects.</w:t>
      </w:r>
    </w:p>
    <w:p w14:paraId="284E334F" w14:textId="77777777" w:rsidR="00653862" w:rsidRPr="00653862" w:rsidRDefault="00653862" w:rsidP="00653862">
      <w:pPr>
        <w:pStyle w:val="ListParagraph"/>
        <w:rPr>
          <w:rFonts w:cs="Aharoni"/>
          <w:sz w:val="28"/>
          <w:szCs w:val="28"/>
        </w:rPr>
      </w:pPr>
    </w:p>
    <w:p w14:paraId="0C8336B4" w14:textId="77777777" w:rsidR="00DC36AB" w:rsidRPr="00653862" w:rsidRDefault="00000000">
      <w:pPr>
        <w:rPr>
          <w:rFonts w:cs="Aharoni"/>
          <w:b/>
          <w:bCs/>
          <w:color w:val="EE0000"/>
          <w:sz w:val="32"/>
          <w:szCs w:val="32"/>
        </w:rPr>
      </w:pPr>
      <w:r w:rsidRPr="00653862">
        <w:rPr>
          <w:rFonts w:cs="Aharoni"/>
          <w:b/>
          <w:bCs/>
          <w:color w:val="EE0000"/>
          <w:sz w:val="32"/>
          <w:szCs w:val="32"/>
        </w:rPr>
        <w:t>Meaning:</w:t>
      </w:r>
    </w:p>
    <w:p w14:paraId="20D63CEF" w14:textId="77777777" w:rsidR="00DC36AB" w:rsidRPr="00653862" w:rsidRDefault="00000000">
      <w:pPr>
        <w:pStyle w:val="ListBullet"/>
        <w:rPr>
          <w:rFonts w:cs="Aharoni"/>
          <w:b/>
          <w:bCs/>
          <w:color w:val="EE0000"/>
          <w:sz w:val="32"/>
          <w:szCs w:val="32"/>
        </w:rPr>
      </w:pPr>
      <w:r w:rsidRPr="00653862">
        <w:rPr>
          <w:rFonts w:cs="Aharoni"/>
          <w:b/>
          <w:bCs/>
          <w:color w:val="EE0000"/>
          <w:sz w:val="32"/>
          <w:szCs w:val="32"/>
        </w:rPr>
        <w:t>Add a new source → plug an adapter</w:t>
      </w:r>
    </w:p>
    <w:p w14:paraId="55EC5060" w14:textId="77777777" w:rsidR="00DC36AB" w:rsidRPr="00653862" w:rsidRDefault="00000000">
      <w:pPr>
        <w:pStyle w:val="ListBullet"/>
        <w:rPr>
          <w:rFonts w:cs="Aharoni"/>
          <w:b/>
          <w:bCs/>
          <w:color w:val="EE0000"/>
          <w:sz w:val="32"/>
          <w:szCs w:val="32"/>
        </w:rPr>
      </w:pPr>
      <w:r w:rsidRPr="00653862">
        <w:rPr>
          <w:rFonts w:cs="Aharoni"/>
          <w:b/>
          <w:bCs/>
          <w:color w:val="EE0000"/>
          <w:sz w:val="32"/>
          <w:szCs w:val="32"/>
        </w:rPr>
        <w:t>Add a new workflow → plug a builder</w:t>
      </w:r>
    </w:p>
    <w:p w14:paraId="65D44B83" w14:textId="77777777" w:rsidR="00DC36AB" w:rsidRDefault="00000000">
      <w:pPr>
        <w:pStyle w:val="ListBullet"/>
        <w:rPr>
          <w:rFonts w:cs="Aharoni"/>
          <w:b/>
          <w:bCs/>
          <w:color w:val="EE0000"/>
          <w:sz w:val="32"/>
          <w:szCs w:val="32"/>
        </w:rPr>
      </w:pPr>
      <w:r w:rsidRPr="00653862">
        <w:rPr>
          <w:rFonts w:cs="Aharoni"/>
          <w:b/>
          <w:bCs/>
          <w:color w:val="EE0000"/>
          <w:sz w:val="32"/>
          <w:szCs w:val="32"/>
        </w:rPr>
        <w:t>No core rewrite</w:t>
      </w:r>
    </w:p>
    <w:p w14:paraId="5A052D16" w14:textId="77777777" w:rsidR="00C337E8" w:rsidRDefault="00C337E8" w:rsidP="00C337E8">
      <w:pPr>
        <w:pStyle w:val="ListBullet"/>
        <w:numPr>
          <w:ilvl w:val="0"/>
          <w:numId w:val="0"/>
        </w:numPr>
        <w:ind w:left="360" w:hanging="360"/>
        <w:rPr>
          <w:rFonts w:cs="Aharoni"/>
          <w:b/>
          <w:bCs/>
          <w:color w:val="EE0000"/>
          <w:sz w:val="32"/>
          <w:szCs w:val="32"/>
        </w:rPr>
      </w:pPr>
    </w:p>
    <w:p w14:paraId="6AC5AC8C" w14:textId="77777777" w:rsidR="00C337E8" w:rsidRDefault="00C337E8" w:rsidP="00C337E8">
      <w:pPr>
        <w:pStyle w:val="ListBullet"/>
        <w:numPr>
          <w:ilvl w:val="0"/>
          <w:numId w:val="0"/>
        </w:numPr>
        <w:ind w:left="360" w:hanging="360"/>
        <w:rPr>
          <w:rFonts w:cs="Aharoni"/>
          <w:b/>
          <w:bCs/>
          <w:color w:val="EE0000"/>
          <w:sz w:val="32"/>
          <w:szCs w:val="32"/>
        </w:rPr>
      </w:pPr>
    </w:p>
    <w:p w14:paraId="1A45CFDE" w14:textId="77777777" w:rsidR="00C337E8" w:rsidRDefault="00C337E8" w:rsidP="00C337E8">
      <w:pPr>
        <w:pStyle w:val="ListBullet"/>
        <w:numPr>
          <w:ilvl w:val="0"/>
          <w:numId w:val="0"/>
        </w:numPr>
        <w:ind w:left="360" w:hanging="360"/>
        <w:rPr>
          <w:rFonts w:cs="Aharoni"/>
          <w:b/>
          <w:bCs/>
          <w:color w:val="EE0000"/>
          <w:sz w:val="32"/>
          <w:szCs w:val="32"/>
        </w:rPr>
      </w:pPr>
    </w:p>
    <w:p w14:paraId="6A56AF5D" w14:textId="3558E39C" w:rsidR="00C337E8" w:rsidRPr="00653862" w:rsidRDefault="00C337E8" w:rsidP="00C337E8">
      <w:pPr>
        <w:pStyle w:val="ListBullet"/>
        <w:numPr>
          <w:ilvl w:val="0"/>
          <w:numId w:val="0"/>
        </w:numPr>
        <w:ind w:left="360" w:hanging="360"/>
        <w:rPr>
          <w:rFonts w:cs="Aharoni"/>
          <w:b/>
          <w:bCs/>
          <w:color w:val="EE0000"/>
          <w:sz w:val="32"/>
          <w:szCs w:val="32"/>
        </w:rPr>
      </w:pPr>
      <w:r w:rsidRPr="00C337E8">
        <w:rPr>
          <w:rFonts w:cs="Aharoni"/>
          <w:b/>
          <w:bCs/>
          <w:noProof/>
          <w:color w:val="EE0000"/>
          <w:sz w:val="32"/>
          <w:szCs w:val="32"/>
        </w:rPr>
        <w:drawing>
          <wp:inline distT="0" distB="0" distL="0" distR="0" wp14:anchorId="2E20B243" wp14:editId="4DB6C103">
            <wp:extent cx="11535157" cy="4253865"/>
            <wp:effectExtent l="0" t="0" r="0" b="635"/>
            <wp:docPr id="113224298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2980" name="Picture 1" descr="A diagram of a flow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35690" cy="43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65C4" w14:textId="77777777" w:rsidR="00621DB9" w:rsidRDefault="00621DB9">
      <w:pPr>
        <w:rPr>
          <w:rFonts w:cs="Aharoni"/>
          <w:b/>
          <w:bCs/>
          <w:sz w:val="28"/>
          <w:szCs w:val="28"/>
        </w:rPr>
      </w:pPr>
    </w:p>
    <w:p w14:paraId="44595008" w14:textId="77777777" w:rsidR="00917243" w:rsidRDefault="00917243">
      <w:pPr>
        <w:rPr>
          <w:rFonts w:cs="Aharoni"/>
          <w:b/>
          <w:bCs/>
          <w:sz w:val="28"/>
          <w:szCs w:val="28"/>
        </w:rPr>
      </w:pPr>
    </w:p>
    <w:p w14:paraId="1C61DC39" w14:textId="7933693D" w:rsidR="00DC36AB" w:rsidRDefault="00000000">
      <w:pPr>
        <w:rPr>
          <w:rFonts w:cs="Aharoni"/>
          <w:b/>
          <w:bCs/>
          <w:sz w:val="28"/>
          <w:szCs w:val="28"/>
        </w:rPr>
      </w:pPr>
      <w:r w:rsidRPr="0089702B">
        <w:rPr>
          <w:rFonts w:cs="Aharoni"/>
          <w:b/>
          <w:bCs/>
          <w:sz w:val="28"/>
          <w:szCs w:val="28"/>
        </w:rPr>
        <w:t>Supported Workflows &amp; Platform Roadmap</w:t>
      </w:r>
    </w:p>
    <w:p w14:paraId="6CD1260D" w14:textId="77777777" w:rsidR="0089702B" w:rsidRPr="0089702B" w:rsidRDefault="0089702B">
      <w:pPr>
        <w:rPr>
          <w:rFonts w:cs="Aharoni"/>
          <w:b/>
          <w:bCs/>
          <w:sz w:val="28"/>
          <w:szCs w:val="28"/>
        </w:rPr>
      </w:pPr>
    </w:p>
    <w:p w14:paraId="714A454E" w14:textId="77777777" w:rsidR="00DC36AB" w:rsidRPr="0089702B" w:rsidRDefault="00000000">
      <w:pPr>
        <w:rPr>
          <w:rFonts w:cs="Aharoni"/>
          <w:sz w:val="28"/>
          <w:szCs w:val="28"/>
        </w:rPr>
      </w:pPr>
      <w:r w:rsidRPr="0089702B">
        <w:rPr>
          <w:rFonts w:ascii="Apple Color Emoji" w:hAnsi="Apple Color Emoji" w:cs="Apple Color Emoji"/>
          <w:sz w:val="28"/>
          <w:szCs w:val="28"/>
        </w:rPr>
        <w:t>🟢</w:t>
      </w:r>
      <w:r w:rsidRPr="0089702B">
        <w:rPr>
          <w:rFonts w:cs="Aharoni"/>
          <w:sz w:val="28"/>
          <w:szCs w:val="28"/>
        </w:rPr>
        <w:t xml:space="preserve"> Coverage Eligibility — Implemented</w:t>
      </w:r>
    </w:p>
    <w:p w14:paraId="4951AFEE" w14:textId="77777777" w:rsidR="00DC36AB" w:rsidRPr="0089702B" w:rsidRDefault="00000000" w:rsidP="0089702B">
      <w:pPr>
        <w:pStyle w:val="ListParagraph"/>
        <w:numPr>
          <w:ilvl w:val="0"/>
          <w:numId w:val="10"/>
        </w:numPr>
        <w:rPr>
          <w:rFonts w:cs="Aharoni"/>
          <w:sz w:val="28"/>
          <w:szCs w:val="28"/>
        </w:rPr>
      </w:pPr>
      <w:r w:rsidRPr="0089702B">
        <w:rPr>
          <w:rFonts w:cs="Aharoni"/>
          <w:sz w:val="28"/>
          <w:szCs w:val="28"/>
        </w:rPr>
        <w:t>HL7 ingestion → Canonical normalization → AI enrichment → FHIR Patient &amp; Coverage bundle</w:t>
      </w:r>
    </w:p>
    <w:p w14:paraId="5DD71B32" w14:textId="77777777" w:rsidR="00DC36AB" w:rsidRPr="0089702B" w:rsidRDefault="00000000">
      <w:pPr>
        <w:rPr>
          <w:rFonts w:cs="Aharoni"/>
          <w:sz w:val="28"/>
          <w:szCs w:val="28"/>
        </w:rPr>
      </w:pPr>
      <w:r w:rsidRPr="0089702B">
        <w:rPr>
          <w:rFonts w:ascii="Apple Color Emoji" w:hAnsi="Apple Color Emoji" w:cs="Apple Color Emoji"/>
          <w:sz w:val="28"/>
          <w:szCs w:val="28"/>
        </w:rPr>
        <w:t>🟢</w:t>
      </w:r>
      <w:r w:rsidRPr="0089702B">
        <w:rPr>
          <w:rFonts w:cs="Aharoni"/>
          <w:sz w:val="28"/>
          <w:szCs w:val="28"/>
        </w:rPr>
        <w:t xml:space="preserve"> Claims Processing — Implemented</w:t>
      </w:r>
    </w:p>
    <w:p w14:paraId="203B2FEC" w14:textId="77777777" w:rsidR="00DC36AB" w:rsidRPr="0089702B" w:rsidRDefault="00000000" w:rsidP="0089702B">
      <w:pPr>
        <w:pStyle w:val="ListParagraph"/>
        <w:numPr>
          <w:ilvl w:val="0"/>
          <w:numId w:val="10"/>
        </w:numPr>
        <w:rPr>
          <w:rFonts w:cs="Aharoni"/>
          <w:sz w:val="28"/>
          <w:szCs w:val="28"/>
        </w:rPr>
      </w:pPr>
      <w:r w:rsidRPr="0089702B">
        <w:rPr>
          <w:rFonts w:cs="Aharoni"/>
          <w:sz w:val="28"/>
          <w:szCs w:val="28"/>
        </w:rPr>
        <w:t>CSV ingestion → Canonical claim model → AI anomaly detection → FHIR Claim resource</w:t>
      </w:r>
    </w:p>
    <w:p w14:paraId="19AA33A6" w14:textId="77777777" w:rsidR="00DC36AB" w:rsidRPr="0089702B" w:rsidRDefault="00000000">
      <w:pPr>
        <w:rPr>
          <w:rFonts w:cs="Aharoni"/>
          <w:sz w:val="28"/>
          <w:szCs w:val="28"/>
        </w:rPr>
      </w:pPr>
      <w:r w:rsidRPr="0089702B">
        <w:rPr>
          <w:rFonts w:ascii="Apple Color Emoji" w:hAnsi="Apple Color Emoji" w:cs="Apple Color Emoji"/>
          <w:sz w:val="28"/>
          <w:szCs w:val="28"/>
        </w:rPr>
        <w:t>🟡</w:t>
      </w:r>
      <w:r w:rsidRPr="0089702B">
        <w:rPr>
          <w:rFonts w:cs="Aharoni"/>
          <w:sz w:val="28"/>
          <w:szCs w:val="28"/>
        </w:rPr>
        <w:t xml:space="preserve"> Prior Authorization — Architecture Ready</w:t>
      </w:r>
    </w:p>
    <w:p w14:paraId="318C22A6" w14:textId="77777777" w:rsidR="00DC36AB" w:rsidRPr="0089702B" w:rsidRDefault="00000000" w:rsidP="0089702B">
      <w:pPr>
        <w:pStyle w:val="ListParagraph"/>
        <w:numPr>
          <w:ilvl w:val="0"/>
          <w:numId w:val="10"/>
        </w:numPr>
        <w:rPr>
          <w:rFonts w:cs="Aharoni"/>
          <w:sz w:val="28"/>
          <w:szCs w:val="28"/>
        </w:rPr>
      </w:pPr>
      <w:r w:rsidRPr="0089702B">
        <w:rPr>
          <w:rFonts w:cs="Aharoni"/>
          <w:sz w:val="28"/>
          <w:szCs w:val="28"/>
        </w:rPr>
        <w:t>Requires only a new DTO and FHIR builder. No ingestion changes.</w:t>
      </w:r>
    </w:p>
    <w:p w14:paraId="681A0EBF" w14:textId="77777777" w:rsidR="00DC36AB" w:rsidRPr="0089702B" w:rsidRDefault="00000000">
      <w:pPr>
        <w:rPr>
          <w:rFonts w:cs="Aharoni"/>
          <w:sz w:val="28"/>
          <w:szCs w:val="28"/>
        </w:rPr>
      </w:pPr>
      <w:r w:rsidRPr="0089702B">
        <w:rPr>
          <w:rFonts w:ascii="Apple Color Emoji" w:hAnsi="Apple Color Emoji" w:cs="Apple Color Emoji"/>
          <w:sz w:val="28"/>
          <w:szCs w:val="28"/>
        </w:rPr>
        <w:t>🟡</w:t>
      </w:r>
      <w:r w:rsidRPr="0089702B">
        <w:rPr>
          <w:rFonts w:cs="Aharoni"/>
          <w:sz w:val="28"/>
          <w:szCs w:val="28"/>
        </w:rPr>
        <w:t xml:space="preserve"> Clinical Exchange — Architecture Ready</w:t>
      </w:r>
    </w:p>
    <w:p w14:paraId="4AB4AA6D" w14:textId="77777777" w:rsidR="00DC36AB" w:rsidRPr="0089702B" w:rsidRDefault="00000000" w:rsidP="0089702B">
      <w:pPr>
        <w:pStyle w:val="ListParagraph"/>
        <w:numPr>
          <w:ilvl w:val="0"/>
          <w:numId w:val="10"/>
        </w:numPr>
        <w:rPr>
          <w:rFonts w:cs="Aharoni"/>
          <w:sz w:val="28"/>
          <w:szCs w:val="28"/>
        </w:rPr>
      </w:pPr>
      <w:r w:rsidRPr="0089702B">
        <w:rPr>
          <w:rFonts w:cs="Aharoni"/>
          <w:sz w:val="28"/>
          <w:szCs w:val="28"/>
        </w:rPr>
        <w:t>Existing pipeline can generate Encounter, Observation, and Condition resources.</w:t>
      </w:r>
    </w:p>
    <w:p w14:paraId="0FFAE6CD" w14:textId="77777777" w:rsidR="00DC36AB" w:rsidRPr="0089702B" w:rsidRDefault="00DC36AB">
      <w:pPr>
        <w:rPr>
          <w:sz w:val="28"/>
          <w:szCs w:val="28"/>
        </w:rPr>
      </w:pPr>
    </w:p>
    <w:p w14:paraId="2774F9BA" w14:textId="77777777" w:rsidR="00DC36AB" w:rsidRPr="0089702B" w:rsidRDefault="00000000">
      <w:pPr>
        <w:rPr>
          <w:b/>
          <w:bCs/>
          <w:sz w:val="28"/>
          <w:szCs w:val="28"/>
        </w:rPr>
      </w:pPr>
      <w:r w:rsidRPr="0089702B">
        <w:rPr>
          <w:b/>
          <w:bCs/>
          <w:sz w:val="28"/>
          <w:szCs w:val="28"/>
        </w:rPr>
        <w:t>Supported Inputs</w:t>
      </w:r>
    </w:p>
    <w:p w14:paraId="4D9D1156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HL7 v2 ADT Messages</w:t>
      </w:r>
    </w:p>
    <w:p w14:paraId="1DAEF5FF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CSV / Flat Files</w:t>
      </w:r>
    </w:p>
    <w:p w14:paraId="5C2004BD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(Architected for APIs, Kafka streams, DB dumps)</w:t>
      </w:r>
    </w:p>
    <w:p w14:paraId="53629CFA" w14:textId="77777777" w:rsidR="00DC36AB" w:rsidRPr="0089702B" w:rsidRDefault="00000000">
      <w:pPr>
        <w:rPr>
          <w:b/>
          <w:bCs/>
          <w:sz w:val="28"/>
          <w:szCs w:val="28"/>
        </w:rPr>
      </w:pPr>
      <w:r w:rsidRPr="0089702B">
        <w:rPr>
          <w:b/>
          <w:bCs/>
          <w:sz w:val="28"/>
          <w:szCs w:val="28"/>
        </w:rPr>
        <w:t>Standards Produced</w:t>
      </w:r>
    </w:p>
    <w:p w14:paraId="092D0641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FHIR R4 Bundles</w:t>
      </w:r>
    </w:p>
    <w:p w14:paraId="1F55A084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SNOMED Clinical Coding</w:t>
      </w:r>
    </w:p>
    <w:p w14:paraId="32FBA492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Structured Patient, Coverage, Claim, and Condition Resources</w:t>
      </w:r>
    </w:p>
    <w:p w14:paraId="7AE54CDA" w14:textId="77777777" w:rsidR="00DC36AB" w:rsidRDefault="00000000">
      <w:pPr>
        <w:pStyle w:val="Heading1"/>
        <w:rPr>
          <w:sz w:val="36"/>
          <w:szCs w:val="36"/>
        </w:rPr>
      </w:pPr>
      <w:r w:rsidRPr="0089702B">
        <w:rPr>
          <w:sz w:val="36"/>
          <w:szCs w:val="36"/>
        </w:rPr>
        <w:t>🏗️ Architecture (Simple Explanation)</w:t>
      </w:r>
    </w:p>
    <w:p w14:paraId="64141E8E" w14:textId="77777777" w:rsidR="0089702B" w:rsidRPr="0089702B" w:rsidRDefault="0089702B" w:rsidP="0089702B"/>
    <w:p w14:paraId="49C242E7" w14:textId="77777777" w:rsidR="00DC36AB" w:rsidRPr="00501E02" w:rsidRDefault="00000000">
      <w:pPr>
        <w:rPr>
          <w:b/>
          <w:bCs/>
          <w:color w:val="EE0000"/>
          <w:sz w:val="28"/>
          <w:szCs w:val="28"/>
        </w:rPr>
      </w:pPr>
      <w:r w:rsidRPr="00501E02">
        <w:rPr>
          <w:b/>
          <w:bCs/>
          <w:color w:val="EE0000"/>
          <w:sz w:val="28"/>
          <w:szCs w:val="28"/>
        </w:rPr>
        <w:t>Pipeline: Source → Adapter → Canonical Model → AI Layer → FHIR Builder → Bundle</w:t>
      </w:r>
    </w:p>
    <w:p w14:paraId="16F272EC" w14:textId="77777777" w:rsidR="00501E02" w:rsidRPr="00501E02" w:rsidRDefault="00501E02">
      <w:pPr>
        <w:rPr>
          <w:b/>
          <w:bCs/>
          <w:sz w:val="28"/>
          <w:szCs w:val="28"/>
        </w:rPr>
      </w:pPr>
    </w:p>
    <w:p w14:paraId="3C8D6D90" w14:textId="664EE879" w:rsidR="00DC36AB" w:rsidRPr="00501E02" w:rsidRDefault="00000000" w:rsidP="00501E02">
      <w:pPr>
        <w:ind w:left="360"/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>Layer Responsibilities</w:t>
      </w:r>
      <w:r w:rsidR="00501E02">
        <w:rPr>
          <w:b/>
          <w:bCs/>
          <w:sz w:val="28"/>
          <w:szCs w:val="28"/>
        </w:rPr>
        <w:t>:</w:t>
      </w:r>
    </w:p>
    <w:p w14:paraId="18B0F865" w14:textId="77777777" w:rsidR="00DC36AB" w:rsidRPr="00501E02" w:rsidRDefault="00000000" w:rsidP="00501E02">
      <w:pPr>
        <w:ind w:left="720"/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>Ingestion Layer</w:t>
      </w:r>
    </w:p>
    <w:p w14:paraId="5835EE51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Strategy Pattern</w:t>
      </w:r>
    </w:p>
    <w:p w14:paraId="28047909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Parses HL7/CSV without business assumptions</w:t>
      </w:r>
    </w:p>
    <w:p w14:paraId="4EA41F6B" w14:textId="77777777" w:rsidR="00DC36AB" w:rsidRPr="00501E02" w:rsidRDefault="00000000" w:rsidP="00501E02">
      <w:pPr>
        <w:ind w:left="720"/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>Canonical Layer</w:t>
      </w:r>
    </w:p>
    <w:p w14:paraId="09561AD9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Normalizes healthcare meaning</w:t>
      </w:r>
    </w:p>
    <w:p w14:paraId="4750BB8B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Decouples message format from semantics</w:t>
      </w:r>
    </w:p>
    <w:p w14:paraId="7F378C9F" w14:textId="77777777" w:rsidR="00DC36AB" w:rsidRPr="00501E02" w:rsidRDefault="00000000" w:rsidP="00501E02">
      <w:pPr>
        <w:ind w:left="720"/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>AI Intelligence Layer</w:t>
      </w:r>
    </w:p>
    <w:p w14:paraId="111ABAC2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Cleans messy real-world data</w:t>
      </w:r>
    </w:p>
    <w:p w14:paraId="497B55DB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Normalizes demographics</w:t>
      </w:r>
    </w:p>
    <w:p w14:paraId="1B9980F0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Detects claim anomalies</w:t>
      </w:r>
    </w:p>
    <w:p w14:paraId="6AF42A83" w14:textId="77777777" w:rsidR="00DC36AB" w:rsidRPr="00501E02" w:rsidRDefault="00000000" w:rsidP="00501E02">
      <w:pPr>
        <w:ind w:left="720"/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>FHIR Builder Layer</w:t>
      </w:r>
    </w:p>
    <w:p w14:paraId="340FCDB0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Converts canonical meaning into standard FHIR resources</w:t>
      </w:r>
    </w:p>
    <w:p w14:paraId="5D52BA91" w14:textId="77777777" w:rsidR="00DC36AB" w:rsidRPr="0089702B" w:rsidRDefault="00000000" w:rsidP="00501E02">
      <w:pPr>
        <w:pStyle w:val="ListBullet"/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89702B">
        <w:rPr>
          <w:sz w:val="28"/>
          <w:szCs w:val="28"/>
        </w:rPr>
        <w:t>Workflow-specific (Eligibility vs Claim)</w:t>
      </w:r>
    </w:p>
    <w:p w14:paraId="49CC4084" w14:textId="77777777" w:rsidR="00DC36AB" w:rsidRPr="0089702B" w:rsidRDefault="00DC36AB" w:rsidP="00501E02">
      <w:pPr>
        <w:ind w:left="360"/>
        <w:rPr>
          <w:sz w:val="36"/>
          <w:szCs w:val="36"/>
        </w:rPr>
      </w:pPr>
    </w:p>
    <w:p w14:paraId="3BD3DAC0" w14:textId="77777777" w:rsidR="00DC36AB" w:rsidRPr="0089702B" w:rsidRDefault="00000000">
      <w:pPr>
        <w:pStyle w:val="Heading2"/>
        <w:rPr>
          <w:sz w:val="36"/>
          <w:szCs w:val="36"/>
        </w:rPr>
      </w:pPr>
      <w:r w:rsidRPr="0089702B">
        <w:rPr>
          <w:sz w:val="36"/>
          <w:szCs w:val="36"/>
        </w:rPr>
        <w:t>High-Level Architecture Diagram</w:t>
      </w:r>
    </w:p>
    <w:p w14:paraId="4DFAD6E4" w14:textId="77777777" w:rsidR="0089702B" w:rsidRDefault="0089702B" w:rsidP="0089702B"/>
    <w:p w14:paraId="0CBF8965" w14:textId="1C6F4A15" w:rsidR="0089702B" w:rsidRDefault="00621DB9" w:rsidP="0089702B">
      <w:r w:rsidRPr="00621DB9">
        <w:rPr>
          <w:noProof/>
        </w:rPr>
        <w:drawing>
          <wp:inline distT="0" distB="0" distL="0" distR="0" wp14:anchorId="7479CBF6" wp14:editId="1D59DDD4">
            <wp:extent cx="5512435" cy="13037374"/>
            <wp:effectExtent l="0" t="0" r="0" b="5715"/>
            <wp:docPr id="791381370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81370" name="Picture 1" descr="A diagram of a mode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333" cy="1320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F6E0" w14:textId="0214D670" w:rsidR="0089702B" w:rsidRPr="0089702B" w:rsidRDefault="0089702B" w:rsidP="0089702B"/>
    <w:p w14:paraId="497BC693" w14:textId="77777777" w:rsidR="00DC36AB" w:rsidRDefault="00DC36AB"/>
    <w:p w14:paraId="2C7DD28A" w14:textId="77777777" w:rsidR="00DC36AB" w:rsidRDefault="00000000">
      <w:pPr>
        <w:pStyle w:val="Heading1"/>
        <w:rPr>
          <w:sz w:val="36"/>
          <w:szCs w:val="36"/>
        </w:rPr>
      </w:pPr>
      <w:r w:rsidRPr="0089702B">
        <w:rPr>
          <w:sz w:val="36"/>
          <w:szCs w:val="36"/>
        </w:rPr>
        <w:t>🤖 Where AI Fits</w:t>
      </w:r>
    </w:p>
    <w:p w14:paraId="50248670" w14:textId="77777777" w:rsidR="0089702B" w:rsidRPr="0089702B" w:rsidRDefault="0089702B" w:rsidP="0089702B"/>
    <w:p w14:paraId="7202C981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AI is intentionally placed between normalization and FHIR generation. It does not parse HL7 and does not generate FHIR; it enhances healthcare meaning.</w:t>
      </w:r>
    </w:p>
    <w:p w14:paraId="6FF93DBD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Normalizing inconsistent demographics</w:t>
      </w:r>
    </w:p>
    <w:p w14:paraId="47C280CF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Interpreting free-text diagnosis</w:t>
      </w:r>
    </w:p>
    <w:p w14:paraId="0BD45680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Flagging high-value claims (risk detection)</w:t>
      </w:r>
    </w:p>
    <w:p w14:paraId="6C07230C" w14:textId="77777777" w:rsidR="00DC36AB" w:rsidRDefault="00000000">
      <w:pPr>
        <w:pStyle w:val="Heading1"/>
        <w:rPr>
          <w:sz w:val="36"/>
          <w:szCs w:val="36"/>
        </w:rPr>
      </w:pPr>
      <w:r>
        <w:t xml:space="preserve">🧩 </w:t>
      </w:r>
      <w:r w:rsidRPr="0089702B">
        <w:rPr>
          <w:sz w:val="36"/>
          <w:szCs w:val="36"/>
        </w:rPr>
        <w:t>Extensibility (Core Design Goal)</w:t>
      </w:r>
    </w:p>
    <w:p w14:paraId="383300BA" w14:textId="77777777" w:rsidR="0089702B" w:rsidRPr="0089702B" w:rsidRDefault="0089702B" w:rsidP="0089702B"/>
    <w:p w14:paraId="68D86630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Add a New Source: Create a new IngestionAdapter. No controller changes.</w:t>
      </w:r>
    </w:p>
    <w:p w14:paraId="50D52FC1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Add a New Workflow: Create a new FhirUseCaseBuilder. No ingestion changes.</w:t>
      </w:r>
    </w:p>
    <w:p w14:paraId="1D95E3AB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Add Real AI: Replace MockAiIntelligenceService with LLM/NLP/Terminology services. No FHIR mapping changes.</w:t>
      </w:r>
    </w:p>
    <w:p w14:paraId="1A4BE7D2" w14:textId="77777777" w:rsidR="00DC36AB" w:rsidRDefault="00000000">
      <w:pPr>
        <w:pStyle w:val="Heading1"/>
        <w:rPr>
          <w:sz w:val="36"/>
          <w:szCs w:val="36"/>
        </w:rPr>
      </w:pPr>
      <w:r w:rsidRPr="0089702B">
        <w:rPr>
          <w:sz w:val="36"/>
          <w:szCs w:val="36"/>
        </w:rPr>
        <w:t>⚙️ How to Run</w:t>
      </w:r>
    </w:p>
    <w:p w14:paraId="477D8FF3" w14:textId="77777777" w:rsidR="0089702B" w:rsidRPr="0089702B" w:rsidRDefault="0089702B" w:rsidP="0089702B"/>
    <w:p w14:paraId="6D092ED0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Prerequisites: Java 17+, Maven</w:t>
      </w:r>
    </w:p>
    <w:p w14:paraId="1455E55D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Start the application: mvn spring-</w:t>
      </w:r>
      <w:proofErr w:type="gramStart"/>
      <w:r w:rsidRPr="0089702B">
        <w:rPr>
          <w:sz w:val="28"/>
          <w:szCs w:val="28"/>
        </w:rPr>
        <w:t>boot:run</w:t>
      </w:r>
      <w:proofErr w:type="gramEnd"/>
    </w:p>
    <w:p w14:paraId="3E4CE7BE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Open in browser: http://localhost:8080 (UI for live transformation)</w:t>
      </w:r>
    </w:p>
    <w:p w14:paraId="27633E64" w14:textId="77777777" w:rsidR="00DC36AB" w:rsidRDefault="00000000">
      <w:pPr>
        <w:pStyle w:val="Heading1"/>
        <w:rPr>
          <w:sz w:val="36"/>
          <w:szCs w:val="36"/>
        </w:rPr>
      </w:pPr>
      <w:r w:rsidRPr="0089702B">
        <w:rPr>
          <w:sz w:val="36"/>
          <w:szCs w:val="36"/>
        </w:rPr>
        <w:t>🧪 Demo Scenarios</w:t>
      </w:r>
    </w:p>
    <w:p w14:paraId="12EC7E2B" w14:textId="77777777" w:rsidR="0089702B" w:rsidRPr="0089702B" w:rsidRDefault="0089702B" w:rsidP="0089702B"/>
    <w:p w14:paraId="255D380E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1) Eligibility (HL7): Paste an HL7 ADT message → Patient + Coverage + Condition FHIR bundle (AI normalization, SNOMED mapping).</w:t>
      </w:r>
    </w:p>
    <w:p w14:paraId="043C2DA2" w14:textId="77777777" w:rsidR="00DC36AB" w:rsidRPr="0089702B" w:rsidRDefault="00000000">
      <w:pPr>
        <w:rPr>
          <w:sz w:val="28"/>
          <w:szCs w:val="28"/>
        </w:rPr>
      </w:pPr>
      <w:r w:rsidRPr="0089702B">
        <w:rPr>
          <w:sz w:val="28"/>
          <w:szCs w:val="28"/>
        </w:rPr>
        <w:t>2) Claims (CSV): Paste CLM9999,</w:t>
      </w:r>
      <w:proofErr w:type="gramStart"/>
      <w:r w:rsidRPr="0089702B">
        <w:rPr>
          <w:sz w:val="28"/>
          <w:szCs w:val="28"/>
        </w:rPr>
        <w:t>12345,PROV001,HMO</w:t>
      </w:r>
      <w:proofErr w:type="gramEnd"/>
      <w:r w:rsidRPr="0089702B">
        <w:rPr>
          <w:sz w:val="28"/>
          <w:szCs w:val="28"/>
        </w:rPr>
        <w:t>123,2024-03-</w:t>
      </w:r>
      <w:proofErr w:type="gramStart"/>
      <w:r w:rsidRPr="0089702B">
        <w:rPr>
          <w:sz w:val="28"/>
          <w:szCs w:val="28"/>
        </w:rPr>
        <w:t>01,E</w:t>
      </w:r>
      <w:proofErr w:type="gramEnd"/>
      <w:r w:rsidRPr="0089702B">
        <w:rPr>
          <w:sz w:val="28"/>
          <w:szCs w:val="28"/>
        </w:rPr>
        <w:t>11.9,99213,25000.00 → FHIR Claim resource (AI anomaly detection).</w:t>
      </w:r>
    </w:p>
    <w:p w14:paraId="13AF4A57" w14:textId="77777777" w:rsidR="00DC36AB" w:rsidRDefault="00DC36AB"/>
    <w:p w14:paraId="46C39EB5" w14:textId="77777777" w:rsidR="00DC36AB" w:rsidRPr="0089702B" w:rsidRDefault="00000000">
      <w:pPr>
        <w:pStyle w:val="Heading2"/>
        <w:rPr>
          <w:sz w:val="36"/>
          <w:szCs w:val="36"/>
        </w:rPr>
      </w:pPr>
      <w:r w:rsidRPr="0089702B">
        <w:rPr>
          <w:sz w:val="36"/>
          <w:szCs w:val="36"/>
        </w:rPr>
        <w:t>Internal Component Diagram</w:t>
      </w:r>
    </w:p>
    <w:p w14:paraId="59AC5AF2" w14:textId="4AE2C313" w:rsidR="00DC36AB" w:rsidRDefault="00DC36AB"/>
    <w:p w14:paraId="7A110FC0" w14:textId="10721B2E" w:rsidR="0089702B" w:rsidRDefault="0089702B">
      <w:r w:rsidRPr="0089702B">
        <w:rPr>
          <w:noProof/>
        </w:rPr>
        <w:drawing>
          <wp:inline distT="0" distB="0" distL="0" distR="0" wp14:anchorId="04896458" wp14:editId="1E0C3EF6">
            <wp:extent cx="10455319" cy="6626087"/>
            <wp:effectExtent l="0" t="0" r="0" b="3810"/>
            <wp:docPr id="349782492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82492" name="Picture 1" descr="A diagram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80027" cy="670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E3E9" w14:textId="77777777" w:rsidR="00DC36AB" w:rsidRDefault="00DC36AB"/>
    <w:p w14:paraId="3DEA7EC2" w14:textId="39112952" w:rsidR="0089702B" w:rsidRPr="00621DB9" w:rsidRDefault="00000000" w:rsidP="00621DB9">
      <w:pPr>
        <w:pStyle w:val="Heading1"/>
        <w:rPr>
          <w:sz w:val="36"/>
          <w:szCs w:val="36"/>
        </w:rPr>
      </w:pPr>
      <w:r w:rsidRPr="0089702B">
        <w:rPr>
          <w:rFonts w:ascii="Apple Color Emoji" w:hAnsi="Apple Color Emoji" w:cs="Apple Color Emoji"/>
          <w:sz w:val="36"/>
          <w:szCs w:val="36"/>
        </w:rPr>
        <w:t>📈</w:t>
      </w:r>
      <w:r w:rsidRPr="0089702B">
        <w:rPr>
          <w:sz w:val="36"/>
          <w:szCs w:val="36"/>
        </w:rPr>
        <w:t xml:space="preserve"> Scalability Vision</w:t>
      </w:r>
    </w:p>
    <w:p w14:paraId="5F066CFF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Current: Modular monolith (fast iteration)</w:t>
      </w:r>
    </w:p>
    <w:p w14:paraId="149058EB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Future: Ingestion Service, AI Intelligence Service, Terminology Service, Workflow Transformation Services</w:t>
      </w:r>
    </w:p>
    <w:p w14:paraId="00AFE087" w14:textId="77777777" w:rsidR="00DC36AB" w:rsidRPr="0089702B" w:rsidRDefault="00000000">
      <w:pPr>
        <w:pStyle w:val="ListBullet"/>
        <w:rPr>
          <w:sz w:val="28"/>
          <w:szCs w:val="28"/>
        </w:rPr>
      </w:pPr>
      <w:r w:rsidRPr="0089702B">
        <w:rPr>
          <w:sz w:val="28"/>
          <w:szCs w:val="28"/>
        </w:rPr>
        <w:t>Stateless processing enables horizontal scaling behind a load balancer</w:t>
      </w:r>
    </w:p>
    <w:p w14:paraId="76455483" w14:textId="77777777" w:rsidR="00DC36AB" w:rsidRDefault="00000000">
      <w:pPr>
        <w:pStyle w:val="Heading1"/>
        <w:rPr>
          <w:sz w:val="36"/>
          <w:szCs w:val="36"/>
        </w:rPr>
      </w:pPr>
      <w:r w:rsidRPr="0089702B">
        <w:rPr>
          <w:sz w:val="36"/>
          <w:szCs w:val="36"/>
        </w:rPr>
        <w:t>🎯 Why This Matters for NHCX / ABDM</w:t>
      </w:r>
    </w:p>
    <w:p w14:paraId="6D540391" w14:textId="77777777" w:rsidR="0089702B" w:rsidRPr="0089702B" w:rsidRDefault="0089702B" w:rsidP="0089702B"/>
    <w:p w14:paraId="5CC80BA4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A national health exchange cannot depend on one message format, vendor, or workflow</w:t>
      </w:r>
    </w:p>
    <w:p w14:paraId="01738719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Acts as a universal adapter between legacy hospital systems and modern FHIR ecosystems</w:t>
      </w:r>
    </w:p>
    <w:p w14:paraId="48126881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Reduces onboarding effort for providers and insurers</w:t>
      </w:r>
    </w:p>
    <w:p w14:paraId="50FCA5DB" w14:textId="77777777" w:rsidR="00B63B15" w:rsidRDefault="00B63B15"/>
    <w:p w14:paraId="053FECF7" w14:textId="486E77F4" w:rsidR="00DC36AB" w:rsidRPr="00B63B15" w:rsidRDefault="00000000">
      <w:pPr>
        <w:rPr>
          <w:b/>
          <w:bCs/>
          <w:sz w:val="28"/>
          <w:szCs w:val="28"/>
        </w:rPr>
      </w:pPr>
      <w:r w:rsidRPr="00B63B15">
        <w:rPr>
          <w:b/>
          <w:bCs/>
          <w:sz w:val="28"/>
          <w:szCs w:val="28"/>
        </w:rPr>
        <w:t>Key Takeaway</w:t>
      </w:r>
    </w:p>
    <w:p w14:paraId="00728558" w14:textId="77777777" w:rsidR="00DC36AB" w:rsidRPr="00B63B15" w:rsidRDefault="00000000">
      <w:pPr>
        <w:rPr>
          <w:sz w:val="28"/>
          <w:szCs w:val="28"/>
        </w:rPr>
      </w:pPr>
      <w:r w:rsidRPr="00B63B15">
        <w:rPr>
          <w:sz w:val="28"/>
          <w:szCs w:val="28"/>
        </w:rPr>
        <w:t>We built a foundation layer that allows heterogeneous healthcare systems to participate in standardized digital health ecosystems — the missing middle layer in interoperability.</w:t>
      </w:r>
    </w:p>
    <w:p w14:paraId="44722AA1" w14:textId="77777777" w:rsidR="00DC36AB" w:rsidRDefault="00DC36AB"/>
    <w:p w14:paraId="6ADA3C07" w14:textId="77777777" w:rsidR="00DC36AB" w:rsidRDefault="00000000">
      <w:pPr>
        <w:pStyle w:val="Heading1"/>
        <w:rPr>
          <w:sz w:val="36"/>
          <w:szCs w:val="36"/>
        </w:rPr>
      </w:pPr>
      <w:r w:rsidRPr="00B63B15">
        <w:rPr>
          <w:sz w:val="36"/>
          <w:szCs w:val="36"/>
        </w:rPr>
        <w:t>Architecture Overview – Platform Vision</w:t>
      </w:r>
    </w:p>
    <w:p w14:paraId="77835AE6" w14:textId="77777777" w:rsidR="00B63B15" w:rsidRPr="00B63B15" w:rsidRDefault="00B63B15" w:rsidP="00B63B15"/>
    <w:p w14:paraId="513DC02B" w14:textId="77777777" w:rsidR="00DC36AB" w:rsidRPr="00B63B15" w:rsidRDefault="00000000">
      <w:pPr>
        <w:rPr>
          <w:sz w:val="28"/>
          <w:szCs w:val="28"/>
        </w:rPr>
      </w:pPr>
      <w:r w:rsidRPr="00B63B15">
        <w:rPr>
          <w:sz w:val="28"/>
          <w:szCs w:val="28"/>
        </w:rPr>
        <w:t>This section summarizes the architectural philosophy, extensibility strategy, and scalability roadmap of the NHCX Interoperability Platform.</w:t>
      </w:r>
    </w:p>
    <w:p w14:paraId="4902138D" w14:textId="77777777" w:rsidR="00DC36AB" w:rsidRPr="00B63B15" w:rsidRDefault="00000000">
      <w:pPr>
        <w:rPr>
          <w:b/>
          <w:bCs/>
          <w:sz w:val="28"/>
          <w:szCs w:val="28"/>
        </w:rPr>
      </w:pPr>
      <w:r w:rsidRPr="00B63B15">
        <w:rPr>
          <w:b/>
          <w:bCs/>
          <w:sz w:val="28"/>
          <w:szCs w:val="28"/>
        </w:rPr>
        <w:t>What We Built</w:t>
      </w:r>
    </w:p>
    <w:p w14:paraId="6FB4F192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Accepts heterogeneous healthcare data (HL7 v2, CSV today)</w:t>
      </w:r>
    </w:p>
    <w:p w14:paraId="0BA456B8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Normalizes into a canonical domain model</w:t>
      </w:r>
    </w:p>
    <w:p w14:paraId="3A9F7AE1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Enriches clinical data using SNOMED terminology</w:t>
      </w:r>
    </w:p>
    <w:p w14:paraId="1339DFC2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Transforms into standards-based FHIR R4 bundles</w:t>
      </w:r>
    </w:p>
    <w:p w14:paraId="2E49DD09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Supports multiple business use cases (Eligibility today, Claims tomorrow)</w:t>
      </w:r>
    </w:p>
    <w:p w14:paraId="62B167A7" w14:textId="77777777" w:rsidR="00DC36AB" w:rsidRPr="00B63B15" w:rsidRDefault="00000000">
      <w:pPr>
        <w:rPr>
          <w:sz w:val="28"/>
          <w:szCs w:val="28"/>
        </w:rPr>
      </w:pPr>
      <w:r w:rsidRPr="00B63B15">
        <w:rPr>
          <w:sz w:val="28"/>
          <w:szCs w:val="28"/>
        </w:rPr>
        <w:t>This is not a single-purpose transformer. It is an extensible transformation engine.</w:t>
      </w:r>
    </w:p>
    <w:p w14:paraId="4AE25326" w14:textId="77777777" w:rsidR="00DC36AB" w:rsidRPr="00B63B15" w:rsidRDefault="00000000">
      <w:pPr>
        <w:pStyle w:val="Heading2"/>
        <w:rPr>
          <w:sz w:val="36"/>
          <w:szCs w:val="36"/>
        </w:rPr>
      </w:pPr>
      <w:r w:rsidRPr="00B63B15">
        <w:rPr>
          <w:sz w:val="36"/>
          <w:szCs w:val="36"/>
        </w:rPr>
        <w:t>Architecture Flow Diagram</w:t>
      </w:r>
    </w:p>
    <w:p w14:paraId="679CBEB4" w14:textId="77777777" w:rsidR="00DC36AB" w:rsidRDefault="00DC36AB"/>
    <w:p w14:paraId="2B50C774" w14:textId="5500822F" w:rsidR="0089702B" w:rsidRDefault="0089702B">
      <w:r>
        <w:rPr>
          <w:noProof/>
        </w:rPr>
        <w:drawing>
          <wp:inline distT="0" distB="0" distL="0" distR="0" wp14:anchorId="0F8F2523" wp14:editId="7FBF35EF">
            <wp:extent cx="6997065" cy="6480313"/>
            <wp:effectExtent l="0" t="0" r="635" b="0"/>
            <wp:docPr id="786376937" name="Picture 786376937" descr="A diagram of a architecture overview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6937" name="Picture 786376937" descr="A diagram of a architecture overview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2850" cy="65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1A08" w14:textId="77777777" w:rsidR="00B63B15" w:rsidRDefault="00B63B15">
      <w:pPr>
        <w:pStyle w:val="Heading2"/>
      </w:pPr>
    </w:p>
    <w:p w14:paraId="2D884BEC" w14:textId="77777777" w:rsidR="00B63B15" w:rsidRDefault="00B63B15">
      <w:pPr>
        <w:pStyle w:val="Heading2"/>
      </w:pPr>
    </w:p>
    <w:p w14:paraId="034D00CC" w14:textId="7F63AA46" w:rsidR="00DC36AB" w:rsidRPr="00B63B15" w:rsidRDefault="00000000">
      <w:pPr>
        <w:pStyle w:val="Heading2"/>
        <w:rPr>
          <w:sz w:val="36"/>
          <w:szCs w:val="36"/>
        </w:rPr>
      </w:pPr>
      <w:r w:rsidRPr="00B63B15">
        <w:rPr>
          <w:sz w:val="36"/>
          <w:szCs w:val="36"/>
        </w:rPr>
        <w:t>Architectural Patterns Used</w:t>
      </w:r>
    </w:p>
    <w:p w14:paraId="25960F59" w14:textId="77777777" w:rsidR="0089702B" w:rsidRDefault="0089702B" w:rsidP="0089702B"/>
    <w:p w14:paraId="4FCA4CA0" w14:textId="1EEA8399" w:rsidR="0089702B" w:rsidRPr="0089702B" w:rsidRDefault="0089702B" w:rsidP="0089702B">
      <w:r>
        <w:rPr>
          <w:noProof/>
        </w:rPr>
        <w:drawing>
          <wp:inline distT="0" distB="0" distL="0" distR="0" wp14:anchorId="25C74685" wp14:editId="61B58A5A">
            <wp:extent cx="7169150" cy="7460974"/>
            <wp:effectExtent l="0" t="0" r="0" b="0"/>
            <wp:docPr id="2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19523" cy="75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39D2" w14:textId="77777777" w:rsidR="00DC36AB" w:rsidRPr="00B63B15" w:rsidRDefault="00DC36AB">
      <w:pPr>
        <w:rPr>
          <w:b/>
          <w:bCs/>
          <w:sz w:val="36"/>
          <w:szCs w:val="36"/>
        </w:rPr>
      </w:pPr>
    </w:p>
    <w:p w14:paraId="54CB1178" w14:textId="77777777" w:rsidR="00DC36AB" w:rsidRPr="00B63B15" w:rsidRDefault="00000000">
      <w:pPr>
        <w:rPr>
          <w:b/>
          <w:bCs/>
          <w:sz w:val="36"/>
          <w:szCs w:val="36"/>
        </w:rPr>
      </w:pPr>
      <w:r w:rsidRPr="00B63B15">
        <w:rPr>
          <w:b/>
          <w:bCs/>
          <w:sz w:val="36"/>
          <w:szCs w:val="36"/>
        </w:rPr>
        <w:t>Why This Is a Platform</w:t>
      </w:r>
    </w:p>
    <w:p w14:paraId="0D6A13D2" w14:textId="77777777" w:rsidR="00DC36AB" w:rsidRPr="00501E02" w:rsidRDefault="00000000">
      <w:pPr>
        <w:rPr>
          <w:sz w:val="32"/>
          <w:szCs w:val="32"/>
        </w:rPr>
      </w:pPr>
      <w:r w:rsidRPr="00501E02">
        <w:rPr>
          <w:sz w:val="32"/>
          <w:szCs w:val="32"/>
        </w:rPr>
        <w:t>We decouple source format, domain meaning, terminology enrichment, and output standards. This separation enables extension without rewriting core logic.</w:t>
      </w:r>
    </w:p>
    <w:p w14:paraId="39870FFE" w14:textId="1ACC30C8" w:rsidR="00DC36AB" w:rsidRPr="00501E02" w:rsidRDefault="00501E02">
      <w:pPr>
        <w:rPr>
          <w:b/>
          <w:bCs/>
          <w:sz w:val="28"/>
          <w:szCs w:val="28"/>
        </w:rPr>
      </w:pPr>
      <w:r w:rsidRPr="00501E02">
        <w:rPr>
          <w:b/>
          <w:bCs/>
          <w:sz w:val="28"/>
          <w:szCs w:val="28"/>
        </w:rPr>
        <w:t>Extensibility Strategy</w:t>
      </w:r>
    </w:p>
    <w:p w14:paraId="0D7D5FAA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Phase 1 – Modular Monolith (Current)</w:t>
      </w:r>
    </w:p>
    <w:p w14:paraId="1DCBAED0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Phase 2 – Domain-Based Services (Ingestion, Terminology, Eligibility, Claims)</w:t>
      </w:r>
    </w:p>
    <w:p w14:paraId="29FE21ED" w14:textId="77777777" w:rsidR="00DC36AB" w:rsidRPr="00B63B15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Phase 3 – Event-Driven Architecture (Kafka, async transformation, replay capability)</w:t>
      </w:r>
    </w:p>
    <w:p w14:paraId="15685C10" w14:textId="411521E9" w:rsidR="00DC36AB" w:rsidRDefault="00000000">
      <w:pPr>
        <w:pStyle w:val="ListBullet"/>
        <w:rPr>
          <w:sz w:val="28"/>
          <w:szCs w:val="28"/>
        </w:rPr>
      </w:pPr>
      <w:r w:rsidRPr="00B63B15">
        <w:rPr>
          <w:sz w:val="28"/>
          <w:szCs w:val="28"/>
        </w:rPr>
        <w:t>Stateless processing enables horizontal scaling behind load balancers and Kubernetes autoscaling</w:t>
      </w:r>
      <w:r w:rsidR="00501E02">
        <w:rPr>
          <w:sz w:val="28"/>
          <w:szCs w:val="28"/>
        </w:rPr>
        <w:t>.</w:t>
      </w:r>
    </w:p>
    <w:p w14:paraId="6CACED36" w14:textId="77777777" w:rsidR="00501E02" w:rsidRDefault="00501E02" w:rsidP="00501E0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69CAAB4A" w14:textId="77777777" w:rsidR="00501E02" w:rsidRDefault="00501E02" w:rsidP="00501E0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46445918" w14:textId="2EA56799" w:rsidR="00501E02" w:rsidRPr="00B63B15" w:rsidRDefault="00501E02" w:rsidP="00501E02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  <w:r w:rsidRPr="00501E02">
        <w:rPr>
          <w:noProof/>
          <w:sz w:val="28"/>
          <w:szCs w:val="28"/>
        </w:rPr>
        <w:drawing>
          <wp:inline distT="0" distB="0" distL="0" distR="0" wp14:anchorId="1A8435F2" wp14:editId="7DCF6CCC">
            <wp:extent cx="10989535" cy="8321758"/>
            <wp:effectExtent l="0" t="0" r="0" b="0"/>
            <wp:docPr id="1873621847" name="Picture 1" descr="A diagram of a road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21847" name="Picture 1" descr="A diagram of a roadmap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92096" cy="839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E02" w:rsidRPr="00B63B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727C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B35D8"/>
    <w:multiLevelType w:val="multilevel"/>
    <w:tmpl w:val="B99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3239D"/>
    <w:multiLevelType w:val="hybridMultilevel"/>
    <w:tmpl w:val="FDC8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407C4"/>
    <w:multiLevelType w:val="hybridMultilevel"/>
    <w:tmpl w:val="33A4A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56572"/>
    <w:multiLevelType w:val="hybridMultilevel"/>
    <w:tmpl w:val="13C4C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739952">
    <w:abstractNumId w:val="8"/>
  </w:num>
  <w:num w:numId="2" w16cid:durableId="920791211">
    <w:abstractNumId w:val="6"/>
  </w:num>
  <w:num w:numId="3" w16cid:durableId="1885018078">
    <w:abstractNumId w:val="5"/>
  </w:num>
  <w:num w:numId="4" w16cid:durableId="195311576">
    <w:abstractNumId w:val="4"/>
  </w:num>
  <w:num w:numId="5" w16cid:durableId="1503396218">
    <w:abstractNumId w:val="7"/>
  </w:num>
  <w:num w:numId="6" w16cid:durableId="1177236710">
    <w:abstractNumId w:val="3"/>
  </w:num>
  <w:num w:numId="7" w16cid:durableId="1932160792">
    <w:abstractNumId w:val="2"/>
  </w:num>
  <w:num w:numId="8" w16cid:durableId="710156145">
    <w:abstractNumId w:val="1"/>
  </w:num>
  <w:num w:numId="9" w16cid:durableId="1126118815">
    <w:abstractNumId w:val="0"/>
  </w:num>
  <w:num w:numId="10" w16cid:durableId="2126843648">
    <w:abstractNumId w:val="10"/>
  </w:num>
  <w:num w:numId="11" w16cid:durableId="1519809945">
    <w:abstractNumId w:val="9"/>
  </w:num>
  <w:num w:numId="12" w16cid:durableId="1324315928">
    <w:abstractNumId w:val="12"/>
  </w:num>
  <w:num w:numId="13" w16cid:durableId="6425815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2B0"/>
    <w:rsid w:val="00501E02"/>
    <w:rsid w:val="00621DB9"/>
    <w:rsid w:val="00653862"/>
    <w:rsid w:val="006C764F"/>
    <w:rsid w:val="008412F2"/>
    <w:rsid w:val="0089702B"/>
    <w:rsid w:val="00917243"/>
    <w:rsid w:val="00AA1D8D"/>
    <w:rsid w:val="00B47730"/>
    <w:rsid w:val="00B63B15"/>
    <w:rsid w:val="00C337E8"/>
    <w:rsid w:val="00C671BC"/>
    <w:rsid w:val="00CA36C0"/>
    <w:rsid w:val="00CB0664"/>
    <w:rsid w:val="00DC3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E2C00"/>
  <w14:defaultImageDpi w14:val="300"/>
  <w15:docId w15:val="{E42982C3-B07B-5F44-B303-86C9F9CE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653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53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5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775</Words>
  <Characters>5108</Characters>
  <Application>Microsoft Office Word</Application>
  <DocSecurity>0</DocSecurity>
  <Lines>196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Murali Nidugondi</cp:lastModifiedBy>
  <cp:revision>11</cp:revision>
  <dcterms:created xsi:type="dcterms:W3CDTF">2013-12-23T23:15:00Z</dcterms:created>
  <dcterms:modified xsi:type="dcterms:W3CDTF">2026-03-01T11:22:00Z</dcterms:modified>
  <cp:category/>
</cp:coreProperties>
</file>