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customXml/itemProps9.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people.xml" ContentType="application/vnd.openxmlformats-officedocument.wordprocessingml.people+xml"/>
  <Override PartName="/word/commentsIds.xml" ContentType="application/vnd.openxmlformats-officedocument.wordprocessingml.commentsIds+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70A93" w:rsidRPr="004A16D3" w:rsidRDefault="00863DAB">
      <w:pPr>
        <w:pStyle w:val="CN"/>
        <w:widowControl w:val="0"/>
        <w:autoSpaceDE w:val="0"/>
        <w:autoSpaceDN w:val="0"/>
        <w:adjustRightInd w:val="0"/>
        <w:spacing w:line="480" w:lineRule="auto"/>
        <w:rPr>
          <w:rFonts w:ascii="Times" w:hAnsi="Times" w:cs="Times"/>
          <w:b/>
          <w:bCs/>
        </w:rPr>
      </w:pPr>
      <w:r w:rsidRPr="004A16D3">
        <w:rPr>
          <w:rStyle w:val="Tag"/>
          <w:rFonts w:ascii="Times" w:hAnsi="Times" w:cs="Times"/>
          <w:b/>
          <w:bCs/>
        </w:rPr>
        <w:t>&lt;CN&gt;</w:t>
      </w:r>
      <w:r w:rsidR="00BD280B" w:rsidRPr="004A16D3">
        <w:rPr>
          <w:rStyle w:val="CW"/>
          <w:rFonts w:ascii="Times" w:hAnsi="Times" w:cs="Times"/>
          <w:b/>
          <w:bCs/>
        </w:rPr>
        <w:t>CHAPTER</w:t>
      </w:r>
      <w:r w:rsidR="00BD280B" w:rsidRPr="004A16D3">
        <w:rPr>
          <w:rFonts w:ascii="Times" w:hAnsi="Times" w:cs="Times"/>
          <w:b/>
          <w:bCs/>
        </w:rPr>
        <w:t xml:space="preserve"> </w:t>
      </w:r>
      <w:r w:rsidRPr="004A16D3">
        <w:rPr>
          <w:rStyle w:val="CN0"/>
          <w:rFonts w:ascii="Times" w:hAnsi="Times" w:cs="Times"/>
          <w:b/>
          <w:bCs/>
        </w:rPr>
        <w:t>35</w:t>
      </w:r>
    </w:p>
    <w:p w:rsidR="00A70A93" w:rsidRPr="004A16D3" w:rsidRDefault="00863DAB">
      <w:pPr>
        <w:pStyle w:val="CT"/>
        <w:widowControl w:val="0"/>
        <w:autoSpaceDE w:val="0"/>
        <w:autoSpaceDN w:val="0"/>
        <w:adjustRightInd w:val="0"/>
        <w:spacing w:line="480" w:lineRule="auto"/>
        <w:rPr>
          <w:rFonts w:ascii="Times" w:hAnsi="Times" w:cs="Times"/>
          <w:b/>
          <w:bCs/>
        </w:rPr>
      </w:pPr>
      <w:r w:rsidRPr="004A16D3">
        <w:rPr>
          <w:rStyle w:val="Tag"/>
          <w:rFonts w:ascii="Times" w:hAnsi="Times" w:cs="Times"/>
          <w:b/>
          <w:bCs/>
        </w:rPr>
        <w:t>&lt;CT&gt;</w:t>
      </w:r>
      <w:r w:rsidRPr="004A16D3">
        <w:rPr>
          <w:rFonts w:ascii="Times" w:hAnsi="Times" w:cs="Times"/>
          <w:b/>
          <w:bCs/>
        </w:rPr>
        <w:t>Prematurity</w:t>
      </w:r>
    </w:p>
    <w:p w:rsidR="00A70A93" w:rsidRPr="004A16D3" w:rsidRDefault="00863DAB">
      <w:pPr>
        <w:pStyle w:val="CAU"/>
        <w:widowControl w:val="0"/>
        <w:autoSpaceDE w:val="0"/>
        <w:autoSpaceDN w:val="0"/>
        <w:adjustRightInd w:val="0"/>
        <w:spacing w:line="480" w:lineRule="auto"/>
        <w:rPr>
          <w:rFonts w:ascii="Times" w:hAnsi="Times" w:cs="Times"/>
          <w:b/>
          <w:bCs/>
        </w:rPr>
      </w:pPr>
      <w:r w:rsidRPr="004A16D3">
        <w:rPr>
          <w:rStyle w:val="Tag"/>
          <w:rFonts w:ascii="Times" w:hAnsi="Times" w:cs="Times"/>
          <w:b/>
          <w:bCs/>
        </w:rPr>
        <w:t>&lt;CAU&gt;</w:t>
      </w:r>
      <w:r w:rsidRPr="004A16D3">
        <w:rPr>
          <w:rFonts w:ascii="Times" w:hAnsi="Times" w:cs="Times"/>
          <w:b/>
          <w:bCs/>
        </w:rPr>
        <w:t xml:space="preserve">Lindsay Boland, Madeline Keyes, </w:t>
      </w:r>
      <w:r w:rsidR="00BD280B" w:rsidRPr="004A16D3">
        <w:rPr>
          <w:rFonts w:ascii="Times" w:hAnsi="Times" w:cs="Times"/>
          <w:b/>
          <w:bCs/>
        </w:rPr>
        <w:t xml:space="preserve">and </w:t>
      </w:r>
      <w:r w:rsidRPr="004A16D3">
        <w:rPr>
          <w:rFonts w:ascii="Times" w:hAnsi="Times" w:cs="Times"/>
          <w:b/>
          <w:bCs/>
        </w:rPr>
        <w:t>Yvette Penner</w:t>
      </w:r>
    </w:p>
    <w:p w:rsidR="00A70A93" w:rsidRPr="004A16D3" w:rsidRDefault="00863DAB">
      <w:pPr>
        <w:pStyle w:val="TXT-FLUSH"/>
        <w:widowControl w:val="0"/>
        <w:autoSpaceDE w:val="0"/>
        <w:autoSpaceDN w:val="0"/>
        <w:adjustRightInd w:val="0"/>
        <w:spacing w:line="480" w:lineRule="auto"/>
        <w:rPr>
          <w:rFonts w:ascii="Times" w:hAnsi="Times" w:cs="Times"/>
          <w:bCs/>
        </w:rPr>
      </w:pPr>
      <w:r w:rsidRPr="004A16D3">
        <w:rPr>
          <w:rFonts w:cs="Times"/>
          <w:bCs/>
        </w:rPr>
        <w:t xml:space="preserve">Globally, more than </w:t>
      </w:r>
      <w:r w:rsidR="00AF3E88" w:rsidRPr="004A16D3">
        <w:rPr>
          <w:rFonts w:cs="Times"/>
          <w:bCs/>
        </w:rPr>
        <w:t>one</w:t>
      </w:r>
      <w:r w:rsidRPr="004A16D3">
        <w:rPr>
          <w:rFonts w:cs="Times"/>
          <w:bCs/>
        </w:rPr>
        <w:t xml:space="preserve"> in </w:t>
      </w:r>
      <w:r w:rsidR="00AF3E88" w:rsidRPr="004A16D3">
        <w:rPr>
          <w:rFonts w:cs="Times"/>
          <w:bCs/>
        </w:rPr>
        <w:t>four</w:t>
      </w:r>
      <w:r w:rsidRPr="004A16D3">
        <w:rPr>
          <w:rFonts w:cs="Times"/>
          <w:bCs/>
        </w:rPr>
        <w:t xml:space="preserve"> of all live births are newborns small for gestational age, of low birthweight, or preterm, and these “small vulnerable newborns” account for more than 1 million deaths yearly. </w:t>
      </w:r>
      <w:r w:rsidRPr="004A16D3">
        <w:rPr>
          <w:rFonts w:ascii="Times" w:hAnsi="Times" w:cs="Times"/>
          <w:bCs/>
        </w:rPr>
        <w:t xml:space="preserve">The preterm infant (&lt;37 weeks gestation) is born with limited nutrient stores, the highest nutrient demands (per kg) in the lifecycle, and organ system immaturity that present substantial challenges for replicating </w:t>
      </w:r>
      <w:r w:rsidRPr="004A16D3">
        <w:rPr>
          <w:rFonts w:ascii="Times" w:hAnsi="Times" w:cs="Times"/>
          <w:bCs/>
          <w:i/>
          <w:iCs/>
        </w:rPr>
        <w:t>in utero</w:t>
      </w:r>
      <w:r w:rsidRPr="004A16D3">
        <w:rPr>
          <w:rFonts w:ascii="Times" w:hAnsi="Times" w:cs="Times"/>
          <w:bCs/>
        </w:rPr>
        <w:t xml:space="preserve"> growth and development (</w:t>
      </w:r>
      <w:r w:rsidRPr="004A16D3">
        <w:rPr>
          <w:rStyle w:val="TableCitation"/>
          <w:rFonts w:ascii="Times" w:hAnsi="Times" w:cs="Times"/>
          <w:bCs/>
        </w:rPr>
        <w:t>Table 35</w:t>
      </w:r>
      <w:r w:rsidR="00AF3E88" w:rsidRPr="004A16D3">
        <w:rPr>
          <w:rStyle w:val="TableCitation"/>
          <w:rFonts w:ascii="Times" w:hAnsi="Times" w:cs="Times"/>
          <w:bCs/>
        </w:rPr>
        <w:t>.</w:t>
      </w:r>
      <w:r w:rsidRPr="004A16D3">
        <w:rPr>
          <w:rStyle w:val="TableCitation"/>
          <w:rFonts w:ascii="Times" w:hAnsi="Times" w:cs="Times"/>
          <w:bCs/>
        </w:rPr>
        <w:t>1</w:t>
      </w:r>
      <w:r w:rsidRPr="004A16D3">
        <w:rPr>
          <w:rFonts w:ascii="Times" w:hAnsi="Times" w:cs="Times"/>
          <w:bCs/>
        </w:rPr>
        <w:t>).</w:t>
      </w:r>
      <w:r w:rsidRPr="004A16D3">
        <w:t xml:space="preserve"> </w:t>
      </w:r>
      <w:r w:rsidRPr="004A16D3">
        <w:rPr>
          <w:rFonts w:ascii="Times" w:hAnsi="Times" w:cs="Times"/>
          <w:bCs/>
        </w:rPr>
        <w:t>Complications of prematurity such as osteopenia, anemia, and respiratory distress add to metabolic demand and some, like necrotizing enterocolitis (NEC), disrupt nutrient delivery (</w:t>
      </w:r>
      <w:r w:rsidRPr="004A16D3">
        <w:rPr>
          <w:rStyle w:val="TableCitation"/>
          <w:rFonts w:ascii="Times" w:hAnsi="Times" w:cs="Times"/>
          <w:bCs/>
        </w:rPr>
        <w:t>Table 35</w:t>
      </w:r>
      <w:r w:rsidR="00AF3E88" w:rsidRPr="004A16D3">
        <w:rPr>
          <w:rStyle w:val="TableCitation"/>
          <w:rFonts w:ascii="Times" w:hAnsi="Times" w:cs="Times"/>
          <w:bCs/>
        </w:rPr>
        <w:t>.</w:t>
      </w:r>
      <w:r w:rsidRPr="004A16D3">
        <w:rPr>
          <w:rStyle w:val="TableCitation"/>
          <w:rFonts w:ascii="Times" w:hAnsi="Times" w:cs="Times"/>
          <w:bCs/>
        </w:rPr>
        <w:t>2</w:t>
      </w:r>
      <w:r w:rsidRPr="004A16D3">
        <w:rPr>
          <w:rFonts w:ascii="Times" w:hAnsi="Times" w:cs="Times"/>
          <w:bCs/>
        </w:rPr>
        <w:t>). Multidisciplinary teams in neonatal intensive care units (NICU) strive to optimize growth and nutrient delivery despite these challenges to ensure optimal developmental, cardiometabolic, body composition and overall health outcomes.</w:t>
      </w:r>
      <w:r w:rsidRPr="004A16D3">
        <w:rPr>
          <w:rStyle w:val="citebib"/>
          <w:rFonts w:ascii="Times" w:hAnsi="Times" w:cs="Times"/>
          <w:bCs/>
          <w:vertAlign w:val="superscript"/>
        </w:rPr>
        <w:t>1</w:t>
      </w:r>
    </w:p>
    <w:p w:rsidR="00A70A93" w:rsidRPr="004A16D3" w:rsidRDefault="00863DAB" w:rsidP="00A21A78">
      <w:pPr>
        <w:pStyle w:val="PMI"/>
      </w:pPr>
      <w:r w:rsidRPr="004A16D3">
        <w:rPr>
          <w:rStyle w:val="Tag"/>
          <w:rFonts w:ascii="Times" w:hAnsi="Times" w:cs="Times"/>
          <w:bCs/>
        </w:rPr>
        <w:t>&lt;TAB35-1&gt;</w:t>
      </w:r>
      <w:r w:rsidRPr="004A16D3">
        <w:rPr>
          <w:rFonts w:ascii="Times" w:hAnsi="Times" w:cs="Times"/>
          <w:bCs/>
        </w:rPr>
        <w:t>&lt;TAB35-2&gt;</w:t>
      </w:r>
    </w:p>
    <w:p w:rsidR="00A70A93" w:rsidRPr="004A16D3" w:rsidRDefault="00863DAB">
      <w:pPr>
        <w:pStyle w:val="H1"/>
        <w:widowControl w:val="0"/>
        <w:autoSpaceDE w:val="0"/>
        <w:autoSpaceDN w:val="0"/>
        <w:adjustRightInd w:val="0"/>
        <w:spacing w:line="480" w:lineRule="auto"/>
        <w:rPr>
          <w:rFonts w:ascii="Times" w:hAnsi="Times" w:cs="Times"/>
          <w:b/>
          <w:bCs/>
        </w:rPr>
      </w:pPr>
      <w:r w:rsidRPr="004A16D3">
        <w:rPr>
          <w:rStyle w:val="Tag"/>
          <w:rFonts w:ascii="Times" w:hAnsi="Times" w:cs="Times"/>
          <w:b/>
          <w:bCs/>
        </w:rPr>
        <w:t>&lt;H1&gt;</w:t>
      </w:r>
      <w:r w:rsidR="00AF3E88" w:rsidRPr="004A16D3">
        <w:rPr>
          <w:rFonts w:ascii="Times" w:hAnsi="Times" w:cs="Times"/>
          <w:b/>
          <w:bCs/>
        </w:rPr>
        <w:t>NUTRITIONAL ASSESSMENT</w:t>
      </w:r>
    </w:p>
    <w:p w:rsidR="00A70A93" w:rsidRPr="004A16D3" w:rsidRDefault="00863DAB">
      <w:pPr>
        <w:pStyle w:val="TXT-FLUSH"/>
        <w:widowControl w:val="0"/>
        <w:autoSpaceDE w:val="0"/>
        <w:autoSpaceDN w:val="0"/>
        <w:adjustRightInd w:val="0"/>
        <w:spacing w:line="480" w:lineRule="auto"/>
        <w:rPr>
          <w:rFonts w:ascii="Times" w:hAnsi="Times" w:cs="Times"/>
        </w:rPr>
      </w:pPr>
      <w:r w:rsidRPr="004A16D3">
        <w:rPr>
          <w:rFonts w:ascii="Times" w:hAnsi="Times" w:cs="Times"/>
        </w:rPr>
        <w:t>The nutritional assessment of preterm infants begins immediately after birth with the measurements of birth weight, length, and head circumference. These anthropometrics provide the basis for nutrient needs and growth expectations (</w:t>
      </w:r>
      <w:r w:rsidRPr="004A16D3">
        <w:rPr>
          <w:rStyle w:val="TableCitation"/>
          <w:rFonts w:ascii="Times" w:hAnsi="Times" w:cs="Times"/>
        </w:rPr>
        <w:t>Table 35</w:t>
      </w:r>
      <w:r w:rsidR="00AF3E88" w:rsidRPr="004A16D3">
        <w:rPr>
          <w:rStyle w:val="TableCitation"/>
          <w:rFonts w:ascii="Times" w:hAnsi="Times" w:cs="Times"/>
        </w:rPr>
        <w:t>.</w:t>
      </w:r>
      <w:r w:rsidRPr="004A16D3">
        <w:rPr>
          <w:rStyle w:val="TableCitation"/>
          <w:rFonts w:ascii="Times" w:hAnsi="Times" w:cs="Times"/>
        </w:rPr>
        <w:t>3</w:t>
      </w:r>
      <w:r w:rsidRPr="004A16D3">
        <w:rPr>
          <w:rFonts w:ascii="Times" w:hAnsi="Times" w:cs="Times"/>
        </w:rPr>
        <w:t>). Intrauterine growth charts (Fenton or Olsen) should be used to assess whether the infant is small for gestational age (SGA), appropriate for gestational age (AGA) or large for gestational age (LGA) and can be used until at least 42 weeks postmenstrual age (PMA).</w:t>
      </w:r>
      <w:r w:rsidRPr="004A16D3">
        <w:rPr>
          <w:rStyle w:val="citebib"/>
          <w:rFonts w:ascii="Times" w:hAnsi="Times" w:cs="Times"/>
          <w:bCs/>
          <w:vertAlign w:val="superscript"/>
        </w:rPr>
        <w:t>2</w:t>
      </w:r>
      <w:r w:rsidR="00F26944" w:rsidRPr="00F26944">
        <w:rPr>
          <w:vertAlign w:val="superscript"/>
        </w:rPr>
        <w:t>,</w:t>
      </w:r>
      <w:r w:rsidR="00F26944">
        <w:rPr>
          <w:rStyle w:val="citebib"/>
          <w:rFonts w:ascii="Times" w:hAnsi="Times" w:cs="Times"/>
          <w:bCs/>
          <w:vertAlign w:val="superscript"/>
        </w:rPr>
        <w:t>3</w:t>
      </w:r>
      <w:r w:rsidR="00F26944" w:rsidRPr="00F26944">
        <w:rPr>
          <w:vertAlign w:val="superscript"/>
        </w:rPr>
        <w:t>,</w:t>
      </w:r>
      <w:r w:rsidRPr="004A16D3">
        <w:rPr>
          <w:rStyle w:val="citebib"/>
          <w:rFonts w:ascii="Times" w:hAnsi="Times" w:cs="Times"/>
          <w:bCs/>
          <w:vertAlign w:val="superscript"/>
        </w:rPr>
        <w:t>4</w:t>
      </w:r>
      <w:r w:rsidRPr="004A16D3">
        <w:rPr>
          <w:rFonts w:ascii="Times" w:hAnsi="Times" w:cs="Times"/>
        </w:rPr>
        <w:t xml:space="preserve"> The most recent intrauterine chart was published in 2025</w:t>
      </w:r>
      <w:r w:rsidR="000F7647" w:rsidRPr="004A16D3">
        <w:rPr>
          <w:rStyle w:val="citebib"/>
          <w:rFonts w:ascii="Times" w:hAnsi="Times" w:cs="Times"/>
          <w:bCs/>
          <w:vertAlign w:val="superscript"/>
        </w:rPr>
        <w:t>4</w:t>
      </w:r>
      <w:r w:rsidRPr="004A16D3">
        <w:rPr>
          <w:rFonts w:ascii="Times" w:hAnsi="Times" w:cs="Times"/>
        </w:rPr>
        <w:t>—an update to the Fenton 2013 charts. The “gold standard” for postnatal growth of preterm infants remains the expected rate of weight gain seen in utero (</w:t>
      </w:r>
      <w:r w:rsidRPr="004A16D3">
        <w:rPr>
          <w:rStyle w:val="TableCitation"/>
          <w:rFonts w:ascii="Times" w:hAnsi="Times" w:cs="Times"/>
        </w:rPr>
        <w:t>Table 35</w:t>
      </w:r>
      <w:r w:rsidR="00EF4A37" w:rsidRPr="004A16D3">
        <w:rPr>
          <w:rStyle w:val="TableCitation"/>
          <w:rFonts w:ascii="Times" w:hAnsi="Times" w:cs="Times"/>
        </w:rPr>
        <w:t>.</w:t>
      </w:r>
      <w:r w:rsidRPr="004A16D3">
        <w:rPr>
          <w:rStyle w:val="TableCitation"/>
          <w:rFonts w:ascii="Times" w:hAnsi="Times" w:cs="Times"/>
        </w:rPr>
        <w:t>4</w:t>
      </w:r>
      <w:r w:rsidRPr="004A16D3">
        <w:rPr>
          <w:rFonts w:ascii="Times" w:hAnsi="Times" w:cs="Times"/>
        </w:rPr>
        <w:t>).</w:t>
      </w:r>
      <w:r w:rsidRPr="004A16D3">
        <w:rPr>
          <w:rStyle w:val="citebib"/>
          <w:rFonts w:ascii="Times" w:hAnsi="Times" w:cs="Times"/>
          <w:vertAlign w:val="superscript"/>
        </w:rPr>
        <w:t>2</w:t>
      </w:r>
      <w:r w:rsidRPr="004A16D3">
        <w:rPr>
          <w:rFonts w:ascii="Times" w:hAnsi="Times" w:cs="Times"/>
        </w:rPr>
        <w:t xml:space="preserve"> However, </w:t>
      </w:r>
      <w:r w:rsidRPr="004A16D3">
        <w:rPr>
          <w:rFonts w:ascii="Times" w:hAnsi="Times" w:cs="Times"/>
        </w:rPr>
        <w:lastRenderedPageBreak/>
        <w:t xml:space="preserve">this model does not account for physiologic auto-diuresis (the expected fluid loss and extra- to intracellular fluid shift that occurs in the first </w:t>
      </w:r>
      <w:r w:rsidR="00EF4A37" w:rsidRPr="004A16D3">
        <w:rPr>
          <w:rFonts w:ascii="Times" w:hAnsi="Times" w:cs="Times"/>
        </w:rPr>
        <w:t>1</w:t>
      </w:r>
      <w:r w:rsidRPr="004A16D3">
        <w:rPr>
          <w:rFonts w:ascii="Times" w:hAnsi="Times" w:cs="Times"/>
        </w:rPr>
        <w:t xml:space="preserve"> to </w:t>
      </w:r>
      <w:r w:rsidR="00EF4A37" w:rsidRPr="004A16D3">
        <w:rPr>
          <w:rFonts w:ascii="Times" w:hAnsi="Times" w:cs="Times"/>
        </w:rPr>
        <w:t>2</w:t>
      </w:r>
      <w:r w:rsidRPr="004A16D3">
        <w:rPr>
          <w:rFonts w:ascii="Times" w:hAnsi="Times" w:cs="Times"/>
        </w:rPr>
        <w:t xml:space="preserve"> weeks of postnatal life) (</w:t>
      </w:r>
      <w:r w:rsidRPr="004A16D3">
        <w:rPr>
          <w:rStyle w:val="TableCitation"/>
          <w:rFonts w:ascii="Times" w:hAnsi="Times" w:cs="Times"/>
        </w:rPr>
        <w:t>Table 35</w:t>
      </w:r>
      <w:r w:rsidR="00EF4A37" w:rsidRPr="004A16D3">
        <w:rPr>
          <w:rStyle w:val="TableCitation"/>
          <w:rFonts w:ascii="Times" w:hAnsi="Times" w:cs="Times"/>
        </w:rPr>
        <w:t>.</w:t>
      </w:r>
      <w:r w:rsidRPr="004A16D3">
        <w:rPr>
          <w:rStyle w:val="TableCitation"/>
          <w:rFonts w:ascii="Times" w:hAnsi="Times" w:cs="Times"/>
        </w:rPr>
        <w:t>5</w:t>
      </w:r>
      <w:r w:rsidRPr="004A16D3">
        <w:rPr>
          <w:rFonts w:ascii="Times" w:hAnsi="Times" w:cs="Times"/>
        </w:rPr>
        <w:t>). Disregarding this expected loss of fluid weight may promote nutritional strategies that result in rapid weight gain (primarily as adipose tissue). Determining the change in weight-for-age Z score since birth augments the growth assessment by distinguishing between a “healthful” decline in Z score and growth faltering.</w:t>
      </w:r>
      <w:r w:rsidRPr="004A16D3">
        <w:rPr>
          <w:rStyle w:val="citebib"/>
          <w:rFonts w:ascii="Times" w:hAnsi="Times" w:cs="Times"/>
          <w:vertAlign w:val="superscript"/>
        </w:rPr>
        <w:t>2</w:t>
      </w:r>
      <w:r w:rsidRPr="004A16D3">
        <w:t xml:space="preserve"> </w:t>
      </w:r>
      <w:r w:rsidRPr="004A16D3">
        <w:rPr>
          <w:rFonts w:ascii="Times" w:hAnsi="Times" w:cs="Times"/>
        </w:rPr>
        <w:t>The INTERGROWTH-21st charts do take this phenomenon into account, but they are limited by a small sample size at the lowest gestational ages.</w:t>
      </w:r>
      <w:r w:rsidRPr="004A16D3">
        <w:rPr>
          <w:rStyle w:val="citebib"/>
          <w:rFonts w:ascii="Times" w:hAnsi="Times" w:cs="Times"/>
          <w:vertAlign w:val="superscript"/>
        </w:rPr>
        <w:t>2</w:t>
      </w:r>
      <w:r w:rsidRPr="004A16D3">
        <w:rPr>
          <w:rFonts w:ascii="Times" w:hAnsi="Times" w:cs="Times"/>
        </w:rPr>
        <w:t xml:space="preserve"> Weight- and length-for-age Z score changes are included as part of the neonatal malnutrition assessment,</w:t>
      </w:r>
      <w:r w:rsidRPr="004A16D3">
        <w:rPr>
          <w:rStyle w:val="citebib"/>
          <w:rFonts w:ascii="Times" w:hAnsi="Times" w:cs="Times"/>
          <w:vertAlign w:val="superscript"/>
        </w:rPr>
        <w:t>5</w:t>
      </w:r>
      <w:r w:rsidRPr="004A16D3">
        <w:t xml:space="preserve"> </w:t>
      </w:r>
      <w:r w:rsidRPr="004A16D3">
        <w:rPr>
          <w:rFonts w:ascii="Times" w:hAnsi="Times" w:cs="Times"/>
        </w:rPr>
        <w:t>however these criteria have not yet been consistently validated to predict neurodevelopmental or neuro-disability outcomes at all levels of malnutrition. Weight-for-length Z scores are not available for preterm infants. BMI Z scores are available, but as with older children, BMI measures do not distinguish between fat and lean mass and the outcome significance for preterm infants is unknown.</w:t>
      </w:r>
      <w:r w:rsidRPr="004A16D3">
        <w:rPr>
          <w:rStyle w:val="citebib"/>
          <w:rFonts w:ascii="Times" w:hAnsi="Times" w:cs="Times"/>
          <w:vertAlign w:val="superscript"/>
        </w:rPr>
        <w:t>2</w:t>
      </w:r>
    </w:p>
    <w:p w:rsidR="00A70A93" w:rsidRDefault="00863DAB" w:rsidP="00A21A78">
      <w:pPr>
        <w:pStyle w:val="PMI"/>
        <w:rPr>
          <w:rFonts w:ascii="Times" w:hAnsi="Times" w:cs="Times"/>
        </w:rPr>
      </w:pPr>
      <w:r w:rsidRPr="004A16D3">
        <w:rPr>
          <w:rStyle w:val="Tag"/>
          <w:rFonts w:ascii="Times" w:hAnsi="Times" w:cs="Times"/>
        </w:rPr>
        <w:t>&lt;TAB35-3&gt;</w:t>
      </w:r>
      <w:r w:rsidRPr="004A16D3">
        <w:rPr>
          <w:rFonts w:ascii="Times" w:hAnsi="Times" w:cs="Times"/>
        </w:rPr>
        <w:t>&lt;TAB35-4&gt;&lt;TAB35-5&gt;</w:t>
      </w:r>
    </w:p>
    <w:p w:rsidR="004A16D3" w:rsidRDefault="004A16D3" w:rsidP="004A16D3"/>
    <w:p w:rsidR="004A16D3" w:rsidRPr="004A16D3" w:rsidRDefault="004A16D3" w:rsidP="004A16D3">
      <w:pPr>
        <w:pStyle w:val="T1"/>
        <w:widowControl w:val="0"/>
        <w:autoSpaceDE w:val="0"/>
        <w:autoSpaceDN w:val="0"/>
        <w:adjustRightInd w:val="0"/>
        <w:spacing w:line="480" w:lineRule="auto"/>
        <w:rPr>
          <w:rFonts w:ascii="Times" w:hAnsi="Times" w:cs="Times"/>
        </w:rPr>
      </w:pPr>
      <w:r w:rsidRPr="004A16D3">
        <w:rPr>
          <w:rStyle w:val="TN"/>
          <w:rFonts w:ascii="Times" w:hAnsi="Times" w:cs="Times"/>
          <w:b/>
          <w:bCs/>
        </w:rPr>
        <w:t>TABLE 35.5</w:t>
      </w:r>
      <w:r w:rsidRPr="004A16D3">
        <w:rPr>
          <w:rFonts w:ascii="Times" w:hAnsi="Times" w:cs="Times"/>
          <w:b/>
          <w:bCs/>
        </w:rPr>
        <w:t xml:space="preserve"> PARENTERAL NUTRITION IN PRETERM INFANTS</w:t>
      </w:r>
    </w:p>
    <w:tbl>
      <w:tblPr>
        <w:tblW w:w="0" w:type="auto"/>
        <w:tblBorders>
          <w:top w:val="single" w:sz="6" w:space="0" w:color="000000"/>
          <w:left w:val="single" w:sz="6" w:space="0" w:color="000000"/>
          <w:bottom w:val="single" w:sz="6" w:space="0" w:color="000000"/>
          <w:right w:val="single" w:sz="6" w:space="0" w:color="000000"/>
          <w:insideH w:val="single" w:sz="6" w:space="0" w:color="000000"/>
        </w:tblBorders>
        <w:tblLook w:val="01E0" w:firstRow="1" w:lastRow="1" w:firstColumn="1" w:lastColumn="1" w:noHBand="0" w:noVBand="0"/>
      </w:tblPr>
      <w:tblGrid>
        <w:gridCol w:w="8856"/>
      </w:tblGrid>
      <w:tr w:rsidR="004A16D3" w:rsidRPr="004A16D3" w:rsidTr="00C951ED">
        <w:trPr>
          <w:trHeight w:val="5352"/>
        </w:trPr>
        <w:tc>
          <w:tcPr>
            <w:tcW w:w="8856" w:type="dxa"/>
            <w:tcBorders>
              <w:top w:val="single" w:sz="12" w:space="0" w:color="auto"/>
              <w:bottom w:val="single" w:sz="12" w:space="0" w:color="auto"/>
            </w:tcBorders>
          </w:tcPr>
          <w:p w:rsidR="004A16D3" w:rsidRPr="004A16D3" w:rsidRDefault="004A16D3" w:rsidP="00C951ED">
            <w:pPr>
              <w:pStyle w:val="T"/>
            </w:pPr>
            <w:r w:rsidRPr="004A16D3">
              <w:rPr>
                <w:rFonts w:ascii="Times" w:hAnsi="Times" w:cs="Times"/>
              </w:rPr>
              <w:lastRenderedPageBreak/>
              <w:t>Fluid</w:t>
            </w:r>
          </w:p>
          <w:p w:rsidR="004A16D3" w:rsidRPr="004A16D3" w:rsidRDefault="004A16D3" w:rsidP="00C951ED">
            <w:pPr>
              <w:pStyle w:val="TBL-MID"/>
              <w:widowControl w:val="0"/>
              <w:autoSpaceDE w:val="0"/>
              <w:autoSpaceDN w:val="0"/>
              <w:adjustRightInd w:val="0"/>
              <w:spacing w:line="480" w:lineRule="auto"/>
              <w:rPr>
                <w:rFonts w:ascii="Times" w:hAnsi="Times" w:cs="Times"/>
                <w:bCs/>
              </w:rPr>
            </w:pPr>
            <w:r w:rsidRPr="004A16D3">
              <w:rPr>
                <w:rStyle w:val="BulletManualBodyList"/>
                <w:rFonts w:ascii="Times" w:hAnsi="Times" w:cs="Times"/>
              </w:rPr>
              <w:t>•</w:t>
            </w:r>
            <w:r w:rsidRPr="004A16D3">
              <w:rPr>
                <w:rFonts w:ascii="Times" w:hAnsi="Times" w:cs="Times"/>
              </w:rPr>
              <w:t xml:space="preserve"> Preterm infants have greater ECF volumes and body weight is a greater percentage of fluid compared with term infants</w:t>
            </w:r>
          </w:p>
          <w:p w:rsidR="004A16D3" w:rsidRPr="004A16D3" w:rsidRDefault="004A16D3" w:rsidP="00C951ED">
            <w:pPr>
              <w:pStyle w:val="TBL-MID"/>
              <w:widowControl w:val="0"/>
              <w:autoSpaceDE w:val="0"/>
              <w:autoSpaceDN w:val="0"/>
              <w:adjustRightInd w:val="0"/>
              <w:spacing w:line="480" w:lineRule="auto"/>
              <w:rPr>
                <w:rFonts w:ascii="Times" w:hAnsi="Times" w:cs="Times"/>
                <w:bCs/>
              </w:rPr>
            </w:pPr>
            <w:r w:rsidRPr="004A16D3">
              <w:rPr>
                <w:rStyle w:val="BulletManualBodyList"/>
                <w:rFonts w:ascii="Times" w:hAnsi="Times" w:cs="Times"/>
              </w:rPr>
              <w:t>•</w:t>
            </w:r>
            <w:r w:rsidRPr="004A16D3">
              <w:rPr>
                <w:rFonts w:ascii="Times" w:hAnsi="Times" w:cs="Times"/>
              </w:rPr>
              <w:t xml:space="preserve"> Initial physiologic diuresis occurs within the first week of life with 10%-15% loss of body weight for preterm infants, can be up to 20% for ELBW</w:t>
            </w:r>
          </w:p>
          <w:p w:rsidR="004A16D3" w:rsidRPr="004A16D3" w:rsidRDefault="004A16D3" w:rsidP="00C951ED">
            <w:pPr>
              <w:pStyle w:val="TBL-MID"/>
              <w:widowControl w:val="0"/>
              <w:autoSpaceDE w:val="0"/>
              <w:autoSpaceDN w:val="0"/>
              <w:adjustRightInd w:val="0"/>
              <w:spacing w:line="480" w:lineRule="auto"/>
              <w:rPr>
                <w:rFonts w:ascii="Times" w:hAnsi="Times" w:cs="Times"/>
              </w:rPr>
            </w:pPr>
            <w:r w:rsidRPr="004A16D3">
              <w:rPr>
                <w:rStyle w:val="BulletManualBodyList"/>
                <w:rFonts w:ascii="Times" w:hAnsi="Times" w:cs="Times"/>
              </w:rPr>
              <w:t>•</w:t>
            </w:r>
            <w:r w:rsidRPr="004A16D3">
              <w:rPr>
                <w:rFonts w:ascii="Times" w:hAnsi="Times" w:cs="Times"/>
              </w:rPr>
              <w:t xml:space="preserve"> Fluids are initiated and gradually advanced over the first 72 h of life with increasing urine output</w:t>
            </w:r>
          </w:p>
          <w:p w:rsidR="004A16D3" w:rsidRPr="004A16D3" w:rsidRDefault="004A16D3" w:rsidP="00C951ED">
            <w:pPr>
              <w:pStyle w:val="T2"/>
              <w:widowControl w:val="0"/>
              <w:autoSpaceDE w:val="0"/>
              <w:autoSpaceDN w:val="0"/>
              <w:adjustRightInd w:val="0"/>
              <w:spacing w:line="480" w:lineRule="auto"/>
              <w:rPr>
                <w:rFonts w:ascii="Times" w:hAnsi="Times" w:cs="Times"/>
              </w:rPr>
            </w:pPr>
            <w:r w:rsidRPr="004A16D3">
              <w:rPr>
                <w:rFonts w:ascii="Times" w:hAnsi="Times" w:cs="Times"/>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6"/>
              <w:gridCol w:w="2156"/>
              <w:gridCol w:w="2156"/>
              <w:gridCol w:w="2157"/>
            </w:tblGrid>
            <w:tr w:rsidR="004A16D3" w:rsidRPr="004A16D3" w:rsidTr="00C951ED">
              <w:tc>
                <w:tcPr>
                  <w:tcW w:w="8625" w:type="dxa"/>
                  <w:gridSpan w:val="4"/>
                </w:tcPr>
                <w:p w:rsidR="004A16D3" w:rsidRPr="004A16D3" w:rsidRDefault="004A16D3" w:rsidP="00C951ED">
                  <w:pPr>
                    <w:pStyle w:val="T2"/>
                    <w:widowControl w:val="0"/>
                    <w:autoSpaceDE w:val="0"/>
                    <w:autoSpaceDN w:val="0"/>
                    <w:adjustRightInd w:val="0"/>
                    <w:spacing w:line="480" w:lineRule="auto"/>
                    <w:jc w:val="center"/>
                    <w:rPr>
                      <w:rFonts w:ascii="Times" w:hAnsi="Times" w:cs="Times"/>
                      <w:b/>
                    </w:rPr>
                  </w:pPr>
                  <w:r w:rsidRPr="004A16D3">
                    <w:rPr>
                      <w:rFonts w:ascii="Times" w:hAnsi="Times" w:cs="Times"/>
                      <w:b/>
                    </w:rPr>
                    <w:t>Initiation and Advancement of Fluids</w:t>
                  </w:r>
                </w:p>
              </w:tc>
            </w:tr>
            <w:tr w:rsidR="004A16D3" w:rsidRPr="004A16D3" w:rsidTr="00C951ED">
              <w:tc>
                <w:tcPr>
                  <w:tcW w:w="2156" w:type="dxa"/>
                </w:tcPr>
                <w:p w:rsidR="004A16D3" w:rsidRPr="004A16D3" w:rsidRDefault="004A16D3" w:rsidP="00C951ED">
                  <w:pPr>
                    <w:pStyle w:val="T2"/>
                    <w:widowControl w:val="0"/>
                    <w:autoSpaceDE w:val="0"/>
                    <w:autoSpaceDN w:val="0"/>
                    <w:adjustRightInd w:val="0"/>
                    <w:spacing w:line="480" w:lineRule="auto"/>
                    <w:jc w:val="center"/>
                    <w:rPr>
                      <w:rFonts w:ascii="Times" w:hAnsi="Times" w:cs="Times"/>
                      <w:b/>
                      <w:sz w:val="22"/>
                      <w:szCs w:val="22"/>
                    </w:rPr>
                  </w:pPr>
                  <w:r w:rsidRPr="004A16D3">
                    <w:rPr>
                      <w:rFonts w:ascii="Times" w:hAnsi="Times" w:cs="Times"/>
                      <w:b/>
                      <w:sz w:val="22"/>
                      <w:szCs w:val="22"/>
                    </w:rPr>
                    <w:t>Birth Weight (g)</w:t>
                  </w:r>
                </w:p>
              </w:tc>
              <w:tc>
                <w:tcPr>
                  <w:tcW w:w="6469" w:type="dxa"/>
                  <w:gridSpan w:val="3"/>
                </w:tcPr>
                <w:p w:rsidR="004A16D3" w:rsidRPr="004A16D3" w:rsidRDefault="004A16D3" w:rsidP="00C951ED">
                  <w:pPr>
                    <w:pStyle w:val="T2"/>
                    <w:widowControl w:val="0"/>
                    <w:autoSpaceDE w:val="0"/>
                    <w:autoSpaceDN w:val="0"/>
                    <w:adjustRightInd w:val="0"/>
                    <w:spacing w:line="480" w:lineRule="auto"/>
                    <w:jc w:val="center"/>
                    <w:rPr>
                      <w:rFonts w:ascii="Times" w:hAnsi="Times" w:cs="Times"/>
                      <w:b/>
                      <w:sz w:val="22"/>
                      <w:szCs w:val="22"/>
                    </w:rPr>
                  </w:pPr>
                  <w:r w:rsidRPr="004A16D3">
                    <w:rPr>
                      <w:rFonts w:ascii="Times" w:hAnsi="Times" w:cs="Times"/>
                      <w:b/>
                      <w:sz w:val="22"/>
                      <w:szCs w:val="22"/>
                    </w:rPr>
                    <w:t>Age (hours of life)</w:t>
                  </w:r>
                </w:p>
              </w:tc>
            </w:tr>
            <w:tr w:rsidR="004A16D3" w:rsidRPr="004A16D3" w:rsidTr="00C951ED">
              <w:tc>
                <w:tcPr>
                  <w:tcW w:w="2156" w:type="dxa"/>
                </w:tcPr>
                <w:p w:rsidR="004A16D3" w:rsidRPr="004A16D3" w:rsidRDefault="004A16D3" w:rsidP="00C951ED">
                  <w:pPr>
                    <w:pStyle w:val="T3"/>
                  </w:pPr>
                </w:p>
              </w:tc>
              <w:tc>
                <w:tcPr>
                  <w:tcW w:w="2156" w:type="dxa"/>
                </w:tcPr>
                <w:p w:rsidR="004A16D3" w:rsidRPr="004A16D3" w:rsidRDefault="004A16D3" w:rsidP="00C951ED">
                  <w:pPr>
                    <w:pStyle w:val="T3"/>
                    <w:rPr>
                      <w:b/>
                    </w:rPr>
                  </w:pPr>
                  <w:r w:rsidRPr="004A16D3">
                    <w:rPr>
                      <w:b/>
                    </w:rPr>
                    <w:t>&lt;24 h</w:t>
                  </w:r>
                </w:p>
              </w:tc>
              <w:tc>
                <w:tcPr>
                  <w:tcW w:w="2156" w:type="dxa"/>
                </w:tcPr>
                <w:p w:rsidR="004A16D3" w:rsidRPr="004A16D3" w:rsidRDefault="004A16D3" w:rsidP="00C951ED">
                  <w:pPr>
                    <w:pStyle w:val="T3"/>
                    <w:rPr>
                      <w:b/>
                    </w:rPr>
                  </w:pPr>
                  <w:r w:rsidRPr="004A16D3">
                    <w:rPr>
                      <w:b/>
                    </w:rPr>
                    <w:t>24-48 h</w:t>
                  </w:r>
                </w:p>
              </w:tc>
              <w:tc>
                <w:tcPr>
                  <w:tcW w:w="2157" w:type="dxa"/>
                </w:tcPr>
                <w:p w:rsidR="004A16D3" w:rsidRPr="004A16D3" w:rsidRDefault="004A16D3" w:rsidP="00C951ED">
                  <w:pPr>
                    <w:pStyle w:val="T3"/>
                    <w:rPr>
                      <w:b/>
                    </w:rPr>
                  </w:pPr>
                  <w:r w:rsidRPr="004A16D3">
                    <w:rPr>
                      <w:b/>
                    </w:rPr>
                    <w:t>&gt;72 h</w:t>
                  </w:r>
                </w:p>
              </w:tc>
            </w:tr>
            <w:tr w:rsidR="004A16D3" w:rsidRPr="004A16D3" w:rsidTr="00C951ED">
              <w:tc>
                <w:tcPr>
                  <w:tcW w:w="2156" w:type="dxa"/>
                </w:tcPr>
                <w:p w:rsidR="004A16D3" w:rsidRPr="004A16D3" w:rsidRDefault="004A16D3" w:rsidP="00C951ED">
                  <w:pPr>
                    <w:pStyle w:val="T4"/>
                    <w:rPr>
                      <w:rFonts w:ascii="Times" w:hAnsi="Times" w:cs="Times"/>
                      <w:b/>
                    </w:rPr>
                  </w:pPr>
                  <w:r w:rsidRPr="004A16D3">
                    <w:rPr>
                      <w:rFonts w:ascii="Times" w:hAnsi="Times" w:cs="Times"/>
                      <w:b/>
                    </w:rPr>
                    <w:t>&lt;1000 g</w:t>
                  </w:r>
                </w:p>
              </w:tc>
              <w:tc>
                <w:tcPr>
                  <w:tcW w:w="2156" w:type="dxa"/>
                </w:tcPr>
                <w:p w:rsidR="004A16D3" w:rsidRPr="004A16D3" w:rsidRDefault="004A16D3" w:rsidP="00C951ED">
                  <w:pPr>
                    <w:pStyle w:val="T4"/>
                    <w:rPr>
                      <w:rFonts w:cs="Arial"/>
                    </w:rPr>
                  </w:pPr>
                  <w:r w:rsidRPr="004A16D3">
                    <w:rPr>
                      <w:rFonts w:cs="Arial"/>
                    </w:rPr>
                    <w:t>100-150 mL/kg/d</w:t>
                  </w:r>
                </w:p>
              </w:tc>
              <w:tc>
                <w:tcPr>
                  <w:tcW w:w="2156" w:type="dxa"/>
                </w:tcPr>
                <w:p w:rsidR="004A16D3" w:rsidRPr="004A16D3" w:rsidRDefault="004A16D3" w:rsidP="00C951ED">
                  <w:pPr>
                    <w:pStyle w:val="T4"/>
                    <w:rPr>
                      <w:rFonts w:cs="Arial"/>
                    </w:rPr>
                  </w:pPr>
                  <w:r w:rsidRPr="004A16D3">
                    <w:rPr>
                      <w:rFonts w:cs="Arial"/>
                    </w:rPr>
                    <w:t>120-160 mL/kg/d</w:t>
                  </w:r>
                </w:p>
              </w:tc>
              <w:tc>
                <w:tcPr>
                  <w:tcW w:w="2157" w:type="dxa"/>
                </w:tcPr>
                <w:p w:rsidR="004A16D3" w:rsidRPr="004A16D3" w:rsidRDefault="004A16D3" w:rsidP="00C951ED">
                  <w:pPr>
                    <w:pStyle w:val="T4"/>
                    <w:rPr>
                      <w:rFonts w:cs="Arial"/>
                    </w:rPr>
                  </w:pPr>
                  <w:r w:rsidRPr="004A16D3">
                    <w:rPr>
                      <w:rFonts w:cs="Arial"/>
                    </w:rPr>
                    <w:t>140-190 mL/kg/d</w:t>
                  </w:r>
                </w:p>
              </w:tc>
            </w:tr>
            <w:tr w:rsidR="004A16D3" w:rsidRPr="004A16D3" w:rsidTr="00C951ED">
              <w:tc>
                <w:tcPr>
                  <w:tcW w:w="2156" w:type="dxa"/>
                </w:tcPr>
                <w:p w:rsidR="004A16D3" w:rsidRPr="004A16D3" w:rsidRDefault="004A16D3" w:rsidP="00C951ED">
                  <w:pPr>
                    <w:pStyle w:val="T4"/>
                    <w:rPr>
                      <w:rFonts w:ascii="Times" w:hAnsi="Times" w:cs="Times"/>
                      <w:b/>
                    </w:rPr>
                  </w:pPr>
                  <w:r w:rsidRPr="004A16D3">
                    <w:rPr>
                      <w:rFonts w:ascii="Times" w:hAnsi="Times" w:cs="Times"/>
                      <w:b/>
                    </w:rPr>
                    <w:t>1000-1500 g</w:t>
                  </w:r>
                </w:p>
              </w:tc>
              <w:tc>
                <w:tcPr>
                  <w:tcW w:w="2156" w:type="dxa"/>
                </w:tcPr>
                <w:p w:rsidR="004A16D3" w:rsidRPr="004A16D3" w:rsidRDefault="004A16D3" w:rsidP="00C951ED">
                  <w:pPr>
                    <w:pStyle w:val="T4"/>
                    <w:rPr>
                      <w:rFonts w:cs="Arial"/>
                    </w:rPr>
                  </w:pPr>
                  <w:r w:rsidRPr="004A16D3">
                    <w:rPr>
                      <w:rFonts w:cs="Arial"/>
                    </w:rPr>
                    <w:t>80-100 mL/kg/d</w:t>
                  </w:r>
                </w:p>
              </w:tc>
              <w:tc>
                <w:tcPr>
                  <w:tcW w:w="2156" w:type="dxa"/>
                </w:tcPr>
                <w:p w:rsidR="004A16D3" w:rsidRPr="004A16D3" w:rsidRDefault="004A16D3" w:rsidP="00C951ED">
                  <w:pPr>
                    <w:pStyle w:val="T4"/>
                    <w:rPr>
                      <w:rFonts w:cs="Arial"/>
                    </w:rPr>
                  </w:pPr>
                  <w:r w:rsidRPr="004A16D3">
                    <w:rPr>
                      <w:rFonts w:cs="Arial"/>
                    </w:rPr>
                    <w:t>100-120 mL/kg/d</w:t>
                  </w:r>
                </w:p>
              </w:tc>
              <w:tc>
                <w:tcPr>
                  <w:tcW w:w="2157" w:type="dxa"/>
                </w:tcPr>
                <w:p w:rsidR="004A16D3" w:rsidRPr="004A16D3" w:rsidRDefault="004A16D3" w:rsidP="00C951ED">
                  <w:pPr>
                    <w:pStyle w:val="T4"/>
                    <w:rPr>
                      <w:rFonts w:cs="Arial"/>
                    </w:rPr>
                  </w:pPr>
                  <w:r w:rsidRPr="004A16D3">
                    <w:rPr>
                      <w:rFonts w:cs="Arial"/>
                    </w:rPr>
                    <w:t>120-160 mL/kg/d</w:t>
                  </w:r>
                </w:p>
              </w:tc>
            </w:tr>
            <w:tr w:rsidR="004A16D3" w:rsidRPr="004A16D3" w:rsidTr="00C951ED">
              <w:tc>
                <w:tcPr>
                  <w:tcW w:w="2156" w:type="dxa"/>
                </w:tcPr>
                <w:p w:rsidR="004A16D3" w:rsidRPr="004A16D3" w:rsidRDefault="004A16D3" w:rsidP="00C951ED">
                  <w:pPr>
                    <w:pStyle w:val="T4"/>
                    <w:rPr>
                      <w:rFonts w:ascii="Times" w:hAnsi="Times" w:cs="Times"/>
                      <w:b/>
                    </w:rPr>
                  </w:pPr>
                  <w:r w:rsidRPr="004A16D3">
                    <w:rPr>
                      <w:rFonts w:ascii="Times" w:hAnsi="Times" w:cs="Times"/>
                      <w:b/>
                    </w:rPr>
                    <w:t>&gt;1500 g</w:t>
                  </w:r>
                </w:p>
              </w:tc>
              <w:tc>
                <w:tcPr>
                  <w:tcW w:w="2156" w:type="dxa"/>
                </w:tcPr>
                <w:p w:rsidR="004A16D3" w:rsidRPr="004A16D3" w:rsidRDefault="004A16D3" w:rsidP="00C951ED">
                  <w:pPr>
                    <w:pStyle w:val="T4"/>
                    <w:rPr>
                      <w:rFonts w:cs="Arial"/>
                    </w:rPr>
                  </w:pPr>
                  <w:r w:rsidRPr="004A16D3">
                    <w:rPr>
                      <w:rFonts w:cs="Arial"/>
                    </w:rPr>
                    <w:t>60-80 mL/kg/d</w:t>
                  </w:r>
                </w:p>
              </w:tc>
              <w:tc>
                <w:tcPr>
                  <w:tcW w:w="2156" w:type="dxa"/>
                </w:tcPr>
                <w:p w:rsidR="004A16D3" w:rsidRPr="004A16D3" w:rsidRDefault="004A16D3" w:rsidP="00C951ED">
                  <w:pPr>
                    <w:pStyle w:val="T4"/>
                    <w:rPr>
                      <w:rFonts w:cs="Arial"/>
                    </w:rPr>
                  </w:pPr>
                  <w:r w:rsidRPr="004A16D3">
                    <w:rPr>
                      <w:rFonts w:cs="Arial"/>
                    </w:rPr>
                    <w:t>80-120 mL/kg/d</w:t>
                  </w:r>
                </w:p>
              </w:tc>
              <w:tc>
                <w:tcPr>
                  <w:tcW w:w="2157" w:type="dxa"/>
                </w:tcPr>
                <w:p w:rsidR="004A16D3" w:rsidRPr="004A16D3" w:rsidRDefault="004A16D3" w:rsidP="00C951ED">
                  <w:pPr>
                    <w:pStyle w:val="T4"/>
                    <w:rPr>
                      <w:rFonts w:cs="Arial"/>
                    </w:rPr>
                  </w:pPr>
                  <w:r w:rsidRPr="004A16D3">
                    <w:rPr>
                      <w:rFonts w:cs="Arial"/>
                    </w:rPr>
                    <w:t>100-150 mL/kg/d</w:t>
                  </w:r>
                </w:p>
              </w:tc>
            </w:tr>
          </w:tbl>
          <w:p w:rsidR="004A16D3" w:rsidRPr="004A16D3" w:rsidRDefault="004A16D3" w:rsidP="00C951ED">
            <w:pPr>
              <w:pStyle w:val="T2"/>
              <w:widowControl w:val="0"/>
              <w:autoSpaceDE w:val="0"/>
              <w:autoSpaceDN w:val="0"/>
              <w:adjustRightInd w:val="0"/>
              <w:spacing w:line="480" w:lineRule="auto"/>
              <w:rPr>
                <w:rFonts w:ascii="Times" w:hAnsi="Times" w:cs="Times"/>
              </w:rPr>
            </w:pPr>
          </w:p>
          <w:p w:rsidR="004A16D3" w:rsidRPr="004A16D3" w:rsidRDefault="004A16D3" w:rsidP="00C951ED">
            <w:pPr>
              <w:pStyle w:val="TBL-MID"/>
              <w:widowControl w:val="0"/>
              <w:autoSpaceDE w:val="0"/>
              <w:autoSpaceDN w:val="0"/>
              <w:adjustRightInd w:val="0"/>
              <w:spacing w:line="480" w:lineRule="auto"/>
              <w:rPr>
                <w:rFonts w:ascii="Times" w:hAnsi="Times" w:cs="Times"/>
                <w:bCs/>
              </w:rPr>
            </w:pPr>
            <w:r w:rsidRPr="004A16D3">
              <w:rPr>
                <w:rStyle w:val="BulletManualBodyList"/>
                <w:rFonts w:ascii="Times" w:hAnsi="Times" w:cs="Times"/>
              </w:rPr>
              <w:t>•</w:t>
            </w:r>
            <w:r w:rsidRPr="004A16D3">
              <w:rPr>
                <w:rFonts w:ascii="Times" w:hAnsi="Times" w:cs="Times"/>
              </w:rPr>
              <w:t xml:space="preserve"> Fluid restrictions may be required in cardiac or lung disease, PDA, neuromuscular blockade</w:t>
            </w:r>
          </w:p>
          <w:p w:rsidR="004A16D3" w:rsidRPr="004A16D3" w:rsidRDefault="004A16D3" w:rsidP="00C951ED">
            <w:pPr>
              <w:pStyle w:val="TBL-MID"/>
              <w:widowControl w:val="0"/>
              <w:autoSpaceDE w:val="0"/>
              <w:autoSpaceDN w:val="0"/>
              <w:adjustRightInd w:val="0"/>
              <w:spacing w:line="480" w:lineRule="auto"/>
              <w:rPr>
                <w:rFonts w:ascii="Times" w:hAnsi="Times" w:cs="Times"/>
              </w:rPr>
            </w:pPr>
            <w:r w:rsidRPr="004A16D3">
              <w:rPr>
                <w:rStyle w:val="BulletManualBodyList"/>
                <w:rFonts w:ascii="Times" w:hAnsi="Times" w:cs="Times"/>
              </w:rPr>
              <w:t>•</w:t>
            </w:r>
            <w:r w:rsidRPr="004A16D3">
              <w:rPr>
                <w:rFonts w:ascii="Times" w:hAnsi="Times" w:cs="Times"/>
              </w:rPr>
              <w:t xml:space="preserve"> Increased insensible and sensible losses may increase fluid requirements</w:t>
            </w:r>
          </w:p>
          <w:p w:rsidR="004A16D3" w:rsidRPr="004A16D3" w:rsidRDefault="004A16D3" w:rsidP="00C951ED">
            <w:pPr>
              <w:pStyle w:val="TBL2-MID"/>
              <w:ind w:left="1080"/>
            </w:pPr>
            <w:r w:rsidRPr="004A16D3">
              <w:rPr>
                <w:rStyle w:val="BulletManualBodyList"/>
                <w:rFonts w:ascii="Times" w:hAnsi="Times" w:cs="Times"/>
              </w:rPr>
              <w:t>•</w:t>
            </w:r>
            <w:r w:rsidRPr="004A16D3">
              <w:rPr>
                <w:rFonts w:ascii="Times" w:hAnsi="Times" w:cs="Times"/>
              </w:rPr>
              <w:t xml:space="preserve"> Insensible losses higher with increased skin permeability at low gestational ages, increased BSA to weight ratio, phototherapy, radiant warmer beds, respiratory distress syndrome, cold stress, and increased activity</w:t>
            </w:r>
          </w:p>
          <w:p w:rsidR="004A16D3" w:rsidRPr="004A16D3" w:rsidRDefault="004A16D3" w:rsidP="00C951ED">
            <w:pPr>
              <w:pStyle w:val="TBL2-MID"/>
              <w:ind w:left="1080"/>
              <w:rPr>
                <w:rFonts w:ascii="Times" w:hAnsi="Times" w:cs="Times"/>
              </w:rPr>
            </w:pPr>
            <w:r w:rsidRPr="004A16D3">
              <w:rPr>
                <w:rStyle w:val="BulletManualBodyList"/>
                <w:rFonts w:ascii="Times" w:hAnsi="Times" w:cs="Times"/>
              </w:rPr>
              <w:t>•</w:t>
            </w:r>
            <w:r w:rsidRPr="004A16D3">
              <w:rPr>
                <w:rFonts w:ascii="Times" w:hAnsi="Times" w:cs="Times"/>
              </w:rPr>
              <w:t xml:space="preserve"> Sensible fluid losses higher with vomiting, diarrhea, and ostomy or drain output</w:t>
            </w:r>
          </w:p>
        </w:tc>
      </w:tr>
      <w:tr w:rsidR="004A16D3" w:rsidRPr="004A16D3" w:rsidTr="00C951ED">
        <w:trPr>
          <w:trHeight w:val="1455"/>
        </w:trPr>
        <w:tc>
          <w:tcPr>
            <w:tcW w:w="8856" w:type="dxa"/>
            <w:tcBorders>
              <w:top w:val="single" w:sz="12" w:space="0" w:color="auto"/>
              <w:bottom w:val="single" w:sz="12" w:space="0" w:color="auto"/>
            </w:tcBorders>
          </w:tcPr>
          <w:p w:rsidR="004A16D3" w:rsidRPr="004A16D3" w:rsidRDefault="004A16D3" w:rsidP="00C951ED">
            <w:pPr>
              <w:pStyle w:val="T0"/>
              <w:widowControl w:val="0"/>
              <w:autoSpaceDE w:val="0"/>
              <w:autoSpaceDN w:val="0"/>
              <w:adjustRightInd w:val="0"/>
              <w:spacing w:line="480" w:lineRule="auto"/>
              <w:rPr>
                <w:rFonts w:ascii="Times" w:hAnsi="Times" w:cs="Times"/>
                <w:bCs/>
              </w:rPr>
            </w:pPr>
            <w:r w:rsidRPr="004A16D3">
              <w:rPr>
                <w:rFonts w:ascii="Times" w:hAnsi="Times" w:cs="Times"/>
              </w:rPr>
              <w:lastRenderedPageBreak/>
              <w:t>Carbohydrate</w:t>
            </w:r>
          </w:p>
          <w:p w:rsidR="004A16D3" w:rsidRPr="004A16D3" w:rsidRDefault="004A16D3" w:rsidP="00C951ED">
            <w:pPr>
              <w:pStyle w:val="TBL-MID"/>
              <w:widowControl w:val="0"/>
              <w:autoSpaceDE w:val="0"/>
              <w:autoSpaceDN w:val="0"/>
              <w:adjustRightInd w:val="0"/>
              <w:spacing w:line="480" w:lineRule="auto"/>
              <w:rPr>
                <w:rFonts w:ascii="Times" w:hAnsi="Times" w:cs="Times"/>
              </w:rPr>
            </w:pPr>
            <w:r w:rsidRPr="004A16D3">
              <w:rPr>
                <w:rStyle w:val="BulletManualBodyList"/>
                <w:rFonts w:ascii="Times" w:hAnsi="Times" w:cs="Times"/>
              </w:rPr>
              <w:t>•</w:t>
            </w:r>
            <w:r w:rsidRPr="004A16D3">
              <w:rPr>
                <w:rFonts w:ascii="Times" w:hAnsi="Times" w:cs="Times"/>
              </w:rPr>
              <w:t xml:space="preserve"> Initial GIR minimum to ensure adequate glucose supply is 4-6 mg/kg/min</w:t>
            </w:r>
          </w:p>
          <w:p w:rsidR="004A16D3" w:rsidRPr="004A16D3" w:rsidRDefault="004A16D3" w:rsidP="00C951ED">
            <w:pPr>
              <w:pStyle w:val="TBL2-MID"/>
              <w:ind w:left="1080"/>
              <w:rPr>
                <w:rFonts w:ascii="Times" w:hAnsi="Times" w:cs="Times"/>
              </w:rPr>
            </w:pPr>
            <w:r w:rsidRPr="004A16D3">
              <w:rPr>
                <w:rStyle w:val="BulletManualBodyList"/>
                <w:rFonts w:ascii="Times" w:hAnsi="Times" w:cs="Times"/>
              </w:rPr>
              <w:t>•</w:t>
            </w:r>
            <w:r w:rsidRPr="004A16D3">
              <w:rPr>
                <w:rFonts w:ascii="Times" w:hAnsi="Times" w:cs="Times"/>
              </w:rPr>
              <w:t xml:space="preserve"> In infants &lt;1000 g advance GIR by 1-1.5 mg/kg/min as tolerated</w:t>
            </w:r>
          </w:p>
          <w:p w:rsidR="004A16D3" w:rsidRPr="004A16D3" w:rsidRDefault="004A16D3" w:rsidP="00C951ED">
            <w:pPr>
              <w:pStyle w:val="TBL2-MID"/>
              <w:ind w:left="1080"/>
              <w:rPr>
                <w:rFonts w:ascii="Times" w:hAnsi="Times" w:cs="Times"/>
              </w:rPr>
            </w:pPr>
            <w:r w:rsidRPr="004A16D3">
              <w:rPr>
                <w:rStyle w:val="BulletManualBodyList"/>
                <w:rFonts w:ascii="Times" w:hAnsi="Times" w:cs="Times"/>
              </w:rPr>
              <w:t>•</w:t>
            </w:r>
            <w:r w:rsidRPr="004A16D3">
              <w:rPr>
                <w:rFonts w:ascii="Times" w:hAnsi="Times" w:cs="Times"/>
              </w:rPr>
              <w:t xml:space="preserve"> In infants &gt;1000 g advance GIR by 1-2 mg/kg/min as tolerated</w:t>
            </w:r>
          </w:p>
          <w:p w:rsidR="004A16D3" w:rsidRPr="004A16D3" w:rsidRDefault="004A16D3" w:rsidP="00C951ED">
            <w:pPr>
              <w:pStyle w:val="TBL-MID"/>
              <w:widowControl w:val="0"/>
              <w:autoSpaceDE w:val="0"/>
              <w:autoSpaceDN w:val="0"/>
              <w:adjustRightInd w:val="0"/>
              <w:spacing w:line="480" w:lineRule="auto"/>
              <w:rPr>
                <w:rFonts w:ascii="Times" w:hAnsi="Times" w:cs="Times"/>
              </w:rPr>
            </w:pPr>
            <w:r w:rsidRPr="004A16D3">
              <w:rPr>
                <w:rStyle w:val="BulletManualBodyList"/>
                <w:rFonts w:ascii="Times" w:hAnsi="Times" w:cs="Times"/>
              </w:rPr>
              <w:t>•</w:t>
            </w:r>
            <w:r w:rsidRPr="004A16D3">
              <w:rPr>
                <w:rFonts w:ascii="Times" w:hAnsi="Times" w:cs="Times"/>
              </w:rPr>
              <w:t xml:space="preserve"> Limit to GIR to &lt;14 mg/kg/min to prevent overfeeding, fatty liver, CO</w:t>
            </w:r>
            <w:r w:rsidRPr="004A16D3">
              <w:rPr>
                <w:rFonts w:ascii="Times" w:hAnsi="Times" w:cs="Times"/>
                <w:vertAlign w:val="subscript"/>
              </w:rPr>
              <w:t>2</w:t>
            </w:r>
            <w:r w:rsidRPr="004A16D3">
              <w:rPr>
                <w:rFonts w:ascii="Times" w:hAnsi="Times" w:cs="Times"/>
              </w:rPr>
              <w:t xml:space="preserve"> production</w:t>
            </w:r>
          </w:p>
          <w:p w:rsidR="004A16D3" w:rsidRPr="004A16D3" w:rsidRDefault="004A16D3" w:rsidP="00C951ED">
            <w:pPr>
              <w:pStyle w:val="TBL-LAST"/>
              <w:widowControl w:val="0"/>
              <w:tabs>
                <w:tab w:val="left" w:pos="0"/>
              </w:tabs>
              <w:autoSpaceDE w:val="0"/>
              <w:autoSpaceDN w:val="0"/>
              <w:adjustRightInd w:val="0"/>
              <w:spacing w:line="480" w:lineRule="auto"/>
              <w:rPr>
                <w:rFonts w:ascii="Times" w:hAnsi="Times" w:cs="Times"/>
              </w:rPr>
            </w:pPr>
            <w:r w:rsidRPr="004A16D3">
              <w:rPr>
                <w:rStyle w:val="BulletManualBodyList"/>
                <w:rFonts w:ascii="Times" w:hAnsi="Times" w:cs="Times"/>
              </w:rPr>
              <w:t>•</w:t>
            </w:r>
            <w:r w:rsidRPr="004A16D3">
              <w:rPr>
                <w:rFonts w:ascii="Times" w:hAnsi="Times" w:cs="Times"/>
              </w:rPr>
              <w:t xml:space="preserve"> May require &gt;14 mg/kg/min if on 1 g/kg/d IV lipid restriction to meet energy needs</w:t>
            </w:r>
          </w:p>
        </w:tc>
      </w:tr>
      <w:tr w:rsidR="004A16D3" w:rsidRPr="004A16D3" w:rsidTr="00C951ED">
        <w:trPr>
          <w:trHeight w:val="987"/>
        </w:trPr>
        <w:tc>
          <w:tcPr>
            <w:tcW w:w="8856" w:type="dxa"/>
            <w:tcBorders>
              <w:top w:val="single" w:sz="12" w:space="0" w:color="auto"/>
              <w:bottom w:val="single" w:sz="12" w:space="0" w:color="auto"/>
            </w:tcBorders>
          </w:tcPr>
          <w:p w:rsidR="004A16D3" w:rsidRPr="004A16D3" w:rsidRDefault="004A16D3" w:rsidP="00C951ED">
            <w:pPr>
              <w:pStyle w:val="T0"/>
              <w:widowControl w:val="0"/>
              <w:autoSpaceDE w:val="0"/>
              <w:autoSpaceDN w:val="0"/>
              <w:adjustRightInd w:val="0"/>
              <w:spacing w:line="480" w:lineRule="auto"/>
              <w:rPr>
                <w:rFonts w:ascii="Times" w:hAnsi="Times" w:cs="Times"/>
                <w:bCs/>
              </w:rPr>
            </w:pPr>
            <w:r w:rsidRPr="004A16D3">
              <w:rPr>
                <w:rFonts w:ascii="Times" w:hAnsi="Times" w:cs="Times"/>
              </w:rPr>
              <w:t>Protein</w:t>
            </w:r>
          </w:p>
          <w:p w:rsidR="004A16D3" w:rsidRPr="004A16D3" w:rsidRDefault="004A16D3" w:rsidP="00C951ED">
            <w:pPr>
              <w:pStyle w:val="TBL-MID"/>
              <w:widowControl w:val="0"/>
              <w:autoSpaceDE w:val="0"/>
              <w:autoSpaceDN w:val="0"/>
              <w:adjustRightInd w:val="0"/>
              <w:spacing w:line="480" w:lineRule="auto"/>
              <w:rPr>
                <w:rFonts w:ascii="Times" w:hAnsi="Times" w:cs="Times"/>
              </w:rPr>
            </w:pPr>
            <w:r w:rsidRPr="004A16D3">
              <w:rPr>
                <w:rStyle w:val="BulletManualBodyList"/>
                <w:rFonts w:ascii="Times" w:hAnsi="Times" w:cs="Times"/>
              </w:rPr>
              <w:t>•</w:t>
            </w:r>
            <w:r w:rsidRPr="004A16D3">
              <w:rPr>
                <w:rFonts w:ascii="Times" w:hAnsi="Times" w:cs="Times"/>
              </w:rPr>
              <w:t xml:space="preserve"> In infants &lt;1500 g BW: begin at 2-3 g/kg/d, advance to goal of 3.5-4 g/kg/d</w:t>
            </w:r>
          </w:p>
          <w:p w:rsidR="004A16D3" w:rsidRPr="004A16D3" w:rsidRDefault="004A16D3" w:rsidP="00C951ED">
            <w:pPr>
              <w:pStyle w:val="TBL-LAST"/>
              <w:widowControl w:val="0"/>
              <w:autoSpaceDE w:val="0"/>
              <w:autoSpaceDN w:val="0"/>
              <w:adjustRightInd w:val="0"/>
              <w:spacing w:line="480" w:lineRule="auto"/>
              <w:rPr>
                <w:rFonts w:ascii="Times" w:hAnsi="Times" w:cs="Times"/>
                <w:color w:val="FF0000"/>
              </w:rPr>
            </w:pPr>
            <w:r w:rsidRPr="004A16D3">
              <w:rPr>
                <w:rStyle w:val="BulletManualBodyList"/>
                <w:rFonts w:ascii="Times" w:hAnsi="Times" w:cs="Times"/>
              </w:rPr>
              <w:t>•</w:t>
            </w:r>
            <w:r w:rsidRPr="004A16D3">
              <w:rPr>
                <w:rFonts w:ascii="Times" w:hAnsi="Times" w:cs="Times"/>
              </w:rPr>
              <w:t xml:space="preserve"> In infants &gt;1500 g BW: begin at 2 g/kg/d, advance to goal of 3 g/kg/d</w:t>
            </w:r>
          </w:p>
        </w:tc>
      </w:tr>
      <w:tr w:rsidR="004A16D3" w:rsidRPr="004A16D3" w:rsidTr="00C951ED">
        <w:trPr>
          <w:trHeight w:val="420"/>
        </w:trPr>
        <w:tc>
          <w:tcPr>
            <w:tcW w:w="8856" w:type="dxa"/>
            <w:tcBorders>
              <w:top w:val="single" w:sz="12" w:space="0" w:color="auto"/>
              <w:bottom w:val="single" w:sz="12" w:space="0" w:color="auto"/>
            </w:tcBorders>
          </w:tcPr>
          <w:p w:rsidR="004A16D3" w:rsidRPr="004A16D3" w:rsidRDefault="004A16D3" w:rsidP="00C951ED">
            <w:pPr>
              <w:pStyle w:val="T0"/>
              <w:widowControl w:val="0"/>
              <w:autoSpaceDE w:val="0"/>
              <w:autoSpaceDN w:val="0"/>
              <w:adjustRightInd w:val="0"/>
              <w:spacing w:line="480" w:lineRule="auto"/>
              <w:rPr>
                <w:rFonts w:ascii="Times" w:hAnsi="Times" w:cs="Times"/>
                <w:bCs/>
              </w:rPr>
            </w:pPr>
            <w:r w:rsidRPr="004A16D3">
              <w:rPr>
                <w:rFonts w:ascii="Times" w:hAnsi="Times" w:cs="Times"/>
              </w:rPr>
              <w:t>Fat</w:t>
            </w:r>
          </w:p>
          <w:p w:rsidR="004A16D3" w:rsidRPr="004A16D3" w:rsidRDefault="004A16D3" w:rsidP="00C951ED">
            <w:pPr>
              <w:pStyle w:val="TBL-MID"/>
              <w:widowControl w:val="0"/>
              <w:autoSpaceDE w:val="0"/>
              <w:autoSpaceDN w:val="0"/>
              <w:adjustRightInd w:val="0"/>
              <w:spacing w:line="480" w:lineRule="auto"/>
              <w:rPr>
                <w:rFonts w:ascii="Times" w:hAnsi="Times" w:cs="Times"/>
              </w:rPr>
            </w:pPr>
            <w:r w:rsidRPr="004A16D3">
              <w:rPr>
                <w:rStyle w:val="BulletManualBodyList"/>
                <w:rFonts w:ascii="Times" w:hAnsi="Times" w:cs="Times"/>
              </w:rPr>
              <w:t>•</w:t>
            </w:r>
            <w:r w:rsidRPr="004A16D3">
              <w:rPr>
                <w:rFonts w:ascii="Times" w:hAnsi="Times" w:cs="Times"/>
              </w:rPr>
              <w:t xml:space="preserve"> Begin at 1 g/kg/d and advance by 1 g/kg/d to goal of 3 g/kg/d (soy and mixed oil emulsions)</w:t>
            </w:r>
          </w:p>
          <w:p w:rsidR="004A16D3" w:rsidRPr="004A16D3" w:rsidRDefault="004A16D3" w:rsidP="00C951ED">
            <w:pPr>
              <w:pStyle w:val="TBL-MID"/>
              <w:widowControl w:val="0"/>
              <w:autoSpaceDE w:val="0"/>
              <w:autoSpaceDN w:val="0"/>
              <w:adjustRightInd w:val="0"/>
              <w:spacing w:line="480" w:lineRule="auto"/>
              <w:rPr>
                <w:rFonts w:ascii="Times" w:hAnsi="Times" w:cs="Times"/>
              </w:rPr>
            </w:pPr>
            <w:r w:rsidRPr="004A16D3">
              <w:rPr>
                <w:rStyle w:val="BulletManualBodyList"/>
                <w:rFonts w:ascii="Times" w:hAnsi="Times" w:cs="Times"/>
              </w:rPr>
              <w:t>•</w:t>
            </w:r>
            <w:r w:rsidRPr="004A16D3">
              <w:rPr>
                <w:rFonts w:ascii="Times" w:hAnsi="Times" w:cs="Times"/>
              </w:rPr>
              <w:t xml:space="preserve"> Soybean oil lipid or mixed oil emulsion if anticipated PN duration or limited EN exposure for &lt;2-3 wk</w:t>
            </w:r>
          </w:p>
          <w:p w:rsidR="004A16D3" w:rsidRPr="004A16D3" w:rsidRDefault="004A16D3" w:rsidP="00C951ED">
            <w:pPr>
              <w:pStyle w:val="TBL-MID"/>
              <w:widowControl w:val="0"/>
              <w:autoSpaceDE w:val="0"/>
              <w:autoSpaceDN w:val="0"/>
              <w:adjustRightInd w:val="0"/>
              <w:spacing w:line="480" w:lineRule="auto"/>
              <w:rPr>
                <w:rFonts w:ascii="Times" w:hAnsi="Times" w:cs="Times"/>
              </w:rPr>
            </w:pPr>
            <w:r w:rsidRPr="004A16D3">
              <w:rPr>
                <w:rStyle w:val="BulletManualBodyList"/>
                <w:rFonts w:ascii="Times" w:hAnsi="Times" w:cs="Times"/>
              </w:rPr>
              <w:t>•</w:t>
            </w:r>
            <w:r w:rsidRPr="004A16D3">
              <w:rPr>
                <w:rFonts w:ascii="Times" w:hAnsi="Times" w:cs="Times"/>
              </w:rPr>
              <w:t xml:space="preserve"> If anticipated PN duration or limited EN exposure is &gt;2-3 wk consider maintaining 1-2 g/kg/d soybean oil or a mixed lipid emulsion at 3 g/kg/d</w:t>
            </w:r>
          </w:p>
          <w:p w:rsidR="004A16D3" w:rsidRPr="004A16D3" w:rsidRDefault="004A16D3" w:rsidP="00C951ED">
            <w:pPr>
              <w:pStyle w:val="TBL-MID"/>
              <w:widowControl w:val="0"/>
              <w:autoSpaceDE w:val="0"/>
              <w:autoSpaceDN w:val="0"/>
              <w:adjustRightInd w:val="0"/>
              <w:spacing w:line="480" w:lineRule="auto"/>
              <w:rPr>
                <w:rFonts w:ascii="Times" w:hAnsi="Times" w:cs="Times"/>
              </w:rPr>
            </w:pPr>
            <w:r w:rsidRPr="004A16D3">
              <w:rPr>
                <w:rStyle w:val="BulletManualBodyList"/>
                <w:rFonts w:ascii="Times" w:hAnsi="Times" w:cs="Times"/>
              </w:rPr>
              <w:t>•</w:t>
            </w:r>
            <w:r w:rsidRPr="004A16D3">
              <w:rPr>
                <w:rFonts w:ascii="Times" w:hAnsi="Times" w:cs="Times"/>
              </w:rPr>
              <w:t xml:space="preserve"> For infants with established IFALD, consider switching to a fish oil lipid emulsion at 1 g/kg/d. Higher doses are under investigation.</w:t>
            </w:r>
          </w:p>
          <w:p w:rsidR="004A16D3" w:rsidRPr="004A16D3" w:rsidRDefault="004A16D3" w:rsidP="00C951ED">
            <w:pPr>
              <w:pStyle w:val="TBL-MID"/>
              <w:widowControl w:val="0"/>
              <w:autoSpaceDE w:val="0"/>
              <w:autoSpaceDN w:val="0"/>
              <w:adjustRightInd w:val="0"/>
              <w:spacing w:line="480" w:lineRule="auto"/>
              <w:rPr>
                <w:rFonts w:ascii="Times" w:hAnsi="Times" w:cs="Times"/>
                <w:bCs/>
              </w:rPr>
            </w:pPr>
            <w:r w:rsidRPr="004A16D3">
              <w:rPr>
                <w:rStyle w:val="BulletManualBodyList"/>
                <w:rFonts w:ascii="Times" w:hAnsi="Times" w:cs="Times"/>
              </w:rPr>
              <w:t>•</w:t>
            </w:r>
            <w:r w:rsidRPr="004A16D3">
              <w:rPr>
                <w:rFonts w:ascii="Times" w:hAnsi="Times" w:cs="Times"/>
              </w:rPr>
              <w:t xml:space="preserve"> May run lipid via central or peripheral access, over 12-24 h</w:t>
            </w:r>
          </w:p>
          <w:p w:rsidR="004A16D3" w:rsidRPr="004A16D3" w:rsidRDefault="004A16D3" w:rsidP="00C951ED">
            <w:pPr>
              <w:pStyle w:val="TBL-MID"/>
              <w:widowControl w:val="0"/>
              <w:autoSpaceDE w:val="0"/>
              <w:autoSpaceDN w:val="0"/>
              <w:adjustRightInd w:val="0"/>
              <w:spacing w:line="480" w:lineRule="auto"/>
              <w:rPr>
                <w:rFonts w:ascii="Times" w:hAnsi="Times" w:cs="Times"/>
                <w:bCs/>
              </w:rPr>
            </w:pPr>
            <w:r w:rsidRPr="004A16D3">
              <w:rPr>
                <w:rStyle w:val="BulletManualBodyList"/>
                <w:rFonts w:ascii="Times" w:hAnsi="Times" w:cs="Times"/>
              </w:rPr>
              <w:t>•</w:t>
            </w:r>
            <w:r w:rsidRPr="004A16D3">
              <w:rPr>
                <w:rFonts w:ascii="Times" w:hAnsi="Times" w:cs="Times"/>
              </w:rPr>
              <w:t xml:space="preserve"> Monitor tolerance with serum triglycerides, serum levels &lt;250 mg/dL are acceptable</w:t>
            </w:r>
          </w:p>
          <w:p w:rsidR="004A16D3" w:rsidRPr="004A16D3" w:rsidRDefault="004A16D3" w:rsidP="00C951ED">
            <w:pPr>
              <w:pStyle w:val="TBL-MID"/>
              <w:widowControl w:val="0"/>
              <w:autoSpaceDE w:val="0"/>
              <w:autoSpaceDN w:val="0"/>
              <w:adjustRightInd w:val="0"/>
              <w:spacing w:line="480" w:lineRule="auto"/>
              <w:rPr>
                <w:rFonts w:ascii="Times" w:hAnsi="Times" w:cs="Times"/>
              </w:rPr>
            </w:pPr>
            <w:r w:rsidRPr="004A16D3">
              <w:rPr>
                <w:rStyle w:val="BulletManualBodyList"/>
                <w:rFonts w:ascii="Times" w:hAnsi="Times" w:cs="Times"/>
              </w:rPr>
              <w:t>•</w:t>
            </w:r>
            <w:r w:rsidRPr="004A16D3">
              <w:rPr>
                <w:rFonts w:ascii="Times" w:hAnsi="Times" w:cs="Times"/>
              </w:rPr>
              <w:t xml:space="preserve"> EFAD may occur in &lt;1 wk without lipid source; provide minimum 0.5 g/kg/d soy oil emulsion to prevent deficiency</w:t>
            </w:r>
          </w:p>
        </w:tc>
      </w:tr>
      <w:tr w:rsidR="004A16D3" w:rsidRPr="004A16D3" w:rsidTr="00C951ED">
        <w:trPr>
          <w:trHeight w:val="870"/>
        </w:trPr>
        <w:tc>
          <w:tcPr>
            <w:tcW w:w="8856" w:type="dxa"/>
            <w:tcBorders>
              <w:top w:val="single" w:sz="12" w:space="0" w:color="auto"/>
              <w:bottom w:val="single" w:sz="12" w:space="0" w:color="auto"/>
            </w:tcBorders>
          </w:tcPr>
          <w:p w:rsidR="004A16D3" w:rsidRPr="004A16D3" w:rsidRDefault="004A16D3" w:rsidP="00C951ED">
            <w:pPr>
              <w:pStyle w:val="T0"/>
              <w:widowControl w:val="0"/>
              <w:autoSpaceDE w:val="0"/>
              <w:autoSpaceDN w:val="0"/>
              <w:adjustRightInd w:val="0"/>
              <w:spacing w:line="480" w:lineRule="auto"/>
              <w:rPr>
                <w:rFonts w:ascii="Times" w:hAnsi="Times" w:cs="Times"/>
                <w:bCs/>
              </w:rPr>
            </w:pPr>
            <w:r w:rsidRPr="004A16D3">
              <w:rPr>
                <w:rFonts w:ascii="Times" w:hAnsi="Times" w:cs="Times"/>
              </w:rPr>
              <w:lastRenderedPageBreak/>
              <w:t>Energy</w:t>
            </w:r>
          </w:p>
          <w:p w:rsidR="004A16D3" w:rsidRPr="004A16D3" w:rsidRDefault="004A16D3" w:rsidP="00C951ED">
            <w:pPr>
              <w:pStyle w:val="TBL-MID"/>
              <w:widowControl w:val="0"/>
              <w:tabs>
                <w:tab w:val="left" w:pos="720"/>
              </w:tabs>
              <w:autoSpaceDE w:val="0"/>
              <w:autoSpaceDN w:val="0"/>
              <w:adjustRightInd w:val="0"/>
              <w:spacing w:line="480" w:lineRule="auto"/>
              <w:ind w:left="720" w:hanging="720"/>
              <w:rPr>
                <w:rFonts w:ascii="Times" w:hAnsi="Times" w:cs="Times"/>
                <w:bCs/>
              </w:rPr>
            </w:pPr>
            <w:r w:rsidRPr="004A16D3">
              <w:rPr>
                <w:rFonts w:ascii="Symbol" w:hAnsi="Symbol" w:cs="Times"/>
                <w:bCs/>
                <w:sz w:val="16"/>
              </w:rPr>
              <w:t></w:t>
            </w:r>
            <w:r w:rsidRPr="004A16D3">
              <w:rPr>
                <w:rFonts w:ascii="Symbol" w:hAnsi="Symbol" w:cs="Times"/>
                <w:bCs/>
                <w:sz w:val="16"/>
              </w:rPr>
              <w:tab/>
            </w:r>
            <w:r w:rsidRPr="004A16D3">
              <w:rPr>
                <w:rFonts w:ascii="Times" w:hAnsi="Times" w:cs="Times"/>
              </w:rPr>
              <w:t>&lt;1000 g: 100-115 kcal/kg/d</w:t>
            </w:r>
          </w:p>
          <w:p w:rsidR="004A16D3" w:rsidRPr="004A16D3" w:rsidRDefault="004A16D3" w:rsidP="00C951ED">
            <w:pPr>
              <w:pStyle w:val="TBL-MID"/>
              <w:widowControl w:val="0"/>
              <w:tabs>
                <w:tab w:val="left" w:pos="720"/>
              </w:tabs>
              <w:autoSpaceDE w:val="0"/>
              <w:autoSpaceDN w:val="0"/>
              <w:adjustRightInd w:val="0"/>
              <w:spacing w:line="480" w:lineRule="auto"/>
              <w:ind w:left="720" w:hanging="720"/>
              <w:rPr>
                <w:rFonts w:ascii="Times" w:hAnsi="Times" w:cs="Times"/>
              </w:rPr>
            </w:pPr>
            <w:r w:rsidRPr="004A16D3">
              <w:rPr>
                <w:rFonts w:ascii="Symbol" w:hAnsi="Symbol" w:cs="Times"/>
                <w:sz w:val="16"/>
              </w:rPr>
              <w:t></w:t>
            </w:r>
            <w:r w:rsidRPr="004A16D3">
              <w:rPr>
                <w:rFonts w:ascii="Symbol" w:hAnsi="Symbol" w:cs="Times"/>
                <w:sz w:val="16"/>
              </w:rPr>
              <w:tab/>
            </w:r>
            <w:r w:rsidRPr="004A16D3">
              <w:rPr>
                <w:rFonts w:ascii="Times" w:hAnsi="Times" w:cs="Times"/>
              </w:rPr>
              <w:t>1000-1500 g: 90-110 kcal/kg/d</w:t>
            </w:r>
          </w:p>
          <w:p w:rsidR="004A16D3" w:rsidRPr="004A16D3" w:rsidRDefault="004A16D3" w:rsidP="00C951ED">
            <w:pPr>
              <w:pStyle w:val="TBL-MID"/>
              <w:widowControl w:val="0"/>
              <w:tabs>
                <w:tab w:val="left" w:pos="720"/>
              </w:tabs>
              <w:autoSpaceDE w:val="0"/>
              <w:autoSpaceDN w:val="0"/>
              <w:adjustRightInd w:val="0"/>
              <w:spacing w:line="480" w:lineRule="auto"/>
              <w:ind w:left="720" w:hanging="720"/>
              <w:rPr>
                <w:rFonts w:ascii="Times" w:hAnsi="Times" w:cs="Times"/>
              </w:rPr>
            </w:pPr>
            <w:r w:rsidRPr="004A16D3">
              <w:rPr>
                <w:rFonts w:ascii="Symbol" w:hAnsi="Symbol" w:cs="Times"/>
                <w:sz w:val="16"/>
              </w:rPr>
              <w:t></w:t>
            </w:r>
            <w:r w:rsidRPr="004A16D3">
              <w:rPr>
                <w:rFonts w:ascii="Symbol" w:hAnsi="Symbol" w:cs="Times"/>
                <w:sz w:val="16"/>
              </w:rPr>
              <w:tab/>
            </w:r>
            <w:r w:rsidRPr="004A16D3">
              <w:rPr>
                <w:rFonts w:ascii="Times" w:hAnsi="Times" w:cs="Times"/>
              </w:rPr>
              <w:t>1500-2000 g: 90-100 kcal/kg/d</w:t>
            </w:r>
          </w:p>
          <w:p w:rsidR="004A16D3" w:rsidRPr="004A16D3" w:rsidRDefault="004A16D3" w:rsidP="00C951ED">
            <w:pPr>
              <w:pStyle w:val="TBL-LAST"/>
              <w:widowControl w:val="0"/>
              <w:tabs>
                <w:tab w:val="left" w:pos="720"/>
              </w:tabs>
              <w:autoSpaceDE w:val="0"/>
              <w:autoSpaceDN w:val="0"/>
              <w:adjustRightInd w:val="0"/>
              <w:spacing w:line="480" w:lineRule="auto"/>
              <w:ind w:left="720" w:hanging="720"/>
              <w:rPr>
                <w:rFonts w:ascii="Times" w:hAnsi="Times" w:cs="Times"/>
              </w:rPr>
            </w:pPr>
            <w:r w:rsidRPr="004A16D3">
              <w:rPr>
                <w:rFonts w:ascii="Symbol" w:hAnsi="Symbol" w:cs="Times"/>
                <w:sz w:val="16"/>
              </w:rPr>
              <w:t></w:t>
            </w:r>
            <w:r w:rsidRPr="004A16D3">
              <w:rPr>
                <w:rFonts w:ascii="Symbol" w:hAnsi="Symbol" w:cs="Times"/>
                <w:sz w:val="16"/>
              </w:rPr>
              <w:tab/>
            </w:r>
            <w:r w:rsidRPr="004A16D3">
              <w:rPr>
                <w:rFonts w:ascii="Times" w:hAnsi="Times" w:cs="Times"/>
              </w:rPr>
              <w:t>2000-2500 g: 90-105 kcal/kg/d</w:t>
            </w:r>
          </w:p>
        </w:tc>
      </w:tr>
      <w:tr w:rsidR="004A16D3" w:rsidRPr="004A16D3" w:rsidTr="00C951ED">
        <w:trPr>
          <w:trHeight w:val="3822"/>
        </w:trPr>
        <w:tc>
          <w:tcPr>
            <w:tcW w:w="8856" w:type="dxa"/>
            <w:tcBorders>
              <w:top w:val="single" w:sz="12" w:space="0" w:color="auto"/>
              <w:bottom w:val="single" w:sz="12" w:space="0" w:color="auto"/>
            </w:tcBorders>
          </w:tcPr>
          <w:p w:rsidR="004A16D3" w:rsidRPr="004A16D3" w:rsidRDefault="004A16D3" w:rsidP="00C951ED">
            <w:pPr>
              <w:pStyle w:val="T0"/>
              <w:spacing w:line="480" w:lineRule="auto"/>
            </w:pPr>
            <w:r w:rsidRPr="004A16D3">
              <w:t>Electrolytes</w:t>
            </w:r>
          </w:p>
          <w:p w:rsidR="004A16D3" w:rsidRPr="004A16D3" w:rsidRDefault="004A16D3" w:rsidP="00C951ED">
            <w:pPr>
              <w:pStyle w:val="T0"/>
              <w:spacing w:line="480" w:lineRule="auto"/>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8"/>
              <w:gridCol w:w="1530"/>
              <w:gridCol w:w="1571"/>
              <w:gridCol w:w="1892"/>
            </w:tblGrid>
            <w:tr w:rsidR="004A16D3" w:rsidRPr="004A16D3" w:rsidTr="00C951ED">
              <w:trPr>
                <w:trHeight w:val="580"/>
                <w:jc w:val="center"/>
              </w:trPr>
              <w:tc>
                <w:tcPr>
                  <w:tcW w:w="2858" w:type="dxa"/>
                </w:tcPr>
                <w:p w:rsidR="004A16D3" w:rsidRPr="004A16D3" w:rsidRDefault="004A16D3" w:rsidP="00C951ED">
                  <w:pPr>
                    <w:pStyle w:val="T2"/>
                    <w:widowControl w:val="0"/>
                    <w:autoSpaceDE w:val="0"/>
                    <w:autoSpaceDN w:val="0"/>
                    <w:adjustRightInd w:val="0"/>
                    <w:spacing w:line="480" w:lineRule="auto"/>
                    <w:rPr>
                      <w:rFonts w:ascii="Times" w:hAnsi="Times" w:cs="Times"/>
                    </w:rPr>
                  </w:pPr>
                </w:p>
              </w:tc>
              <w:tc>
                <w:tcPr>
                  <w:tcW w:w="1530" w:type="dxa"/>
                </w:tcPr>
                <w:p w:rsidR="004A16D3" w:rsidRPr="004A16D3" w:rsidRDefault="004A16D3" w:rsidP="00C951ED">
                  <w:pPr>
                    <w:pStyle w:val="T2"/>
                    <w:widowControl w:val="0"/>
                    <w:autoSpaceDE w:val="0"/>
                    <w:autoSpaceDN w:val="0"/>
                    <w:adjustRightInd w:val="0"/>
                    <w:spacing w:line="480" w:lineRule="auto"/>
                    <w:jc w:val="center"/>
                    <w:rPr>
                      <w:rFonts w:ascii="Times" w:hAnsi="Times" w:cs="Times"/>
                    </w:rPr>
                  </w:pPr>
                  <w:r w:rsidRPr="004A16D3">
                    <w:rPr>
                      <w:rFonts w:ascii="Times" w:hAnsi="Times" w:cs="Times"/>
                    </w:rPr>
                    <w:t>Initial Dose (Day 0)</w:t>
                  </w:r>
                </w:p>
              </w:tc>
              <w:tc>
                <w:tcPr>
                  <w:tcW w:w="1571" w:type="dxa"/>
                </w:tcPr>
                <w:p w:rsidR="004A16D3" w:rsidRPr="004A16D3" w:rsidRDefault="004A16D3" w:rsidP="00C951ED">
                  <w:pPr>
                    <w:pStyle w:val="T2"/>
                    <w:widowControl w:val="0"/>
                    <w:autoSpaceDE w:val="0"/>
                    <w:autoSpaceDN w:val="0"/>
                    <w:adjustRightInd w:val="0"/>
                    <w:spacing w:line="480" w:lineRule="auto"/>
                    <w:jc w:val="center"/>
                    <w:rPr>
                      <w:rFonts w:ascii="Times" w:hAnsi="Times" w:cs="Times"/>
                    </w:rPr>
                  </w:pPr>
                  <w:r w:rsidRPr="004A16D3">
                    <w:rPr>
                      <w:rFonts w:ascii="Times" w:hAnsi="Times" w:cs="Times"/>
                    </w:rPr>
                    <w:t>Transition Dose</w:t>
                  </w:r>
                </w:p>
              </w:tc>
              <w:tc>
                <w:tcPr>
                  <w:tcW w:w="1892" w:type="dxa"/>
                </w:tcPr>
                <w:p w:rsidR="004A16D3" w:rsidRPr="004A16D3" w:rsidRDefault="004A16D3" w:rsidP="00C951ED">
                  <w:pPr>
                    <w:pStyle w:val="T2"/>
                    <w:widowControl w:val="0"/>
                    <w:autoSpaceDE w:val="0"/>
                    <w:autoSpaceDN w:val="0"/>
                    <w:adjustRightInd w:val="0"/>
                    <w:spacing w:line="480" w:lineRule="auto"/>
                    <w:jc w:val="center"/>
                    <w:rPr>
                      <w:rFonts w:ascii="Times" w:hAnsi="Times" w:cs="Times"/>
                    </w:rPr>
                  </w:pPr>
                  <w:r w:rsidRPr="004A16D3">
                    <w:rPr>
                      <w:rFonts w:ascii="Times" w:hAnsi="Times" w:cs="Times"/>
                    </w:rPr>
                    <w:t>Growing Pre-term</w:t>
                  </w:r>
                </w:p>
              </w:tc>
            </w:tr>
            <w:tr w:rsidR="004A16D3" w:rsidRPr="004A16D3" w:rsidTr="00C951ED">
              <w:trPr>
                <w:trHeight w:val="332"/>
                <w:jc w:val="center"/>
              </w:trPr>
              <w:tc>
                <w:tcPr>
                  <w:tcW w:w="2858" w:type="dxa"/>
                </w:tcPr>
                <w:p w:rsidR="004A16D3" w:rsidRPr="004A16D3" w:rsidRDefault="004A16D3" w:rsidP="00C951ED">
                  <w:pPr>
                    <w:pStyle w:val="T0"/>
                    <w:widowControl w:val="0"/>
                    <w:autoSpaceDE w:val="0"/>
                    <w:autoSpaceDN w:val="0"/>
                    <w:adjustRightInd w:val="0"/>
                    <w:spacing w:line="480" w:lineRule="auto"/>
                    <w:rPr>
                      <w:rFonts w:ascii="Times" w:hAnsi="Times" w:cs="Times"/>
                    </w:rPr>
                  </w:pPr>
                  <w:r w:rsidRPr="004A16D3">
                    <w:rPr>
                      <w:rFonts w:ascii="Times" w:hAnsi="Times" w:cs="Times"/>
                    </w:rPr>
                    <w:t>Sodium (mEq/kg/d)</w:t>
                  </w:r>
                </w:p>
              </w:tc>
              <w:tc>
                <w:tcPr>
                  <w:tcW w:w="1530" w:type="dxa"/>
                </w:tcPr>
                <w:p w:rsidR="004A16D3" w:rsidRPr="004A16D3" w:rsidRDefault="004A16D3" w:rsidP="00C951ED">
                  <w:pPr>
                    <w:pStyle w:val="T0"/>
                    <w:widowControl w:val="0"/>
                    <w:autoSpaceDE w:val="0"/>
                    <w:autoSpaceDN w:val="0"/>
                    <w:adjustRightInd w:val="0"/>
                    <w:spacing w:line="480" w:lineRule="auto"/>
                    <w:jc w:val="center"/>
                    <w:rPr>
                      <w:rFonts w:ascii="Times" w:hAnsi="Times" w:cs="Times"/>
                    </w:rPr>
                  </w:pPr>
                  <w:r w:rsidRPr="004A16D3">
                    <w:rPr>
                      <w:rFonts w:ascii="Times" w:hAnsi="Times" w:cs="Times"/>
                    </w:rPr>
                    <w:t>0-1</w:t>
                  </w:r>
                </w:p>
              </w:tc>
              <w:tc>
                <w:tcPr>
                  <w:tcW w:w="1571" w:type="dxa"/>
                </w:tcPr>
                <w:p w:rsidR="004A16D3" w:rsidRPr="004A16D3" w:rsidRDefault="004A16D3" w:rsidP="00C951ED">
                  <w:pPr>
                    <w:pStyle w:val="T0"/>
                    <w:widowControl w:val="0"/>
                    <w:autoSpaceDE w:val="0"/>
                    <w:autoSpaceDN w:val="0"/>
                    <w:adjustRightInd w:val="0"/>
                    <w:spacing w:line="480" w:lineRule="auto"/>
                    <w:jc w:val="center"/>
                    <w:rPr>
                      <w:rFonts w:ascii="Times" w:hAnsi="Times" w:cs="Times"/>
                    </w:rPr>
                  </w:pPr>
                  <w:r w:rsidRPr="004A16D3">
                    <w:rPr>
                      <w:rFonts w:ascii="Times" w:hAnsi="Times" w:cs="Times"/>
                    </w:rPr>
                    <w:t>2-5</w:t>
                  </w:r>
                </w:p>
              </w:tc>
              <w:tc>
                <w:tcPr>
                  <w:tcW w:w="1892" w:type="dxa"/>
                </w:tcPr>
                <w:p w:rsidR="004A16D3" w:rsidRPr="004A16D3" w:rsidRDefault="004A16D3" w:rsidP="00C951ED">
                  <w:pPr>
                    <w:pStyle w:val="T0"/>
                    <w:widowControl w:val="0"/>
                    <w:autoSpaceDE w:val="0"/>
                    <w:autoSpaceDN w:val="0"/>
                    <w:adjustRightInd w:val="0"/>
                    <w:spacing w:line="480" w:lineRule="auto"/>
                    <w:jc w:val="center"/>
                    <w:rPr>
                      <w:rFonts w:ascii="Times" w:hAnsi="Times" w:cs="Times"/>
                    </w:rPr>
                  </w:pPr>
                  <w:r w:rsidRPr="004A16D3">
                    <w:rPr>
                      <w:rFonts w:ascii="Times" w:hAnsi="Times" w:cs="Times"/>
                    </w:rPr>
                    <w:t>3-5</w:t>
                  </w:r>
                </w:p>
              </w:tc>
            </w:tr>
            <w:tr w:rsidR="004A16D3" w:rsidRPr="004A16D3" w:rsidTr="00C951ED">
              <w:trPr>
                <w:trHeight w:val="341"/>
                <w:jc w:val="center"/>
              </w:trPr>
              <w:tc>
                <w:tcPr>
                  <w:tcW w:w="2858" w:type="dxa"/>
                </w:tcPr>
                <w:p w:rsidR="004A16D3" w:rsidRPr="004A16D3" w:rsidRDefault="004A16D3" w:rsidP="00C951ED">
                  <w:pPr>
                    <w:pStyle w:val="T0"/>
                    <w:widowControl w:val="0"/>
                    <w:autoSpaceDE w:val="0"/>
                    <w:autoSpaceDN w:val="0"/>
                    <w:adjustRightInd w:val="0"/>
                    <w:spacing w:line="480" w:lineRule="auto"/>
                    <w:rPr>
                      <w:rFonts w:ascii="Times" w:hAnsi="Times" w:cs="Times"/>
                    </w:rPr>
                  </w:pPr>
                  <w:r w:rsidRPr="004A16D3">
                    <w:rPr>
                      <w:rFonts w:ascii="Times" w:hAnsi="Times" w:cs="Times"/>
                    </w:rPr>
                    <w:t>Potassium (mEq/kg/d)</w:t>
                  </w:r>
                </w:p>
              </w:tc>
              <w:tc>
                <w:tcPr>
                  <w:tcW w:w="1530" w:type="dxa"/>
                </w:tcPr>
                <w:p w:rsidR="004A16D3" w:rsidRPr="004A16D3" w:rsidRDefault="004A16D3" w:rsidP="00C951ED">
                  <w:pPr>
                    <w:pStyle w:val="T0"/>
                    <w:widowControl w:val="0"/>
                    <w:autoSpaceDE w:val="0"/>
                    <w:autoSpaceDN w:val="0"/>
                    <w:adjustRightInd w:val="0"/>
                    <w:spacing w:line="480" w:lineRule="auto"/>
                    <w:jc w:val="center"/>
                    <w:rPr>
                      <w:rFonts w:ascii="Times" w:hAnsi="Times" w:cs="Times"/>
                    </w:rPr>
                  </w:pPr>
                  <w:r w:rsidRPr="004A16D3">
                    <w:rPr>
                      <w:rFonts w:ascii="Times" w:hAnsi="Times" w:cs="Times"/>
                    </w:rPr>
                    <w:t>0</w:t>
                  </w:r>
                </w:p>
              </w:tc>
              <w:tc>
                <w:tcPr>
                  <w:tcW w:w="1571" w:type="dxa"/>
                </w:tcPr>
                <w:p w:rsidR="004A16D3" w:rsidRPr="004A16D3" w:rsidRDefault="004A16D3" w:rsidP="00C951ED">
                  <w:pPr>
                    <w:pStyle w:val="T0"/>
                    <w:widowControl w:val="0"/>
                    <w:autoSpaceDE w:val="0"/>
                    <w:autoSpaceDN w:val="0"/>
                    <w:adjustRightInd w:val="0"/>
                    <w:spacing w:line="480" w:lineRule="auto"/>
                    <w:jc w:val="center"/>
                    <w:rPr>
                      <w:rFonts w:ascii="Times" w:hAnsi="Times" w:cs="Times"/>
                    </w:rPr>
                  </w:pPr>
                  <w:r w:rsidRPr="004A16D3">
                    <w:rPr>
                      <w:rFonts w:ascii="Times" w:hAnsi="Times" w:cs="Times"/>
                    </w:rPr>
                    <w:t>1-2</w:t>
                  </w:r>
                </w:p>
              </w:tc>
              <w:tc>
                <w:tcPr>
                  <w:tcW w:w="1892" w:type="dxa"/>
                </w:tcPr>
                <w:p w:rsidR="004A16D3" w:rsidRPr="004A16D3" w:rsidRDefault="004A16D3" w:rsidP="00C951ED">
                  <w:pPr>
                    <w:pStyle w:val="T0"/>
                    <w:widowControl w:val="0"/>
                    <w:autoSpaceDE w:val="0"/>
                    <w:autoSpaceDN w:val="0"/>
                    <w:adjustRightInd w:val="0"/>
                    <w:spacing w:line="480" w:lineRule="auto"/>
                    <w:jc w:val="center"/>
                    <w:rPr>
                      <w:rFonts w:ascii="Times" w:hAnsi="Times" w:cs="Times"/>
                    </w:rPr>
                  </w:pPr>
                  <w:r w:rsidRPr="004A16D3">
                    <w:rPr>
                      <w:rFonts w:ascii="Times" w:hAnsi="Times" w:cs="Times"/>
                    </w:rPr>
                    <w:t>2-4</w:t>
                  </w:r>
                </w:p>
              </w:tc>
            </w:tr>
            <w:tr w:rsidR="004A16D3" w:rsidRPr="004A16D3" w:rsidTr="00C951ED">
              <w:trPr>
                <w:trHeight w:val="359"/>
                <w:jc w:val="center"/>
              </w:trPr>
              <w:tc>
                <w:tcPr>
                  <w:tcW w:w="2858" w:type="dxa"/>
                </w:tcPr>
                <w:p w:rsidR="004A16D3" w:rsidRPr="004A16D3" w:rsidRDefault="004A16D3" w:rsidP="00C951ED">
                  <w:pPr>
                    <w:pStyle w:val="T0"/>
                    <w:widowControl w:val="0"/>
                    <w:autoSpaceDE w:val="0"/>
                    <w:autoSpaceDN w:val="0"/>
                    <w:adjustRightInd w:val="0"/>
                    <w:spacing w:line="480" w:lineRule="auto"/>
                    <w:rPr>
                      <w:rFonts w:ascii="Times" w:hAnsi="Times" w:cs="Times"/>
                    </w:rPr>
                  </w:pPr>
                  <w:r w:rsidRPr="004A16D3">
                    <w:rPr>
                      <w:rFonts w:ascii="Times" w:hAnsi="Times" w:cs="Times"/>
                    </w:rPr>
                    <w:t>Calcium (mEq/kg/d)</w:t>
                  </w:r>
                </w:p>
              </w:tc>
              <w:tc>
                <w:tcPr>
                  <w:tcW w:w="1530" w:type="dxa"/>
                </w:tcPr>
                <w:p w:rsidR="004A16D3" w:rsidRPr="004A16D3" w:rsidRDefault="004A16D3" w:rsidP="00C951ED">
                  <w:pPr>
                    <w:pStyle w:val="T0"/>
                    <w:widowControl w:val="0"/>
                    <w:autoSpaceDE w:val="0"/>
                    <w:autoSpaceDN w:val="0"/>
                    <w:adjustRightInd w:val="0"/>
                    <w:spacing w:line="480" w:lineRule="auto"/>
                    <w:jc w:val="center"/>
                    <w:rPr>
                      <w:rFonts w:ascii="Times" w:hAnsi="Times" w:cs="Times"/>
                    </w:rPr>
                  </w:pPr>
                  <w:r w:rsidRPr="004A16D3">
                    <w:rPr>
                      <w:rFonts w:ascii="Times" w:hAnsi="Times" w:cs="Times"/>
                    </w:rPr>
                    <w:t>1-2</w:t>
                  </w:r>
                </w:p>
              </w:tc>
              <w:tc>
                <w:tcPr>
                  <w:tcW w:w="1571" w:type="dxa"/>
                </w:tcPr>
                <w:p w:rsidR="004A16D3" w:rsidRPr="004A16D3" w:rsidRDefault="004A16D3" w:rsidP="00C951ED">
                  <w:pPr>
                    <w:pStyle w:val="T0"/>
                    <w:widowControl w:val="0"/>
                    <w:autoSpaceDE w:val="0"/>
                    <w:autoSpaceDN w:val="0"/>
                    <w:adjustRightInd w:val="0"/>
                    <w:spacing w:line="480" w:lineRule="auto"/>
                    <w:jc w:val="center"/>
                    <w:rPr>
                      <w:rFonts w:ascii="Times" w:hAnsi="Times" w:cs="Times"/>
                    </w:rPr>
                  </w:pPr>
                  <w:r w:rsidRPr="004A16D3">
                    <w:rPr>
                      <w:rFonts w:ascii="Times" w:hAnsi="Times" w:cs="Times"/>
                    </w:rPr>
                    <w:t>2-3</w:t>
                  </w:r>
                </w:p>
              </w:tc>
              <w:tc>
                <w:tcPr>
                  <w:tcW w:w="1892" w:type="dxa"/>
                </w:tcPr>
                <w:p w:rsidR="004A16D3" w:rsidRPr="004A16D3" w:rsidRDefault="004A16D3" w:rsidP="00C951ED">
                  <w:pPr>
                    <w:pStyle w:val="T0"/>
                    <w:widowControl w:val="0"/>
                    <w:autoSpaceDE w:val="0"/>
                    <w:autoSpaceDN w:val="0"/>
                    <w:adjustRightInd w:val="0"/>
                    <w:spacing w:line="480" w:lineRule="auto"/>
                    <w:jc w:val="center"/>
                    <w:rPr>
                      <w:rFonts w:ascii="Times" w:hAnsi="Times" w:cs="Times"/>
                    </w:rPr>
                  </w:pPr>
                  <w:r w:rsidRPr="004A16D3">
                    <w:rPr>
                      <w:rFonts w:ascii="Times" w:hAnsi="Times" w:cs="Times"/>
                    </w:rPr>
                    <w:t>3</w:t>
                  </w:r>
                </w:p>
              </w:tc>
            </w:tr>
            <w:tr w:rsidR="004A16D3" w:rsidRPr="004A16D3" w:rsidTr="00C951ED">
              <w:trPr>
                <w:trHeight w:val="341"/>
                <w:jc w:val="center"/>
              </w:trPr>
              <w:tc>
                <w:tcPr>
                  <w:tcW w:w="2858" w:type="dxa"/>
                </w:tcPr>
                <w:p w:rsidR="004A16D3" w:rsidRPr="004A16D3" w:rsidRDefault="004A16D3" w:rsidP="00C951ED">
                  <w:pPr>
                    <w:pStyle w:val="T0"/>
                    <w:widowControl w:val="0"/>
                    <w:autoSpaceDE w:val="0"/>
                    <w:autoSpaceDN w:val="0"/>
                    <w:adjustRightInd w:val="0"/>
                    <w:spacing w:line="480" w:lineRule="auto"/>
                    <w:rPr>
                      <w:rFonts w:ascii="Times" w:hAnsi="Times" w:cs="Times"/>
                    </w:rPr>
                  </w:pPr>
                  <w:r w:rsidRPr="004A16D3">
                    <w:rPr>
                      <w:rFonts w:ascii="Times" w:hAnsi="Times" w:cs="Times"/>
                    </w:rPr>
                    <w:t>Phosphorus (mmol/kg/d)</w:t>
                  </w:r>
                </w:p>
              </w:tc>
              <w:tc>
                <w:tcPr>
                  <w:tcW w:w="1530" w:type="dxa"/>
                </w:tcPr>
                <w:p w:rsidR="004A16D3" w:rsidRPr="004A16D3" w:rsidRDefault="004A16D3" w:rsidP="00C951ED">
                  <w:pPr>
                    <w:pStyle w:val="T0"/>
                    <w:widowControl w:val="0"/>
                    <w:autoSpaceDE w:val="0"/>
                    <w:autoSpaceDN w:val="0"/>
                    <w:adjustRightInd w:val="0"/>
                    <w:spacing w:line="480" w:lineRule="auto"/>
                    <w:jc w:val="center"/>
                    <w:rPr>
                      <w:rFonts w:ascii="Times" w:hAnsi="Times" w:cs="Times"/>
                    </w:rPr>
                  </w:pPr>
                  <w:r w:rsidRPr="004A16D3">
                    <w:rPr>
                      <w:rFonts w:ascii="Times" w:hAnsi="Times" w:cs="Times"/>
                    </w:rPr>
                    <w:t>0.7-1.3</w:t>
                  </w:r>
                </w:p>
              </w:tc>
              <w:tc>
                <w:tcPr>
                  <w:tcW w:w="1571" w:type="dxa"/>
                </w:tcPr>
                <w:p w:rsidR="004A16D3" w:rsidRPr="004A16D3" w:rsidRDefault="004A16D3" w:rsidP="00C951ED">
                  <w:pPr>
                    <w:pStyle w:val="T0"/>
                    <w:widowControl w:val="0"/>
                    <w:autoSpaceDE w:val="0"/>
                    <w:autoSpaceDN w:val="0"/>
                    <w:adjustRightInd w:val="0"/>
                    <w:spacing w:line="480" w:lineRule="auto"/>
                    <w:jc w:val="center"/>
                    <w:rPr>
                      <w:rFonts w:ascii="Times" w:hAnsi="Times" w:cs="Times"/>
                    </w:rPr>
                  </w:pPr>
                  <w:r w:rsidRPr="004A16D3">
                    <w:rPr>
                      <w:rFonts w:ascii="Times" w:hAnsi="Times" w:cs="Times"/>
                    </w:rPr>
                    <w:t>1.3-2</w:t>
                  </w:r>
                </w:p>
              </w:tc>
              <w:tc>
                <w:tcPr>
                  <w:tcW w:w="1892" w:type="dxa"/>
                </w:tcPr>
                <w:p w:rsidR="004A16D3" w:rsidRPr="004A16D3" w:rsidRDefault="004A16D3" w:rsidP="00C951ED">
                  <w:pPr>
                    <w:pStyle w:val="T0"/>
                    <w:widowControl w:val="0"/>
                    <w:autoSpaceDE w:val="0"/>
                    <w:autoSpaceDN w:val="0"/>
                    <w:adjustRightInd w:val="0"/>
                    <w:spacing w:line="480" w:lineRule="auto"/>
                    <w:jc w:val="center"/>
                    <w:rPr>
                      <w:rFonts w:ascii="Times" w:hAnsi="Times" w:cs="Times"/>
                    </w:rPr>
                  </w:pPr>
                  <w:r w:rsidRPr="004A16D3">
                    <w:rPr>
                      <w:rFonts w:ascii="Times" w:hAnsi="Times" w:cs="Times"/>
                    </w:rPr>
                    <w:t>1.3-2</w:t>
                  </w:r>
                </w:p>
              </w:tc>
            </w:tr>
            <w:tr w:rsidR="004A16D3" w:rsidRPr="004A16D3" w:rsidTr="00C951ED">
              <w:trPr>
                <w:trHeight w:val="359"/>
                <w:jc w:val="center"/>
              </w:trPr>
              <w:tc>
                <w:tcPr>
                  <w:tcW w:w="2858" w:type="dxa"/>
                </w:tcPr>
                <w:p w:rsidR="004A16D3" w:rsidRPr="004A16D3" w:rsidRDefault="004A16D3" w:rsidP="00C951ED">
                  <w:pPr>
                    <w:pStyle w:val="T0"/>
                    <w:widowControl w:val="0"/>
                    <w:autoSpaceDE w:val="0"/>
                    <w:autoSpaceDN w:val="0"/>
                    <w:adjustRightInd w:val="0"/>
                    <w:spacing w:line="480" w:lineRule="auto"/>
                    <w:rPr>
                      <w:rFonts w:ascii="Times" w:hAnsi="Times" w:cs="Times"/>
                    </w:rPr>
                  </w:pPr>
                  <w:r w:rsidRPr="004A16D3">
                    <w:rPr>
                      <w:rFonts w:ascii="Times" w:hAnsi="Times" w:cs="Times"/>
                    </w:rPr>
                    <w:t>Magnesium (mEq/kg/d)</w:t>
                  </w:r>
                </w:p>
              </w:tc>
              <w:tc>
                <w:tcPr>
                  <w:tcW w:w="1530" w:type="dxa"/>
                </w:tcPr>
                <w:p w:rsidR="004A16D3" w:rsidRPr="004A16D3" w:rsidRDefault="004A16D3" w:rsidP="00C951ED">
                  <w:pPr>
                    <w:pStyle w:val="T0"/>
                    <w:widowControl w:val="0"/>
                    <w:autoSpaceDE w:val="0"/>
                    <w:autoSpaceDN w:val="0"/>
                    <w:adjustRightInd w:val="0"/>
                    <w:spacing w:line="480" w:lineRule="auto"/>
                    <w:jc w:val="center"/>
                    <w:rPr>
                      <w:rFonts w:ascii="Times" w:hAnsi="Times" w:cs="Times"/>
                    </w:rPr>
                  </w:pPr>
                  <w:r w:rsidRPr="004A16D3">
                    <w:rPr>
                      <w:rFonts w:ascii="Times" w:hAnsi="Times" w:cs="Times"/>
                    </w:rPr>
                    <w:t>0-0.4</w:t>
                  </w:r>
                </w:p>
              </w:tc>
              <w:tc>
                <w:tcPr>
                  <w:tcW w:w="1571" w:type="dxa"/>
                </w:tcPr>
                <w:p w:rsidR="004A16D3" w:rsidRPr="004A16D3" w:rsidRDefault="004A16D3" w:rsidP="00C951ED">
                  <w:pPr>
                    <w:pStyle w:val="T0"/>
                    <w:widowControl w:val="0"/>
                    <w:autoSpaceDE w:val="0"/>
                    <w:autoSpaceDN w:val="0"/>
                    <w:adjustRightInd w:val="0"/>
                    <w:spacing w:line="480" w:lineRule="auto"/>
                    <w:jc w:val="center"/>
                    <w:rPr>
                      <w:rFonts w:ascii="Times" w:hAnsi="Times" w:cs="Times"/>
                    </w:rPr>
                  </w:pPr>
                  <w:r w:rsidRPr="004A16D3">
                    <w:rPr>
                      <w:rFonts w:ascii="Times" w:hAnsi="Times" w:cs="Times"/>
                    </w:rPr>
                    <w:t>0.2-0.3</w:t>
                  </w:r>
                </w:p>
              </w:tc>
              <w:tc>
                <w:tcPr>
                  <w:tcW w:w="1892" w:type="dxa"/>
                </w:tcPr>
                <w:p w:rsidR="004A16D3" w:rsidRPr="004A16D3" w:rsidRDefault="004A16D3" w:rsidP="00C951ED">
                  <w:pPr>
                    <w:pStyle w:val="T0"/>
                    <w:widowControl w:val="0"/>
                    <w:autoSpaceDE w:val="0"/>
                    <w:autoSpaceDN w:val="0"/>
                    <w:adjustRightInd w:val="0"/>
                    <w:spacing w:line="480" w:lineRule="auto"/>
                    <w:jc w:val="center"/>
                    <w:rPr>
                      <w:rFonts w:ascii="Times" w:hAnsi="Times" w:cs="Times"/>
                    </w:rPr>
                  </w:pPr>
                  <w:r w:rsidRPr="004A16D3">
                    <w:rPr>
                      <w:rFonts w:ascii="Times" w:hAnsi="Times" w:cs="Times"/>
                    </w:rPr>
                    <w:t>0.2-0.3</w:t>
                  </w:r>
                </w:p>
              </w:tc>
            </w:tr>
            <w:tr w:rsidR="004A16D3" w:rsidRPr="004A16D3" w:rsidTr="00C951ED">
              <w:trPr>
                <w:trHeight w:val="341"/>
                <w:jc w:val="center"/>
              </w:trPr>
              <w:tc>
                <w:tcPr>
                  <w:tcW w:w="2858" w:type="dxa"/>
                </w:tcPr>
                <w:p w:rsidR="004A16D3" w:rsidRPr="004A16D3" w:rsidRDefault="004A16D3" w:rsidP="00C951ED">
                  <w:pPr>
                    <w:pStyle w:val="T0"/>
                    <w:widowControl w:val="0"/>
                    <w:autoSpaceDE w:val="0"/>
                    <w:autoSpaceDN w:val="0"/>
                    <w:adjustRightInd w:val="0"/>
                    <w:spacing w:line="480" w:lineRule="auto"/>
                    <w:rPr>
                      <w:rFonts w:ascii="Times" w:hAnsi="Times" w:cs="Times"/>
                    </w:rPr>
                  </w:pPr>
                  <w:r w:rsidRPr="004A16D3">
                    <w:rPr>
                      <w:rFonts w:ascii="Times" w:hAnsi="Times" w:cs="Times"/>
                    </w:rPr>
                    <w:t>Chloride (mEq/kg/d)</w:t>
                  </w:r>
                </w:p>
              </w:tc>
              <w:tc>
                <w:tcPr>
                  <w:tcW w:w="1530" w:type="dxa"/>
                </w:tcPr>
                <w:p w:rsidR="004A16D3" w:rsidRPr="004A16D3" w:rsidRDefault="004A16D3" w:rsidP="00C951ED">
                  <w:pPr>
                    <w:pStyle w:val="T0"/>
                    <w:widowControl w:val="0"/>
                    <w:autoSpaceDE w:val="0"/>
                    <w:autoSpaceDN w:val="0"/>
                    <w:adjustRightInd w:val="0"/>
                    <w:spacing w:line="480" w:lineRule="auto"/>
                    <w:jc w:val="center"/>
                    <w:rPr>
                      <w:rFonts w:ascii="Times" w:hAnsi="Times" w:cs="Times"/>
                    </w:rPr>
                  </w:pPr>
                  <w:r w:rsidRPr="004A16D3">
                    <w:rPr>
                      <w:rFonts w:ascii="Times" w:hAnsi="Times" w:cs="Times"/>
                    </w:rPr>
                    <w:t>0-1</w:t>
                  </w:r>
                </w:p>
              </w:tc>
              <w:tc>
                <w:tcPr>
                  <w:tcW w:w="1571" w:type="dxa"/>
                </w:tcPr>
                <w:p w:rsidR="004A16D3" w:rsidRPr="004A16D3" w:rsidRDefault="004A16D3" w:rsidP="00C951ED">
                  <w:pPr>
                    <w:pStyle w:val="T0"/>
                    <w:widowControl w:val="0"/>
                    <w:autoSpaceDE w:val="0"/>
                    <w:autoSpaceDN w:val="0"/>
                    <w:adjustRightInd w:val="0"/>
                    <w:spacing w:line="480" w:lineRule="auto"/>
                    <w:jc w:val="center"/>
                    <w:rPr>
                      <w:rFonts w:ascii="Times" w:hAnsi="Times" w:cs="Times"/>
                    </w:rPr>
                  </w:pPr>
                  <w:r w:rsidRPr="004A16D3">
                    <w:rPr>
                      <w:rFonts w:ascii="Times" w:hAnsi="Times" w:cs="Times"/>
                    </w:rPr>
                    <w:t>2-7</w:t>
                  </w:r>
                </w:p>
              </w:tc>
              <w:tc>
                <w:tcPr>
                  <w:tcW w:w="1892" w:type="dxa"/>
                </w:tcPr>
                <w:p w:rsidR="004A16D3" w:rsidRPr="004A16D3" w:rsidRDefault="004A16D3" w:rsidP="00C951ED">
                  <w:pPr>
                    <w:pStyle w:val="T0"/>
                    <w:widowControl w:val="0"/>
                    <w:autoSpaceDE w:val="0"/>
                    <w:autoSpaceDN w:val="0"/>
                    <w:adjustRightInd w:val="0"/>
                    <w:spacing w:line="480" w:lineRule="auto"/>
                    <w:jc w:val="center"/>
                    <w:rPr>
                      <w:rFonts w:ascii="Times" w:hAnsi="Times" w:cs="Times"/>
                    </w:rPr>
                  </w:pPr>
                  <w:r w:rsidRPr="004A16D3">
                    <w:rPr>
                      <w:rFonts w:ascii="Times" w:hAnsi="Times" w:cs="Times"/>
                    </w:rPr>
                    <w:t>2-7</w:t>
                  </w:r>
                </w:p>
              </w:tc>
            </w:tr>
            <w:tr w:rsidR="004A16D3" w:rsidRPr="004A16D3" w:rsidTr="00C951ED">
              <w:trPr>
                <w:trHeight w:val="359"/>
                <w:jc w:val="center"/>
              </w:trPr>
              <w:tc>
                <w:tcPr>
                  <w:tcW w:w="2858" w:type="dxa"/>
                </w:tcPr>
                <w:p w:rsidR="004A16D3" w:rsidRPr="004A16D3" w:rsidRDefault="004A16D3" w:rsidP="00C951ED">
                  <w:pPr>
                    <w:pStyle w:val="T0"/>
                    <w:widowControl w:val="0"/>
                    <w:autoSpaceDE w:val="0"/>
                    <w:autoSpaceDN w:val="0"/>
                    <w:adjustRightInd w:val="0"/>
                    <w:spacing w:line="480" w:lineRule="auto"/>
                    <w:rPr>
                      <w:rFonts w:ascii="Times" w:hAnsi="Times" w:cs="Times"/>
                    </w:rPr>
                  </w:pPr>
                  <w:r w:rsidRPr="004A16D3">
                    <w:rPr>
                      <w:rFonts w:ascii="Times" w:hAnsi="Times" w:cs="Times"/>
                    </w:rPr>
                    <w:t>Acetate (mEq/kg/d)</w:t>
                  </w:r>
                </w:p>
              </w:tc>
              <w:tc>
                <w:tcPr>
                  <w:tcW w:w="4993" w:type="dxa"/>
                  <w:gridSpan w:val="3"/>
                </w:tcPr>
                <w:p w:rsidR="004A16D3" w:rsidRPr="004A16D3" w:rsidRDefault="004A16D3" w:rsidP="00C951ED">
                  <w:pPr>
                    <w:pStyle w:val="T0"/>
                    <w:widowControl w:val="0"/>
                    <w:autoSpaceDE w:val="0"/>
                    <w:autoSpaceDN w:val="0"/>
                    <w:adjustRightInd w:val="0"/>
                    <w:spacing w:line="480" w:lineRule="auto"/>
                    <w:jc w:val="center"/>
                    <w:rPr>
                      <w:rFonts w:ascii="Times" w:hAnsi="Times" w:cs="Times"/>
                    </w:rPr>
                  </w:pPr>
                  <w:r w:rsidRPr="004A16D3">
                    <w:rPr>
                      <w:rFonts w:ascii="Times" w:hAnsi="Times" w:cs="Times"/>
                    </w:rPr>
                    <w:t>As needed</w:t>
                  </w:r>
                </w:p>
              </w:tc>
            </w:tr>
          </w:tbl>
          <w:p w:rsidR="004A16D3" w:rsidRPr="004A16D3" w:rsidRDefault="004A16D3" w:rsidP="00C951ED">
            <w:pPr>
              <w:pStyle w:val="T0"/>
              <w:spacing w:line="480" w:lineRule="auto"/>
              <w:rPr>
                <w:rFonts w:ascii="Times" w:hAnsi="Times" w:cs="Times"/>
              </w:rPr>
            </w:pPr>
          </w:p>
          <w:p w:rsidR="004A16D3" w:rsidRPr="004A16D3" w:rsidRDefault="004A16D3" w:rsidP="00C951ED">
            <w:pPr>
              <w:pStyle w:val="T0"/>
              <w:spacing w:line="480" w:lineRule="auto"/>
              <w:rPr>
                <w:rFonts w:ascii="Times" w:hAnsi="Times" w:cs="Times"/>
              </w:rPr>
            </w:pPr>
            <w:r w:rsidRPr="004A16D3">
              <w:rPr>
                <w:rFonts w:ascii="Times" w:hAnsi="Times" w:cs="Times"/>
              </w:rPr>
              <w:t>Additional dosing considerations:</w:t>
            </w:r>
          </w:p>
          <w:p w:rsidR="004A16D3" w:rsidRPr="004A16D3" w:rsidRDefault="004A16D3" w:rsidP="00C951ED">
            <w:pPr>
              <w:pStyle w:val="TBL-MID"/>
              <w:spacing w:line="480" w:lineRule="auto"/>
              <w:rPr>
                <w:rFonts w:ascii="Times" w:hAnsi="Times" w:cs="Times"/>
              </w:rPr>
            </w:pPr>
            <w:r w:rsidRPr="004A16D3">
              <w:rPr>
                <w:rStyle w:val="BulletManualBodyList"/>
                <w:rFonts w:ascii="Times" w:hAnsi="Times" w:cs="Times"/>
              </w:rPr>
              <w:t>•</w:t>
            </w:r>
            <w:r w:rsidRPr="004A16D3">
              <w:rPr>
                <w:rFonts w:ascii="Times" w:hAnsi="Times" w:cs="Times"/>
              </w:rPr>
              <w:t xml:space="preserve"> Sodium: infants with renal immaturity or high GI losses may need closer to 5-8 mEq/kg</w:t>
            </w:r>
          </w:p>
          <w:p w:rsidR="004A16D3" w:rsidRPr="004A16D3" w:rsidRDefault="004A16D3" w:rsidP="00C951ED">
            <w:pPr>
              <w:pStyle w:val="TBL-MID"/>
              <w:spacing w:line="480" w:lineRule="auto"/>
              <w:rPr>
                <w:rFonts w:ascii="Times" w:hAnsi="Times" w:cs="Times"/>
              </w:rPr>
            </w:pPr>
            <w:r w:rsidRPr="004A16D3">
              <w:rPr>
                <w:rStyle w:val="BulletManualBodyList"/>
                <w:rFonts w:ascii="Times" w:hAnsi="Times" w:cs="Times"/>
              </w:rPr>
              <w:t>•</w:t>
            </w:r>
            <w:r w:rsidRPr="004A16D3">
              <w:rPr>
                <w:rFonts w:ascii="Times" w:hAnsi="Times" w:cs="Times"/>
              </w:rPr>
              <w:t xml:space="preserve"> Magnesium: if mother received antenatal magnesium sulfate, infant may have elevated levels for 5+ days of life</w:t>
            </w:r>
          </w:p>
          <w:p w:rsidR="004A16D3" w:rsidRPr="004A16D3" w:rsidRDefault="004A16D3" w:rsidP="00C951ED">
            <w:pPr>
              <w:pStyle w:val="TBL-MID"/>
              <w:spacing w:line="480" w:lineRule="auto"/>
              <w:rPr>
                <w:rFonts w:ascii="Times" w:hAnsi="Times" w:cs="Times"/>
              </w:rPr>
            </w:pPr>
            <w:r w:rsidRPr="004A16D3">
              <w:rPr>
                <w:rStyle w:val="BulletManualBodyList"/>
                <w:rFonts w:ascii="Times" w:hAnsi="Times" w:cs="Times"/>
              </w:rPr>
              <w:t>•</w:t>
            </w:r>
            <w:r w:rsidRPr="004A16D3">
              <w:rPr>
                <w:rFonts w:ascii="Times" w:hAnsi="Times" w:cs="Times"/>
              </w:rPr>
              <w:t xml:space="preserve"> Calcium: Ca/Phos ratio of 2.2-2.6 mEq Ca: 1 mmol phos (minimum 1.6 mEq calcium:1 mMol phos) is ideal to promote bone mineralization</w:t>
            </w:r>
          </w:p>
          <w:p w:rsidR="004A16D3" w:rsidRPr="004A16D3" w:rsidRDefault="004A16D3" w:rsidP="00C951ED">
            <w:pPr>
              <w:pStyle w:val="TBL-MID"/>
              <w:widowControl w:val="0"/>
              <w:autoSpaceDE w:val="0"/>
              <w:autoSpaceDN w:val="0"/>
              <w:adjustRightInd w:val="0"/>
              <w:spacing w:line="480" w:lineRule="auto"/>
              <w:rPr>
                <w:rFonts w:ascii="Times" w:hAnsi="Times" w:cs="Times"/>
              </w:rPr>
            </w:pPr>
            <w:r w:rsidRPr="004A16D3">
              <w:rPr>
                <w:rStyle w:val="BulletManualBodyList"/>
                <w:rFonts w:ascii="Times" w:hAnsi="Times" w:cs="Times"/>
              </w:rPr>
              <w:lastRenderedPageBreak/>
              <w:t>•</w:t>
            </w:r>
            <w:r w:rsidRPr="004A16D3">
              <w:rPr>
                <w:rFonts w:ascii="Times" w:hAnsi="Times" w:cs="Times"/>
              </w:rPr>
              <w:t xml:space="preserve"> Acetate: preterm infants require more acetate (especially in the first week of life) due to renal or GI losses of bicarbonate</w:t>
            </w:r>
          </w:p>
        </w:tc>
      </w:tr>
      <w:tr w:rsidR="004A16D3" w:rsidRPr="004A16D3" w:rsidTr="00C951ED">
        <w:trPr>
          <w:trHeight w:val="1170"/>
        </w:trPr>
        <w:tc>
          <w:tcPr>
            <w:tcW w:w="8856" w:type="dxa"/>
            <w:tcBorders>
              <w:top w:val="single" w:sz="12" w:space="0" w:color="auto"/>
              <w:bottom w:val="single" w:sz="12" w:space="0" w:color="auto"/>
            </w:tcBorders>
          </w:tcPr>
          <w:p w:rsidR="004A16D3" w:rsidRPr="004A16D3" w:rsidRDefault="004A16D3" w:rsidP="00C951ED">
            <w:pPr>
              <w:pStyle w:val="T2"/>
              <w:widowControl w:val="0"/>
              <w:autoSpaceDE w:val="0"/>
              <w:autoSpaceDN w:val="0"/>
              <w:adjustRightInd w:val="0"/>
              <w:spacing w:line="480" w:lineRule="auto"/>
              <w:rPr>
                <w:rFonts w:ascii="Times" w:hAnsi="Times" w:cs="Times"/>
              </w:rPr>
            </w:pPr>
            <w:r w:rsidRPr="004A16D3">
              <w:rPr>
                <w:rFonts w:ascii="Times" w:hAnsi="Times" w:cs="Times"/>
              </w:rPr>
              <w:lastRenderedPageBreak/>
              <w:t>Micronutrients</w:t>
            </w:r>
            <w:r w:rsidRPr="004A16D3">
              <w:rPr>
                <w:rStyle w:val="citebib"/>
                <w:vertAlign w:val="superscript"/>
              </w:rPr>
              <w:t>18</w:t>
            </w:r>
          </w:p>
          <w:p w:rsidR="004A16D3" w:rsidRPr="004A16D3" w:rsidRDefault="004A16D3" w:rsidP="00C951ED">
            <w:pPr>
              <w:pStyle w:val="T2"/>
              <w:widowControl w:val="0"/>
              <w:autoSpaceDE w:val="0"/>
              <w:autoSpaceDN w:val="0"/>
              <w:adjustRightInd w:val="0"/>
              <w:spacing w:line="480" w:lineRule="auto"/>
              <w:rPr>
                <w:rFonts w:ascii="Times" w:hAnsi="Times" w:cs="Times"/>
              </w:rPr>
            </w:pPr>
          </w:p>
          <w:p w:rsidR="004A16D3" w:rsidRPr="004A16D3" w:rsidRDefault="004A16D3" w:rsidP="00C951ED">
            <w:pPr>
              <w:pStyle w:val="T20"/>
              <w:widowControl w:val="0"/>
              <w:autoSpaceDE w:val="0"/>
              <w:autoSpaceDN w:val="0"/>
              <w:adjustRightInd w:val="0"/>
              <w:spacing w:before="0" w:beforeAutospacing="0" w:after="0" w:afterAutospacing="0" w:line="480" w:lineRule="auto"/>
              <w:rPr>
                <w:rFonts w:ascii="Times" w:hAnsi="Times" w:cs="Times"/>
              </w:rPr>
            </w:pPr>
            <w:r w:rsidRPr="004A16D3">
              <w:rPr>
                <w:rFonts w:ascii="Times" w:hAnsi="Times" w:cs="Times"/>
              </w:rPr>
              <w:t>Pediatric MVI:</w:t>
            </w:r>
          </w:p>
          <w:p w:rsidR="004A16D3" w:rsidRPr="004A16D3" w:rsidRDefault="004A16D3" w:rsidP="00C951ED">
            <w:pPr>
              <w:pStyle w:val="TBL2-MID"/>
              <w:ind w:left="1080"/>
            </w:pPr>
            <w:r w:rsidRPr="004A16D3">
              <w:rPr>
                <w:rStyle w:val="BulletManualBodyList"/>
                <w:rFonts w:ascii="Times" w:hAnsi="Times" w:cs="Times"/>
              </w:rPr>
              <w:t>•</w:t>
            </w:r>
            <w:r w:rsidRPr="004A16D3">
              <w:rPr>
                <w:rFonts w:ascii="Times" w:hAnsi="Times" w:cs="Times"/>
              </w:rPr>
              <w:t xml:space="preserve"> Nutrition Advisory Group-AMA: &lt;2.5 kg: 2 mL/kg/d</w:t>
            </w:r>
          </w:p>
          <w:p w:rsidR="004A16D3" w:rsidRPr="004A16D3" w:rsidRDefault="004A16D3" w:rsidP="00C951ED">
            <w:pPr>
              <w:pStyle w:val="TBL2-MID"/>
              <w:ind w:left="1080"/>
              <w:rPr>
                <w:rFonts w:ascii="Times" w:hAnsi="Times" w:cs="Times"/>
              </w:rPr>
            </w:pPr>
            <w:r w:rsidRPr="004A16D3">
              <w:rPr>
                <w:rFonts w:ascii="Times" w:hAnsi="Times" w:cs="Times"/>
              </w:rPr>
              <w:tab/>
            </w:r>
            <w:r w:rsidRPr="004A16D3">
              <w:rPr>
                <w:rStyle w:val="BulletManualBodyList"/>
                <w:rFonts w:ascii="Times" w:hAnsi="Times" w:cs="Times"/>
              </w:rPr>
              <w:t>•</w:t>
            </w:r>
            <w:r w:rsidRPr="004A16D3">
              <w:rPr>
                <w:rFonts w:ascii="Times" w:hAnsi="Times" w:cs="Times"/>
              </w:rPr>
              <w:t xml:space="preserve"> Manufacturer: &lt;1 kg: 1.5 mL/d, 1</w:t>
            </w:r>
            <w:r w:rsidRPr="004A16D3">
              <w:rPr>
                <w:rStyle w:val="BulletManualBodyList"/>
              </w:rPr>
              <w:t>-</w:t>
            </w:r>
            <w:r w:rsidRPr="004A16D3">
              <w:rPr>
                <w:rFonts w:ascii="Times" w:hAnsi="Times" w:cs="Times"/>
              </w:rPr>
              <w:t>3 kg: 3.25 mL/d, &gt; 3 kg: 5 mL/d</w:t>
            </w:r>
          </w:p>
          <w:p w:rsidR="004A16D3" w:rsidRPr="004A16D3" w:rsidRDefault="004A16D3" w:rsidP="00C951ED">
            <w:pPr>
              <w:pStyle w:val="T20"/>
              <w:widowControl w:val="0"/>
              <w:autoSpaceDE w:val="0"/>
              <w:autoSpaceDN w:val="0"/>
              <w:adjustRightInd w:val="0"/>
              <w:spacing w:before="0" w:beforeAutospacing="0" w:after="0" w:afterAutospacing="0" w:line="480" w:lineRule="auto"/>
              <w:rPr>
                <w:rFonts w:ascii="Times" w:hAnsi="Times" w:cs="Times"/>
              </w:rPr>
            </w:pPr>
            <w:r w:rsidRPr="004A16D3">
              <w:rPr>
                <w:rFonts w:ascii="Times" w:hAnsi="Times" w:cs="Times"/>
              </w:rPr>
              <w:t>Trace Minerals:</w:t>
            </w:r>
          </w:p>
          <w:p w:rsidR="004A16D3" w:rsidRPr="004A16D3" w:rsidRDefault="004A16D3" w:rsidP="00C951ED">
            <w:pPr>
              <w:pStyle w:val="TBL2-MID"/>
              <w:ind w:left="1080"/>
              <w:rPr>
                <w:rFonts w:ascii="Times" w:hAnsi="Times" w:cs="Times"/>
              </w:rPr>
            </w:pPr>
            <w:r w:rsidRPr="004A16D3">
              <w:rPr>
                <w:rStyle w:val="BulletManualBodyList"/>
                <w:rFonts w:ascii="Times" w:hAnsi="Times" w:cs="Times"/>
              </w:rPr>
              <w:t>•</w:t>
            </w:r>
            <w:r w:rsidRPr="004A16D3">
              <w:rPr>
                <w:rFonts w:ascii="Times" w:hAnsi="Times" w:cs="Times"/>
              </w:rPr>
              <w:t xml:space="preserve"> Zinc: 400 µg/kg/d—higher dosing may be considered for infants with increased losses (e.g., high stool output, diuretics) or for wound healing</w:t>
            </w:r>
          </w:p>
          <w:p w:rsidR="004A16D3" w:rsidRPr="004A16D3" w:rsidRDefault="004A16D3" w:rsidP="00C951ED">
            <w:pPr>
              <w:pStyle w:val="TableList"/>
              <w:widowControl w:val="0"/>
              <w:autoSpaceDE w:val="0"/>
              <w:autoSpaceDN w:val="0"/>
              <w:adjustRightInd w:val="0"/>
              <w:spacing w:line="480" w:lineRule="auto"/>
              <w:rPr>
                <w:rFonts w:ascii="Times" w:hAnsi="Times" w:cs="Times"/>
              </w:rPr>
            </w:pPr>
            <w:r w:rsidRPr="004A16D3">
              <w:rPr>
                <w:rFonts w:ascii="Times" w:hAnsi="Times" w:cs="Times"/>
              </w:rPr>
              <w:tab/>
            </w:r>
            <w:r w:rsidRPr="004A16D3">
              <w:rPr>
                <w:rStyle w:val="BulletManualBodyList"/>
                <w:rFonts w:ascii="Times" w:hAnsi="Times" w:cs="Times"/>
              </w:rPr>
              <w:t>•</w:t>
            </w:r>
            <w:r w:rsidRPr="004A16D3">
              <w:rPr>
                <w:rFonts w:ascii="Times" w:hAnsi="Times" w:cs="Times"/>
              </w:rPr>
              <w:t xml:space="preserve"> Copper: 20 µg/kg/d—may require increased dosing for cholestasis, high</w:t>
            </w:r>
          </w:p>
          <w:p w:rsidR="004A16D3" w:rsidRPr="004A16D3" w:rsidRDefault="004A16D3" w:rsidP="00C951ED">
            <w:pPr>
              <w:pStyle w:val="TBL2-MID"/>
              <w:ind w:left="1080"/>
              <w:rPr>
                <w:rFonts w:ascii="Times" w:hAnsi="Times" w:cs="Times"/>
              </w:rPr>
            </w:pPr>
            <w:r w:rsidRPr="004A16D3">
              <w:rPr>
                <w:rFonts w:ascii="Times" w:hAnsi="Times" w:cs="Times"/>
              </w:rPr>
              <w:t>stool output</w:t>
            </w:r>
          </w:p>
          <w:p w:rsidR="004A16D3" w:rsidRPr="004A16D3" w:rsidRDefault="004A16D3" w:rsidP="00C951ED">
            <w:pPr>
              <w:pStyle w:val="T2"/>
              <w:widowControl w:val="0"/>
              <w:autoSpaceDE w:val="0"/>
              <w:autoSpaceDN w:val="0"/>
              <w:adjustRightInd w:val="0"/>
              <w:spacing w:line="480" w:lineRule="auto"/>
              <w:rPr>
                <w:rFonts w:ascii="Times" w:hAnsi="Times" w:cs="Times"/>
              </w:rPr>
            </w:pPr>
            <w:r w:rsidRPr="004A16D3">
              <w:rPr>
                <w:rFonts w:ascii="Times" w:hAnsi="Times" w:cs="Times"/>
              </w:rPr>
              <w:t>• Manganese: 1 µg/kg/d—may be inherent “contaminant” so some facilities</w:t>
            </w:r>
          </w:p>
          <w:p w:rsidR="004A16D3" w:rsidRPr="004A16D3" w:rsidRDefault="004A16D3" w:rsidP="00C951ED">
            <w:pPr>
              <w:pStyle w:val="TBL-MID"/>
            </w:pPr>
            <w:r w:rsidRPr="004A16D3">
              <w:rPr>
                <w:rFonts w:ascii="Times" w:hAnsi="Times" w:cs="Times"/>
              </w:rPr>
              <w:t>omit</w:t>
            </w:r>
          </w:p>
          <w:p w:rsidR="004A16D3" w:rsidRPr="004A16D3" w:rsidRDefault="004A16D3" w:rsidP="00C951ED">
            <w:pPr>
              <w:pStyle w:val="T2"/>
              <w:widowControl w:val="0"/>
              <w:autoSpaceDE w:val="0"/>
              <w:autoSpaceDN w:val="0"/>
              <w:adjustRightInd w:val="0"/>
              <w:spacing w:line="480" w:lineRule="auto"/>
              <w:rPr>
                <w:rFonts w:ascii="Times" w:hAnsi="Times" w:cs="Times"/>
              </w:rPr>
            </w:pPr>
            <w:r w:rsidRPr="004A16D3">
              <w:rPr>
                <w:rFonts w:ascii="Times" w:hAnsi="Times" w:cs="Times"/>
              </w:rPr>
              <w:t>• Chromium: 0.05-0.3 µg/kg/d – may be inherent “contaminant” so some</w:t>
            </w:r>
          </w:p>
          <w:p w:rsidR="004A16D3" w:rsidRPr="004A16D3" w:rsidRDefault="004A16D3" w:rsidP="00C951ED">
            <w:pPr>
              <w:pStyle w:val="TBL-MID"/>
              <w:rPr>
                <w:rFonts w:ascii="Times" w:hAnsi="Times" w:cs="Times"/>
              </w:rPr>
            </w:pPr>
            <w:r w:rsidRPr="004A16D3">
              <w:rPr>
                <w:rFonts w:ascii="Times" w:hAnsi="Times" w:cs="Times"/>
              </w:rPr>
              <w:t>Facilities omit</w:t>
            </w:r>
          </w:p>
          <w:p w:rsidR="004A16D3" w:rsidRPr="004A16D3" w:rsidRDefault="004A16D3" w:rsidP="00C951ED">
            <w:pPr>
              <w:pStyle w:val="TBL2-MID"/>
              <w:ind w:left="1080"/>
              <w:rPr>
                <w:rFonts w:ascii="Times" w:hAnsi="Times" w:cs="Times"/>
              </w:rPr>
            </w:pPr>
            <w:r w:rsidRPr="004A16D3">
              <w:rPr>
                <w:rFonts w:ascii="Times" w:hAnsi="Times" w:cs="Times"/>
              </w:rPr>
              <w:tab/>
              <w:t>• Selenium: 2 µg/kg/d</w:t>
            </w:r>
          </w:p>
          <w:p w:rsidR="004A16D3" w:rsidRPr="004A16D3" w:rsidRDefault="004A16D3" w:rsidP="00C951ED">
            <w:pPr>
              <w:pStyle w:val="T20"/>
              <w:widowControl w:val="0"/>
              <w:autoSpaceDE w:val="0"/>
              <w:autoSpaceDN w:val="0"/>
              <w:adjustRightInd w:val="0"/>
              <w:spacing w:before="0" w:beforeAutospacing="0" w:after="0" w:afterAutospacing="0" w:line="480" w:lineRule="auto"/>
              <w:rPr>
                <w:rFonts w:ascii="Times" w:hAnsi="Times" w:cs="Times"/>
              </w:rPr>
            </w:pPr>
            <w:r w:rsidRPr="004A16D3">
              <w:rPr>
                <w:rFonts w:ascii="Times" w:hAnsi="Times" w:cs="Times"/>
              </w:rPr>
              <w:t>Other additives:</w:t>
            </w:r>
          </w:p>
          <w:p w:rsidR="004A16D3" w:rsidRPr="004A16D3" w:rsidRDefault="004A16D3" w:rsidP="00C951ED">
            <w:pPr>
              <w:pStyle w:val="TBL-MID"/>
              <w:widowControl w:val="0"/>
              <w:autoSpaceDE w:val="0"/>
              <w:autoSpaceDN w:val="0"/>
              <w:adjustRightInd w:val="0"/>
              <w:spacing w:line="480" w:lineRule="auto"/>
              <w:rPr>
                <w:rFonts w:ascii="Times" w:hAnsi="Times" w:cs="Times"/>
              </w:rPr>
            </w:pPr>
            <w:r w:rsidRPr="004A16D3">
              <w:rPr>
                <w:rStyle w:val="BulletManualBodyList"/>
                <w:rFonts w:ascii="Times" w:hAnsi="Times" w:cs="Times"/>
              </w:rPr>
              <w:t>•</w:t>
            </w:r>
            <w:r w:rsidRPr="004A16D3">
              <w:rPr>
                <w:rFonts w:ascii="Times" w:hAnsi="Times" w:cs="Times"/>
              </w:rPr>
              <w:t xml:space="preserve">L- Cysteine: The addition of cysteine is recommended for infants &lt;1000 g. It can also be </w:t>
            </w:r>
            <w:r w:rsidRPr="004A16D3">
              <w:rPr>
                <w:rFonts w:ascii="Times" w:hAnsi="Times" w:cs="Times"/>
              </w:rPr>
              <w:lastRenderedPageBreak/>
              <w:t>utilized for patients &gt;1000 g to optimize calcium and phosphorus provision, although solubility varies with the type of amino acid solution being utilized. Recommended dosing is 40 mg/g amino acid/d.</w:t>
            </w:r>
          </w:p>
          <w:p w:rsidR="004A16D3" w:rsidRPr="004A16D3" w:rsidRDefault="004A16D3" w:rsidP="00C951ED">
            <w:pPr>
              <w:pStyle w:val="TBL-MID"/>
              <w:widowControl w:val="0"/>
              <w:autoSpaceDE w:val="0"/>
              <w:autoSpaceDN w:val="0"/>
              <w:adjustRightInd w:val="0"/>
              <w:spacing w:line="480" w:lineRule="auto"/>
              <w:rPr>
                <w:rFonts w:ascii="Times" w:hAnsi="Times" w:cs="Times"/>
              </w:rPr>
            </w:pPr>
            <w:r w:rsidRPr="004A16D3">
              <w:rPr>
                <w:rStyle w:val="BulletManualBodyList"/>
                <w:rFonts w:ascii="Times" w:hAnsi="Times" w:cs="Times"/>
              </w:rPr>
              <w:t>•</w:t>
            </w:r>
            <w:r w:rsidRPr="004A16D3">
              <w:rPr>
                <w:rFonts w:ascii="Times" w:hAnsi="Times" w:cs="Times"/>
              </w:rPr>
              <w:t xml:space="preserve"> Carnitine: ASPEN recommends the routine parenteral supplementation of carnitine at 2-5 mg/kg/d for preterm neonates if no enteral source is provided.</w:t>
            </w:r>
          </w:p>
        </w:tc>
      </w:tr>
    </w:tbl>
    <w:p w:rsidR="004A16D3" w:rsidRPr="004A16D3" w:rsidRDefault="004A16D3" w:rsidP="004A16D3">
      <w:pPr>
        <w:pStyle w:val="TFN"/>
        <w:widowControl w:val="0"/>
        <w:autoSpaceDE w:val="0"/>
        <w:autoSpaceDN w:val="0"/>
        <w:adjustRightInd w:val="0"/>
        <w:spacing w:line="480" w:lineRule="auto"/>
        <w:rPr>
          <w:rFonts w:ascii="Times" w:hAnsi="Times" w:cs="Times"/>
        </w:rPr>
      </w:pPr>
      <w:r w:rsidRPr="004A16D3">
        <w:rPr>
          <w:rFonts w:ascii="Times" w:hAnsi="Times" w:cs="Times"/>
        </w:rPr>
        <w:lastRenderedPageBreak/>
        <w:t>ALT, alanine transaminase; AMA, American Medical Association; ASPEN, American Society for Parenteral and Enteral Nutrition; AST, aspartate transaminase; BSA, body surface area; BUN, blood urea nitrogen; BW, birth weight; Ca, calcium; CO</w:t>
      </w:r>
      <w:r w:rsidRPr="004A16D3">
        <w:rPr>
          <w:rFonts w:ascii="Times" w:hAnsi="Times" w:cs="Times"/>
          <w:vertAlign w:val="subscript"/>
        </w:rPr>
        <w:t>2</w:t>
      </w:r>
      <w:r w:rsidRPr="004A16D3">
        <w:rPr>
          <w:rFonts w:ascii="Times" w:hAnsi="Times" w:cs="Times"/>
        </w:rPr>
        <w:t>, carbon dioxide; ECF, extracellular fluid; EFAD, essential fatty acid deficiency; ELBW, extremely low birth weight; EN, enteral nutrition; GIR, glucose infusion rate; IFLAD, intestinal failure associated liver disease; MVI, multivitamin; PDA, patent ductus arteriosus; Phos, phosphorus; PN, parenteral nutrition; PNAC, parenteral nutrition associated cholestasis.</w:t>
      </w:r>
    </w:p>
    <w:p w:rsidR="004A16D3" w:rsidRDefault="004A16D3" w:rsidP="004A16D3"/>
    <w:p w:rsidR="004A16D3" w:rsidRPr="004A16D3" w:rsidRDefault="004A16D3" w:rsidP="004A16D3"/>
    <w:p w:rsidR="00A70A93" w:rsidRPr="004A16D3" w:rsidRDefault="00863DAB" w:rsidP="00A21A78">
      <w:pPr>
        <w:pStyle w:val="TXT0"/>
        <w:ind w:firstLine="720"/>
      </w:pPr>
      <w:r w:rsidRPr="004A16D3">
        <w:rPr>
          <w:rFonts w:ascii="Times" w:hAnsi="Times" w:cs="Times"/>
        </w:rPr>
        <w:t>Fenton growth curves are merged with the World Health Organization (WHO) curves for term infants, which combines intrauterine growth with postnatal growth and results in a “fetal-infant” growth curve that can be used to plot the growth of preterm infants on the same chart until 50 weeks PMA.</w:t>
      </w:r>
      <w:r w:rsidRPr="004A16D3">
        <w:rPr>
          <w:rStyle w:val="citebib"/>
          <w:rFonts w:ascii="Times" w:hAnsi="Times" w:cs="Times"/>
          <w:bCs/>
          <w:vertAlign w:val="superscript"/>
        </w:rPr>
        <w:t>2</w:t>
      </w:r>
      <w:r w:rsidR="00F26944" w:rsidRPr="00F26944">
        <w:rPr>
          <w:vertAlign w:val="superscript"/>
        </w:rPr>
        <w:t>,</w:t>
      </w:r>
      <w:r w:rsidR="00F26944">
        <w:rPr>
          <w:rStyle w:val="citebib"/>
          <w:rFonts w:ascii="Times" w:hAnsi="Times" w:cs="Times"/>
          <w:bCs/>
          <w:vertAlign w:val="superscript"/>
        </w:rPr>
        <w:t>3</w:t>
      </w:r>
      <w:r w:rsidR="00F26944" w:rsidRPr="00F26944">
        <w:rPr>
          <w:vertAlign w:val="superscript"/>
        </w:rPr>
        <w:t>,</w:t>
      </w:r>
      <w:r w:rsidRPr="004A16D3">
        <w:rPr>
          <w:rStyle w:val="citebib"/>
          <w:rFonts w:ascii="Times" w:hAnsi="Times" w:cs="Times"/>
          <w:bCs/>
          <w:vertAlign w:val="superscript"/>
        </w:rPr>
        <w:t>4</w:t>
      </w:r>
      <w:r w:rsidRPr="004A16D3">
        <w:t xml:space="preserve"> </w:t>
      </w:r>
      <w:r w:rsidRPr="004A16D3">
        <w:rPr>
          <w:rFonts w:ascii="Times" w:hAnsi="Times" w:cs="Times"/>
        </w:rPr>
        <w:t>However, transitioning to the WHO chart earlier (approximately 42-44 weeks PMA) has the added capability of assessing weight-for-length in term (or corrected to term) infants thereby distinguishing between wasting and global (but proportionate) growth faltering. Preterm infants should be plotted on the WHO chart by corrected age. An infant’s corrected age (CA) is the number of weeks the infant was born preterm subtracted from the infant’s chronologic age thereby “correcting” the postnatal age for prematurity.</w:t>
      </w:r>
      <w:r w:rsidRPr="004A16D3">
        <w:rPr>
          <w:rStyle w:val="citebib"/>
          <w:rFonts w:ascii="Times" w:hAnsi="Times" w:cs="Times"/>
          <w:vertAlign w:val="superscript"/>
        </w:rPr>
        <w:t>6</w:t>
      </w:r>
      <w:r w:rsidRPr="004A16D3">
        <w:rPr>
          <w:rFonts w:ascii="Times" w:hAnsi="Times" w:cs="Times"/>
        </w:rPr>
        <w:t xml:space="preserve"> For example, a </w:t>
      </w:r>
      <w:r w:rsidRPr="004A16D3">
        <w:rPr>
          <w:rFonts w:ascii="Times" w:hAnsi="Times" w:cs="Times"/>
        </w:rPr>
        <w:lastRenderedPageBreak/>
        <w:t xml:space="preserve">preterm infant who is born at 32 weeks GA is born 8 weeks early (40 weeks full term </w:t>
      </w:r>
      <w:r w:rsidR="00621F92" w:rsidRPr="004A16D3">
        <w:rPr>
          <w:rFonts w:ascii="Arial Unicode MS" w:eastAsia="Arial Unicode MS" w:hAnsi="Arial Unicode MS" w:cs="Arial Unicode MS" w:hint="eastAsia"/>
        </w:rPr>
        <w:t>−</w:t>
      </w:r>
      <w:r w:rsidRPr="004A16D3">
        <w:rPr>
          <w:rFonts w:ascii="Times" w:hAnsi="Times" w:cs="Times"/>
        </w:rPr>
        <w:t xml:space="preserve"> 32 weeks GA = 8 weeks). At a chronological age of 12 weeks, this infant would have a corrected age of 4 weeks (12 weeks of age </w:t>
      </w:r>
      <w:r w:rsidR="00621F92" w:rsidRPr="004A16D3">
        <w:rPr>
          <w:rFonts w:ascii="Arial Unicode MS" w:eastAsia="Arial Unicode MS" w:hAnsi="Arial Unicode MS" w:cs="Arial Unicode MS" w:hint="eastAsia"/>
        </w:rPr>
        <w:t>−</w:t>
      </w:r>
      <w:r w:rsidRPr="004A16D3">
        <w:rPr>
          <w:rFonts w:ascii="Times" w:hAnsi="Times" w:cs="Times"/>
        </w:rPr>
        <w:t xml:space="preserve"> 8 weeks preterm = 4 weeks CA). This infant’s weight, length, and head circumference should therefore all be plotted at the 4-week position on the WHO curves.</w:t>
      </w:r>
    </w:p>
    <w:p w:rsidR="00A70A93" w:rsidRPr="004A16D3" w:rsidRDefault="00863DAB">
      <w:pPr>
        <w:pStyle w:val="H1"/>
        <w:widowControl w:val="0"/>
        <w:autoSpaceDE w:val="0"/>
        <w:autoSpaceDN w:val="0"/>
        <w:adjustRightInd w:val="0"/>
        <w:spacing w:line="480" w:lineRule="auto"/>
        <w:rPr>
          <w:rFonts w:ascii="Times" w:hAnsi="Times" w:cs="Times"/>
          <w:b/>
          <w:bCs/>
        </w:rPr>
      </w:pPr>
      <w:r w:rsidRPr="004A16D3">
        <w:rPr>
          <w:rStyle w:val="Tag"/>
          <w:rFonts w:ascii="Times" w:hAnsi="Times" w:cs="Times"/>
          <w:b/>
          <w:bCs/>
        </w:rPr>
        <w:t>&lt;H1&gt;</w:t>
      </w:r>
      <w:r w:rsidR="009C2638" w:rsidRPr="004A16D3">
        <w:rPr>
          <w:rFonts w:ascii="Times" w:hAnsi="Times" w:cs="Times"/>
          <w:b/>
          <w:bCs/>
        </w:rPr>
        <w:t>NUTRITIONAL THERAPIES</w:t>
      </w:r>
    </w:p>
    <w:p w:rsidR="00A70A93" w:rsidRPr="004A16D3" w:rsidRDefault="00863DAB">
      <w:pPr>
        <w:pStyle w:val="TXT-FLUSH"/>
        <w:widowControl w:val="0"/>
        <w:autoSpaceDE w:val="0"/>
        <w:autoSpaceDN w:val="0"/>
        <w:adjustRightInd w:val="0"/>
        <w:spacing w:line="480" w:lineRule="auto"/>
        <w:rPr>
          <w:rFonts w:ascii="Times" w:hAnsi="Times" w:cs="Times"/>
        </w:rPr>
      </w:pPr>
      <w:r w:rsidRPr="004A16D3">
        <w:rPr>
          <w:rFonts w:ascii="Times" w:hAnsi="Times" w:cs="Times"/>
        </w:rPr>
        <w:t xml:space="preserve">Parent’s own human milk is the preferred feeding for nearly all infants (see </w:t>
      </w:r>
      <w:commentRangeStart w:id="0"/>
      <w:r w:rsidRPr="004A16D3">
        <w:rPr>
          <w:rFonts w:ascii="Times" w:hAnsi="Times" w:cs="Times"/>
        </w:rPr>
        <w:t>Chapter 6</w:t>
      </w:r>
      <w:commentRangeEnd w:id="0"/>
      <w:r w:rsidRPr="004A16D3">
        <w:rPr>
          <w:rStyle w:val="CommentReference"/>
        </w:rPr>
        <w:commentReference w:id="0"/>
      </w:r>
      <w:r w:rsidRPr="004A16D3">
        <w:rPr>
          <w:rFonts w:ascii="Times" w:hAnsi="Times" w:cs="Times"/>
        </w:rPr>
        <w:t>), but it is especially important in preterm infants for immunological protection, intestinal maturation, and NEC prevention (when compared to formula). Enteral nutrition should generally begin in the first 24 to 48 hours of life.</w:t>
      </w:r>
      <w:r w:rsidRPr="004A16D3">
        <w:rPr>
          <w:rStyle w:val="citebib"/>
          <w:rFonts w:ascii="Times" w:hAnsi="Times" w:cs="Times"/>
          <w:vertAlign w:val="superscript"/>
        </w:rPr>
        <w:t>7</w:t>
      </w:r>
      <w:r w:rsidRPr="004A16D3">
        <w:rPr>
          <w:rFonts w:ascii="Times" w:hAnsi="Times" w:cs="Times"/>
        </w:rPr>
        <w:t xml:space="preserve"> The gestational age of the infant affects the decision to feed by mouth and/or gavage since suck/swallow/breathe coordination does not develop until 32 to 34 weeks’ gestation (</w:t>
      </w:r>
      <w:r w:rsidRPr="004A16D3">
        <w:rPr>
          <w:rStyle w:val="TableCitation"/>
          <w:rFonts w:ascii="Times" w:hAnsi="Times" w:cs="Times"/>
        </w:rPr>
        <w:t>Table 35</w:t>
      </w:r>
      <w:r w:rsidR="009C2638" w:rsidRPr="004A16D3">
        <w:rPr>
          <w:rStyle w:val="TableCitation"/>
          <w:rFonts w:ascii="Times" w:hAnsi="Times" w:cs="Times"/>
        </w:rPr>
        <w:t>.</w:t>
      </w:r>
      <w:r w:rsidRPr="004A16D3">
        <w:rPr>
          <w:rStyle w:val="TableCitation"/>
          <w:rFonts w:ascii="Times" w:hAnsi="Times" w:cs="Times"/>
        </w:rPr>
        <w:t>6</w:t>
      </w:r>
      <w:r w:rsidRPr="004A16D3">
        <w:rPr>
          <w:rFonts w:ascii="Times" w:hAnsi="Times" w:cs="Times"/>
        </w:rPr>
        <w:t>). Feeding initiation and advancement is based on clinical status with close attention to feeding tolerance. Most NICUs initiate feedings at “trophic” or “gut-priming” volumes of 10 to 20 mL/kg/d to stimulate gastrointestinal hormones, motility, and maturation,</w:t>
      </w:r>
      <w:r w:rsidRPr="004A16D3">
        <w:rPr>
          <w:rStyle w:val="citebib"/>
          <w:rFonts w:ascii="Times" w:hAnsi="Times" w:cs="Times"/>
          <w:vertAlign w:val="superscript"/>
        </w:rPr>
        <w:t>7</w:t>
      </w:r>
      <w:r w:rsidRPr="004A16D3">
        <w:t xml:space="preserve"> </w:t>
      </w:r>
      <w:r w:rsidRPr="004A16D3">
        <w:rPr>
          <w:rFonts w:ascii="Times" w:hAnsi="Times" w:cs="Times"/>
        </w:rPr>
        <w:t>followed by daily or twice daily 10</w:t>
      </w:r>
      <w:r w:rsidR="009C2638" w:rsidRPr="004A16D3">
        <w:rPr>
          <w:rFonts w:ascii="Times" w:hAnsi="Times" w:cs="Times"/>
        </w:rPr>
        <w:t xml:space="preserve"> to </w:t>
      </w:r>
      <w:r w:rsidRPr="004A16D3">
        <w:rPr>
          <w:rFonts w:ascii="Times" w:hAnsi="Times" w:cs="Times"/>
        </w:rPr>
        <w:t>50 mL/kg feeding volume advancements until target volume is reached (typically 150-180 mL/kg/d) (</w:t>
      </w:r>
      <w:r w:rsidRPr="004A16D3">
        <w:rPr>
          <w:rStyle w:val="TableCitation"/>
          <w:rFonts w:ascii="Times" w:hAnsi="Times" w:cs="Times"/>
        </w:rPr>
        <w:t>Table 35</w:t>
      </w:r>
      <w:r w:rsidR="009C2638" w:rsidRPr="004A16D3">
        <w:rPr>
          <w:rStyle w:val="TableCitation"/>
          <w:rFonts w:ascii="Times" w:hAnsi="Times" w:cs="Times"/>
        </w:rPr>
        <w:t>.</w:t>
      </w:r>
      <w:r w:rsidRPr="004A16D3">
        <w:rPr>
          <w:rStyle w:val="TableCitation"/>
          <w:rFonts w:ascii="Times" w:hAnsi="Times" w:cs="Times"/>
        </w:rPr>
        <w:t>7</w:t>
      </w:r>
      <w:r w:rsidRPr="004A16D3">
        <w:rPr>
          <w:rFonts w:ascii="Times" w:hAnsi="Times" w:cs="Times"/>
        </w:rPr>
        <w:t>). The youngest and smallest infants may receive gut priming feeds for 1</w:t>
      </w:r>
      <w:r w:rsidR="009C2638" w:rsidRPr="004A16D3">
        <w:rPr>
          <w:rFonts w:ascii="Times" w:hAnsi="Times" w:cs="Times"/>
        </w:rPr>
        <w:t xml:space="preserve"> to </w:t>
      </w:r>
      <w:r w:rsidRPr="004A16D3">
        <w:rPr>
          <w:rFonts w:ascii="Times" w:hAnsi="Times" w:cs="Times"/>
        </w:rPr>
        <w:t>5 days and advance feedings the slowest. However, a Cochrane review has found no evidence that slow feeding advancement reduces the risk of NEC.</w:t>
      </w:r>
      <w:r w:rsidRPr="004A16D3">
        <w:rPr>
          <w:rStyle w:val="citebib"/>
          <w:rFonts w:ascii="Times" w:hAnsi="Times" w:cs="Times"/>
          <w:vertAlign w:val="superscript"/>
        </w:rPr>
        <w:t>8</w:t>
      </w:r>
      <w:r w:rsidRPr="004A16D3">
        <w:rPr>
          <w:rFonts w:ascii="Times" w:hAnsi="Times" w:cs="Times"/>
        </w:rPr>
        <w:t xml:space="preserve"> Optimal timing for fortification is also not established; a wide range of fortification at 20</w:t>
      </w:r>
      <w:r w:rsidR="009C2638" w:rsidRPr="004A16D3">
        <w:rPr>
          <w:rFonts w:ascii="Times" w:hAnsi="Times" w:cs="Times"/>
        </w:rPr>
        <w:t xml:space="preserve"> to </w:t>
      </w:r>
      <w:r w:rsidRPr="004A16D3">
        <w:rPr>
          <w:rFonts w:ascii="Times" w:hAnsi="Times" w:cs="Times"/>
        </w:rPr>
        <w:t>100 mL/kg has been studied</w:t>
      </w:r>
      <w:r w:rsidR="009C2638" w:rsidRPr="004A16D3">
        <w:rPr>
          <w:rFonts w:ascii="Times" w:hAnsi="Times" w:cs="Times"/>
        </w:rPr>
        <w:t>.</w:t>
      </w:r>
      <w:r w:rsidRPr="004A16D3">
        <w:rPr>
          <w:rStyle w:val="citebib"/>
          <w:rFonts w:ascii="Times" w:hAnsi="Times" w:cs="Times"/>
          <w:vertAlign w:val="superscript"/>
        </w:rPr>
        <w:t>9</w:t>
      </w:r>
      <w:r w:rsidRPr="004A16D3">
        <w:rPr>
          <w:rFonts w:ascii="Times" w:hAnsi="Times" w:cs="Times"/>
        </w:rPr>
        <w:t xml:space="preserve"> The ability to achieve “full feeds” (goal feeds) is dependent on many factors, including maturity of the gastrointestinal tract, stomach capacity, and respiratory status (</w:t>
      </w:r>
      <w:r w:rsidRPr="004A16D3">
        <w:rPr>
          <w:rStyle w:val="TableCitation"/>
          <w:rFonts w:ascii="Times" w:hAnsi="Times" w:cs="Times"/>
        </w:rPr>
        <w:t>Table 35</w:t>
      </w:r>
      <w:r w:rsidR="009C2638" w:rsidRPr="004A16D3">
        <w:rPr>
          <w:rStyle w:val="TableCitation"/>
          <w:rFonts w:ascii="Times" w:hAnsi="Times" w:cs="Times"/>
        </w:rPr>
        <w:t>.</w:t>
      </w:r>
      <w:r w:rsidRPr="004A16D3">
        <w:rPr>
          <w:rStyle w:val="TableCitation"/>
          <w:rFonts w:ascii="Times" w:hAnsi="Times" w:cs="Times"/>
        </w:rPr>
        <w:t>7</w:t>
      </w:r>
      <w:r w:rsidRPr="004A16D3">
        <w:rPr>
          <w:rFonts w:ascii="Times" w:hAnsi="Times" w:cs="Times"/>
        </w:rPr>
        <w:t>).</w:t>
      </w:r>
    </w:p>
    <w:p w:rsidR="00A70A93" w:rsidRDefault="00863DAB" w:rsidP="00A21A78">
      <w:pPr>
        <w:pStyle w:val="PMI"/>
        <w:rPr>
          <w:rFonts w:ascii="Times" w:hAnsi="Times" w:cs="Times"/>
        </w:rPr>
      </w:pPr>
      <w:r w:rsidRPr="004A16D3">
        <w:rPr>
          <w:rStyle w:val="Tag"/>
          <w:rFonts w:ascii="Times" w:hAnsi="Times" w:cs="Times"/>
        </w:rPr>
        <w:t>&lt;TAB35-6&gt;</w:t>
      </w:r>
      <w:r w:rsidRPr="004A16D3">
        <w:rPr>
          <w:rFonts w:ascii="Times" w:hAnsi="Times" w:cs="Times"/>
        </w:rPr>
        <w:t>&lt;TAB35-7&gt;</w:t>
      </w:r>
    </w:p>
    <w:p w:rsidR="004A16D3" w:rsidRDefault="004A16D3" w:rsidP="004A16D3"/>
    <w:p w:rsidR="004A16D3" w:rsidRPr="004A16D3" w:rsidRDefault="004A16D3" w:rsidP="004A16D3">
      <w:pPr>
        <w:pStyle w:val="T1"/>
        <w:widowControl w:val="0"/>
        <w:autoSpaceDE w:val="0"/>
        <w:autoSpaceDN w:val="0"/>
        <w:adjustRightInd w:val="0"/>
        <w:spacing w:line="480" w:lineRule="auto"/>
        <w:rPr>
          <w:rFonts w:ascii="Times" w:hAnsi="Times" w:cs="Times"/>
          <w:b/>
          <w:bCs/>
        </w:rPr>
      </w:pPr>
      <w:r w:rsidRPr="004A16D3">
        <w:rPr>
          <w:rStyle w:val="TN"/>
          <w:rFonts w:ascii="Times" w:hAnsi="Times" w:cs="Times"/>
          <w:b/>
          <w:bCs/>
        </w:rPr>
        <w:t>TABLE 35.7</w:t>
      </w:r>
      <w:r w:rsidRPr="004A16D3">
        <w:rPr>
          <w:rFonts w:ascii="Times" w:hAnsi="Times" w:cs="Times"/>
          <w:b/>
          <w:bCs/>
        </w:rPr>
        <w:t xml:space="preserve"> ENTERAL NUTRITION: FEEDING ADVANCEMENT AND GOALS FOR PRETERM INFANTS</w:t>
      </w:r>
      <w:bookmarkStart w:id="1" w:name="_GoBack"/>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56"/>
      </w:tblGrid>
      <w:tr w:rsidR="004A16D3" w:rsidRPr="004A16D3" w:rsidTr="00773993">
        <w:trPr>
          <w:trHeight w:val="573"/>
        </w:trPr>
        <w:tc>
          <w:tcPr>
            <w:tcW w:w="8856" w:type="dxa"/>
            <w:shd w:val="clear" w:color="auto" w:fill="auto"/>
          </w:tcPr>
          <w:p w:rsidR="004A16D3" w:rsidRPr="00773993" w:rsidRDefault="004A16D3" w:rsidP="00C951ED">
            <w:pPr>
              <w:pStyle w:val="T4"/>
              <w:rPr>
                <w:rFonts w:cs="Arial"/>
              </w:rPr>
            </w:pPr>
            <w:r w:rsidRPr="00773993">
              <w:rPr>
                <w:rFonts w:ascii="Times" w:hAnsi="Times" w:cs="Times"/>
              </w:rPr>
              <w:t>Feeding initiation and advancement</w:t>
            </w:r>
          </w:p>
          <w:p w:rsidR="004A16D3" w:rsidRPr="004A16D3" w:rsidRDefault="004A16D3" w:rsidP="00C951ED">
            <w:pPr>
              <w:pStyle w:val="TBL-MID"/>
            </w:pPr>
            <w:r w:rsidRPr="00773993">
              <w:rPr>
                <w:rFonts w:ascii="Times" w:hAnsi="Times" w:cs="Times"/>
              </w:rPr>
              <w:t>•Initiate at and advance by 10-50 mL/kg/d based on weight, gestational age, and clinical status</w:t>
            </w:r>
          </w:p>
          <w:p w:rsidR="004A16D3" w:rsidRPr="00773993" w:rsidRDefault="004A16D3" w:rsidP="00773993">
            <w:pPr>
              <w:pStyle w:val="T2"/>
              <w:widowControl w:val="0"/>
              <w:autoSpaceDE w:val="0"/>
              <w:autoSpaceDN w:val="0"/>
              <w:adjustRightInd w:val="0"/>
              <w:spacing w:line="480" w:lineRule="auto"/>
              <w:ind w:left="720"/>
              <w:rPr>
                <w:rFonts w:ascii="Times" w:hAnsi="Times" w:cs="Times"/>
              </w:rPr>
            </w:pPr>
          </w:p>
          <w:p w:rsidR="004A16D3" w:rsidRPr="00773993" w:rsidRDefault="004A16D3" w:rsidP="00773993">
            <w:pPr>
              <w:pStyle w:val="T2"/>
              <w:widowControl w:val="0"/>
              <w:autoSpaceDE w:val="0"/>
              <w:autoSpaceDN w:val="0"/>
              <w:adjustRightInd w:val="0"/>
              <w:spacing w:line="480" w:lineRule="auto"/>
              <w:rPr>
                <w:rFonts w:ascii="Times" w:hAnsi="Times" w:cs="Times"/>
              </w:rPr>
            </w:pPr>
          </w:p>
        </w:tc>
      </w:tr>
    </w:tbl>
    <w:p w:rsidR="00B60CDE" w:rsidRDefault="00B60CDE"/>
    <w:tbl>
      <w:tblPr>
        <w:tblW w:w="0" w:type="auto"/>
        <w:tblCellMar>
          <w:left w:w="0" w:type="dxa"/>
          <w:right w:w="0" w:type="dxa"/>
        </w:tblCellMar>
        <w:tblLook w:val="04A0" w:firstRow="1" w:lastRow="0" w:firstColumn="1" w:lastColumn="0" w:noHBand="0" w:noVBand="1"/>
      </w:tblPr>
      <w:tblGrid>
        <w:gridCol w:w="497"/>
        <w:gridCol w:w="1622"/>
        <w:gridCol w:w="2074"/>
        <w:gridCol w:w="2097"/>
        <w:gridCol w:w="2330"/>
      </w:tblGrid>
      <w:tr w:rsidR="00B60CDE" w:rsidRPr="004A16D3" w:rsidTr="009B7854">
        <w:tc>
          <w:tcPr>
            <w:tcW w:w="8620" w:type="dxa"/>
            <w:gridSpan w:val="5"/>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B60CDE" w:rsidRPr="004A16D3" w:rsidRDefault="00B60CDE" w:rsidP="009B7854">
            <w:pPr>
              <w:pStyle w:val="T20"/>
              <w:spacing w:before="0" w:beforeAutospacing="0" w:after="0" w:afterAutospacing="0" w:line="480" w:lineRule="auto"/>
              <w:rPr>
                <w:rFonts w:cs="Arial"/>
              </w:rPr>
            </w:pPr>
            <w:r w:rsidRPr="004A16D3">
              <w:rPr>
                <w:rFonts w:cs="Arial"/>
                <w:b/>
                <w:bCs/>
              </w:rPr>
              <w:t>Tube Feedings</w:t>
            </w:r>
          </w:p>
        </w:tc>
      </w:tr>
      <w:tr w:rsidR="00B60CDE" w:rsidRPr="004A16D3" w:rsidTr="009B7854">
        <w:tc>
          <w:tcPr>
            <w:tcW w:w="2119"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B60CDE" w:rsidRPr="004A16D3" w:rsidRDefault="00B60CDE" w:rsidP="009B7854">
            <w:pPr>
              <w:pStyle w:val="T20"/>
              <w:spacing w:before="0" w:beforeAutospacing="0" w:after="0" w:afterAutospacing="0" w:line="480" w:lineRule="auto"/>
              <w:rPr>
                <w:rFonts w:cs="Arial"/>
              </w:rPr>
            </w:pPr>
            <w:r w:rsidRPr="004A16D3">
              <w:rPr>
                <w:rFonts w:cs="Arial"/>
                <w:b/>
                <w:bCs/>
              </w:rPr>
              <w:t>Age</w:t>
            </w:r>
          </w:p>
        </w:tc>
        <w:tc>
          <w:tcPr>
            <w:tcW w:w="2074" w:type="dxa"/>
            <w:tcBorders>
              <w:top w:val="nil"/>
              <w:left w:val="nil"/>
              <w:bottom w:val="single" w:sz="8" w:space="0" w:color="auto"/>
              <w:right w:val="single" w:sz="8" w:space="0" w:color="auto"/>
            </w:tcBorders>
            <w:tcMar>
              <w:top w:w="0" w:type="dxa"/>
              <w:left w:w="108" w:type="dxa"/>
              <w:bottom w:w="0" w:type="dxa"/>
              <w:right w:w="108" w:type="dxa"/>
            </w:tcMar>
            <w:hideMark/>
          </w:tcPr>
          <w:p w:rsidR="00B60CDE" w:rsidRPr="004A16D3" w:rsidRDefault="00B60CDE" w:rsidP="009B7854">
            <w:pPr>
              <w:pStyle w:val="T20"/>
              <w:spacing w:before="0" w:beforeAutospacing="0" w:after="0" w:afterAutospacing="0" w:line="480" w:lineRule="auto"/>
              <w:rPr>
                <w:rFonts w:cs="Arial"/>
              </w:rPr>
            </w:pPr>
            <w:r w:rsidRPr="004A16D3">
              <w:rPr>
                <w:rFonts w:cs="Arial"/>
                <w:b/>
                <w:bCs/>
              </w:rPr>
              <w:t>Initial Infusion</w:t>
            </w:r>
          </w:p>
        </w:tc>
        <w:tc>
          <w:tcPr>
            <w:tcW w:w="2097" w:type="dxa"/>
            <w:tcBorders>
              <w:top w:val="nil"/>
              <w:left w:val="nil"/>
              <w:bottom w:val="single" w:sz="8" w:space="0" w:color="auto"/>
              <w:right w:val="single" w:sz="8" w:space="0" w:color="auto"/>
            </w:tcBorders>
            <w:tcMar>
              <w:top w:w="0" w:type="dxa"/>
              <w:left w:w="108" w:type="dxa"/>
              <w:bottom w:w="0" w:type="dxa"/>
              <w:right w:w="108" w:type="dxa"/>
            </w:tcMar>
            <w:hideMark/>
          </w:tcPr>
          <w:p w:rsidR="00B60CDE" w:rsidRPr="004A16D3" w:rsidRDefault="00B60CDE" w:rsidP="009B7854">
            <w:pPr>
              <w:pStyle w:val="T20"/>
              <w:spacing w:before="0" w:beforeAutospacing="0" w:after="0" w:afterAutospacing="0" w:line="480" w:lineRule="auto"/>
              <w:rPr>
                <w:rFonts w:cs="Arial"/>
              </w:rPr>
            </w:pPr>
            <w:r w:rsidRPr="004A16D3">
              <w:rPr>
                <w:rFonts w:cs="Arial"/>
                <w:b/>
                <w:bCs/>
              </w:rPr>
              <w:t>Advancement</w:t>
            </w:r>
          </w:p>
        </w:tc>
        <w:tc>
          <w:tcPr>
            <w:tcW w:w="2330" w:type="dxa"/>
            <w:tcBorders>
              <w:top w:val="nil"/>
              <w:left w:val="nil"/>
              <w:bottom w:val="single" w:sz="8" w:space="0" w:color="auto"/>
              <w:right w:val="single" w:sz="8" w:space="0" w:color="auto"/>
            </w:tcBorders>
            <w:tcMar>
              <w:top w:w="0" w:type="dxa"/>
              <w:left w:w="108" w:type="dxa"/>
              <w:bottom w:w="0" w:type="dxa"/>
              <w:right w:w="108" w:type="dxa"/>
            </w:tcMar>
            <w:hideMark/>
          </w:tcPr>
          <w:p w:rsidR="00B60CDE" w:rsidRPr="004A16D3" w:rsidRDefault="00B60CDE" w:rsidP="009B7854">
            <w:pPr>
              <w:pStyle w:val="T20"/>
              <w:spacing w:before="0" w:beforeAutospacing="0" w:after="0" w:afterAutospacing="0" w:line="480" w:lineRule="auto"/>
              <w:rPr>
                <w:rFonts w:cs="Arial"/>
              </w:rPr>
            </w:pPr>
            <w:r w:rsidRPr="004A16D3">
              <w:rPr>
                <w:rFonts w:cs="Arial"/>
                <w:b/>
                <w:bCs/>
              </w:rPr>
              <w:t>Suggested Tolerated Rate (jejunal) or Goal (gastric)</w:t>
            </w:r>
          </w:p>
        </w:tc>
      </w:tr>
      <w:tr w:rsidR="00B60CDE" w:rsidRPr="004A16D3" w:rsidTr="009B7854">
        <w:tc>
          <w:tcPr>
            <w:tcW w:w="8620" w:type="dxa"/>
            <w:gridSpan w:val="5"/>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B60CDE" w:rsidRPr="004A16D3" w:rsidRDefault="00B60CDE" w:rsidP="009B7854">
            <w:pPr>
              <w:pStyle w:val="T20"/>
              <w:spacing w:before="0" w:beforeAutospacing="0" w:after="0" w:afterAutospacing="0" w:line="480" w:lineRule="auto"/>
              <w:rPr>
                <w:rFonts w:cs="Arial"/>
              </w:rPr>
            </w:pPr>
            <w:r w:rsidRPr="004A16D3">
              <w:rPr>
                <w:rFonts w:cs="Arial"/>
                <w:b/>
                <w:bCs/>
              </w:rPr>
              <w:t>Continuous Jejunal Feeds</w:t>
            </w:r>
            <w:r w:rsidRPr="004A16D3">
              <w:rPr>
                <w:rStyle w:val="citebib"/>
                <w:rFonts w:ascii="Times" w:eastAsia="Times New Roman" w:hAnsi="Times" w:cs="Times"/>
                <w:bCs/>
                <w:szCs w:val="24"/>
                <w:vertAlign w:val="superscript"/>
                <w:lang w:val="en-US"/>
              </w:rPr>
              <w:t>19</w:t>
            </w:r>
          </w:p>
        </w:tc>
      </w:tr>
      <w:tr w:rsidR="00B60CDE" w:rsidRPr="004A16D3" w:rsidTr="009B7854">
        <w:tc>
          <w:tcPr>
            <w:tcW w:w="2119"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B60CDE" w:rsidRPr="004A16D3" w:rsidRDefault="00B60CDE" w:rsidP="009B7854">
            <w:pPr>
              <w:pStyle w:val="T20"/>
              <w:spacing w:before="0" w:beforeAutospacing="0" w:after="0" w:afterAutospacing="0" w:line="480" w:lineRule="auto"/>
              <w:rPr>
                <w:rFonts w:cs="Arial"/>
              </w:rPr>
            </w:pPr>
            <w:r w:rsidRPr="004A16D3">
              <w:rPr>
                <w:rFonts w:cs="Arial"/>
                <w:b/>
                <w:bCs/>
              </w:rPr>
              <w:t>Preterm</w:t>
            </w:r>
          </w:p>
        </w:tc>
        <w:tc>
          <w:tcPr>
            <w:tcW w:w="2074" w:type="dxa"/>
            <w:tcBorders>
              <w:top w:val="nil"/>
              <w:left w:val="nil"/>
              <w:bottom w:val="single" w:sz="8" w:space="0" w:color="auto"/>
              <w:right w:val="single" w:sz="8" w:space="0" w:color="auto"/>
            </w:tcBorders>
            <w:tcMar>
              <w:top w:w="0" w:type="dxa"/>
              <w:left w:w="108" w:type="dxa"/>
              <w:bottom w:w="0" w:type="dxa"/>
              <w:right w:w="108" w:type="dxa"/>
            </w:tcMar>
            <w:hideMark/>
          </w:tcPr>
          <w:p w:rsidR="00B60CDE" w:rsidRPr="004A16D3" w:rsidRDefault="00B60CDE" w:rsidP="009B7854">
            <w:pPr>
              <w:pStyle w:val="T20"/>
              <w:spacing w:before="0" w:beforeAutospacing="0" w:after="0" w:afterAutospacing="0" w:line="480" w:lineRule="auto"/>
              <w:rPr>
                <w:rFonts w:cs="Arial"/>
              </w:rPr>
            </w:pPr>
            <w:r w:rsidRPr="004A16D3">
              <w:rPr>
                <w:rFonts w:cs="Arial"/>
              </w:rPr>
              <w:t> </w:t>
            </w:r>
          </w:p>
        </w:tc>
        <w:tc>
          <w:tcPr>
            <w:tcW w:w="2097" w:type="dxa"/>
            <w:tcBorders>
              <w:top w:val="nil"/>
              <w:left w:val="nil"/>
              <w:bottom w:val="single" w:sz="8" w:space="0" w:color="auto"/>
              <w:right w:val="single" w:sz="8" w:space="0" w:color="auto"/>
            </w:tcBorders>
            <w:tcMar>
              <w:top w:w="0" w:type="dxa"/>
              <w:left w:w="108" w:type="dxa"/>
              <w:bottom w:w="0" w:type="dxa"/>
              <w:right w:w="108" w:type="dxa"/>
            </w:tcMar>
            <w:hideMark/>
          </w:tcPr>
          <w:p w:rsidR="00B60CDE" w:rsidRPr="004A16D3" w:rsidRDefault="00B60CDE" w:rsidP="009B7854">
            <w:pPr>
              <w:pStyle w:val="T20"/>
              <w:spacing w:before="0" w:beforeAutospacing="0" w:after="0" w:afterAutospacing="0" w:line="480" w:lineRule="auto"/>
              <w:rPr>
                <w:rFonts w:cs="Arial"/>
              </w:rPr>
            </w:pPr>
            <w:r w:rsidRPr="004A16D3">
              <w:rPr>
                <w:rFonts w:cs="Arial"/>
              </w:rPr>
              <w:t> </w:t>
            </w:r>
          </w:p>
        </w:tc>
        <w:tc>
          <w:tcPr>
            <w:tcW w:w="2330" w:type="dxa"/>
            <w:tcBorders>
              <w:top w:val="nil"/>
              <w:left w:val="nil"/>
              <w:bottom w:val="single" w:sz="8" w:space="0" w:color="auto"/>
              <w:right w:val="single" w:sz="8" w:space="0" w:color="auto"/>
            </w:tcBorders>
            <w:tcMar>
              <w:top w:w="0" w:type="dxa"/>
              <w:left w:w="108" w:type="dxa"/>
              <w:bottom w:w="0" w:type="dxa"/>
              <w:right w:w="108" w:type="dxa"/>
            </w:tcMar>
            <w:hideMark/>
          </w:tcPr>
          <w:p w:rsidR="00B60CDE" w:rsidRPr="004A16D3" w:rsidRDefault="00B60CDE" w:rsidP="009B7854">
            <w:pPr>
              <w:pStyle w:val="T20"/>
              <w:spacing w:before="0" w:beforeAutospacing="0" w:after="0" w:afterAutospacing="0" w:line="480" w:lineRule="auto"/>
              <w:rPr>
                <w:rFonts w:cs="Arial"/>
              </w:rPr>
            </w:pPr>
            <w:r w:rsidRPr="004A16D3">
              <w:rPr>
                <w:rFonts w:cs="Arial"/>
              </w:rPr>
              <w:t> </w:t>
            </w:r>
          </w:p>
        </w:tc>
      </w:tr>
      <w:tr w:rsidR="00B60CDE" w:rsidRPr="004A16D3" w:rsidTr="009B7854">
        <w:trPr>
          <w:trHeight w:val="150"/>
        </w:trPr>
        <w:tc>
          <w:tcPr>
            <w:tcW w:w="497" w:type="dxa"/>
            <w:vMerge w:val="restart"/>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B60CDE" w:rsidRPr="004A16D3" w:rsidRDefault="00B60CDE" w:rsidP="009B7854">
            <w:pPr>
              <w:pStyle w:val="T4"/>
              <w:rPr>
                <w:rFonts w:cs="Arial"/>
              </w:rPr>
            </w:pPr>
            <w:r w:rsidRPr="004A16D3">
              <w:rPr>
                <w:rFonts w:cs="Arial"/>
              </w:rPr>
              <w:t> </w:t>
            </w:r>
          </w:p>
        </w:tc>
        <w:tc>
          <w:tcPr>
            <w:tcW w:w="1622" w:type="dxa"/>
            <w:tcBorders>
              <w:top w:val="nil"/>
              <w:left w:val="nil"/>
              <w:bottom w:val="single" w:sz="8" w:space="0" w:color="auto"/>
              <w:right w:val="single" w:sz="8" w:space="0" w:color="auto"/>
            </w:tcBorders>
            <w:tcMar>
              <w:top w:w="0" w:type="dxa"/>
              <w:left w:w="108" w:type="dxa"/>
              <w:bottom w:w="0" w:type="dxa"/>
              <w:right w:w="108" w:type="dxa"/>
            </w:tcMar>
            <w:hideMark/>
          </w:tcPr>
          <w:p w:rsidR="00B60CDE" w:rsidRPr="004A16D3" w:rsidRDefault="00B60CDE" w:rsidP="009B7854">
            <w:pPr>
              <w:pStyle w:val="T4"/>
              <w:rPr>
                <w:rFonts w:cs="Arial"/>
              </w:rPr>
            </w:pPr>
            <w:r w:rsidRPr="004A16D3">
              <w:rPr>
                <w:rFonts w:cs="Arial"/>
              </w:rPr>
              <w:t>&lt;750 g</w:t>
            </w:r>
            <w:r>
              <w:rPr>
                <w:rStyle w:val="citebib"/>
                <w:rFonts w:ascii="Times" w:eastAsia="Times New Roman" w:hAnsi="Times" w:cs="Times"/>
                <w:bCs/>
                <w:szCs w:val="24"/>
                <w:vertAlign w:val="superscript"/>
                <w:lang w:val="en-US"/>
              </w:rPr>
              <w:t>7</w:t>
            </w:r>
          </w:p>
        </w:tc>
        <w:tc>
          <w:tcPr>
            <w:tcW w:w="2074" w:type="dxa"/>
            <w:tcBorders>
              <w:top w:val="nil"/>
              <w:left w:val="nil"/>
              <w:bottom w:val="single" w:sz="8" w:space="0" w:color="auto"/>
              <w:right w:val="single" w:sz="8" w:space="0" w:color="auto"/>
            </w:tcBorders>
            <w:tcMar>
              <w:top w:w="0" w:type="dxa"/>
              <w:left w:w="108" w:type="dxa"/>
              <w:bottom w:w="0" w:type="dxa"/>
              <w:right w:w="108" w:type="dxa"/>
            </w:tcMar>
            <w:hideMark/>
          </w:tcPr>
          <w:p w:rsidR="00B60CDE" w:rsidRPr="004A16D3" w:rsidRDefault="00B60CDE" w:rsidP="009B7854">
            <w:pPr>
              <w:pStyle w:val="T4"/>
              <w:rPr>
                <w:rFonts w:cs="Arial"/>
              </w:rPr>
            </w:pPr>
            <w:r w:rsidRPr="004A16D3">
              <w:rPr>
                <w:rFonts w:cs="Arial"/>
              </w:rPr>
              <w:t xml:space="preserve">10-20 mL/kg/d </w:t>
            </w:r>
            <w:r w:rsidRPr="004A16D3">
              <w:rPr>
                <w:rFonts w:cs="Calibri"/>
              </w:rPr>
              <w:t>×</w:t>
            </w:r>
            <w:r w:rsidRPr="004A16D3">
              <w:rPr>
                <w:rFonts w:cs="Arial"/>
              </w:rPr>
              <w:t xml:space="preserve"> 3 days</w:t>
            </w:r>
          </w:p>
        </w:tc>
        <w:tc>
          <w:tcPr>
            <w:tcW w:w="2097" w:type="dxa"/>
            <w:tcBorders>
              <w:top w:val="nil"/>
              <w:left w:val="nil"/>
              <w:bottom w:val="single" w:sz="8" w:space="0" w:color="auto"/>
              <w:right w:val="single" w:sz="8" w:space="0" w:color="auto"/>
            </w:tcBorders>
            <w:tcMar>
              <w:top w:w="0" w:type="dxa"/>
              <w:left w:w="108" w:type="dxa"/>
              <w:bottom w:w="0" w:type="dxa"/>
              <w:right w:w="108" w:type="dxa"/>
            </w:tcMar>
            <w:hideMark/>
          </w:tcPr>
          <w:p w:rsidR="00B60CDE" w:rsidRPr="004A16D3" w:rsidRDefault="00B60CDE" w:rsidP="009B7854">
            <w:pPr>
              <w:pStyle w:val="T4"/>
              <w:rPr>
                <w:rFonts w:cs="Arial"/>
              </w:rPr>
            </w:pPr>
            <w:r w:rsidRPr="004A16D3">
              <w:rPr>
                <w:rFonts w:cs="Arial"/>
              </w:rPr>
              <w:t>15-25 mL/kg/d</w:t>
            </w:r>
          </w:p>
        </w:tc>
        <w:tc>
          <w:tcPr>
            <w:tcW w:w="2330" w:type="dxa"/>
            <w:tcBorders>
              <w:top w:val="nil"/>
              <w:left w:val="nil"/>
              <w:bottom w:val="single" w:sz="8" w:space="0" w:color="auto"/>
              <w:right w:val="single" w:sz="8" w:space="0" w:color="auto"/>
            </w:tcBorders>
            <w:tcMar>
              <w:top w:w="0" w:type="dxa"/>
              <w:left w:w="108" w:type="dxa"/>
              <w:bottom w:w="0" w:type="dxa"/>
              <w:right w:w="108" w:type="dxa"/>
            </w:tcMar>
            <w:hideMark/>
          </w:tcPr>
          <w:p w:rsidR="00B60CDE" w:rsidRPr="004A16D3" w:rsidRDefault="00B60CDE" w:rsidP="009B7854">
            <w:pPr>
              <w:pStyle w:val="T4"/>
              <w:rPr>
                <w:rFonts w:cs="Arial"/>
              </w:rPr>
            </w:pPr>
            <w:r w:rsidRPr="004A16D3">
              <w:rPr>
                <w:rFonts w:cs="Arial"/>
              </w:rPr>
              <w:t>150-180 mL/kg/d</w:t>
            </w:r>
          </w:p>
        </w:tc>
      </w:tr>
      <w:tr w:rsidR="00B60CDE" w:rsidRPr="004A16D3" w:rsidTr="009B7854">
        <w:trPr>
          <w:trHeight w:val="150"/>
        </w:trPr>
        <w:tc>
          <w:tcPr>
            <w:tcW w:w="0" w:type="auto"/>
            <w:vMerge/>
            <w:tcBorders>
              <w:top w:val="nil"/>
              <w:left w:val="single" w:sz="8" w:space="0" w:color="auto"/>
              <w:bottom w:val="single" w:sz="8" w:space="0" w:color="auto"/>
              <w:right w:val="single" w:sz="8" w:space="0" w:color="auto"/>
            </w:tcBorders>
            <w:vAlign w:val="center"/>
            <w:hideMark/>
          </w:tcPr>
          <w:p w:rsidR="00B60CDE" w:rsidRPr="004A16D3" w:rsidRDefault="00B60CDE" w:rsidP="009B7854">
            <w:pPr>
              <w:pStyle w:val="T4"/>
              <w:rPr>
                <w:rFonts w:ascii="Aptos" w:eastAsia="Aptos" w:hAnsi="Aptos" w:cs="Aptos"/>
              </w:rPr>
            </w:pPr>
          </w:p>
        </w:tc>
        <w:tc>
          <w:tcPr>
            <w:tcW w:w="1622" w:type="dxa"/>
            <w:tcBorders>
              <w:top w:val="nil"/>
              <w:left w:val="nil"/>
              <w:bottom w:val="single" w:sz="8" w:space="0" w:color="auto"/>
              <w:right w:val="single" w:sz="8" w:space="0" w:color="auto"/>
            </w:tcBorders>
            <w:tcMar>
              <w:top w:w="0" w:type="dxa"/>
              <w:left w:w="108" w:type="dxa"/>
              <w:bottom w:w="0" w:type="dxa"/>
              <w:right w:w="108" w:type="dxa"/>
            </w:tcMar>
            <w:hideMark/>
          </w:tcPr>
          <w:p w:rsidR="00B60CDE" w:rsidRPr="004A16D3" w:rsidRDefault="00B60CDE" w:rsidP="009B7854">
            <w:pPr>
              <w:pStyle w:val="T4"/>
              <w:rPr>
                <w:rFonts w:cs="Arial"/>
              </w:rPr>
            </w:pPr>
            <w:r w:rsidRPr="004A16D3">
              <w:rPr>
                <w:rFonts w:cs="Arial"/>
              </w:rPr>
              <w:t>&gt;750 g</w:t>
            </w:r>
            <w:r w:rsidRPr="004A16D3">
              <w:rPr>
                <w:rStyle w:val="citebib"/>
                <w:rFonts w:ascii="Times" w:eastAsia="Times New Roman" w:hAnsi="Times" w:cs="Times"/>
                <w:bCs/>
                <w:szCs w:val="24"/>
                <w:vertAlign w:val="superscript"/>
                <w:lang w:val="en-US"/>
              </w:rPr>
              <w:t>21</w:t>
            </w:r>
          </w:p>
        </w:tc>
        <w:tc>
          <w:tcPr>
            <w:tcW w:w="2074" w:type="dxa"/>
            <w:tcBorders>
              <w:top w:val="nil"/>
              <w:left w:val="nil"/>
              <w:bottom w:val="single" w:sz="8" w:space="0" w:color="auto"/>
              <w:right w:val="single" w:sz="8" w:space="0" w:color="auto"/>
            </w:tcBorders>
            <w:tcMar>
              <w:top w:w="0" w:type="dxa"/>
              <w:left w:w="108" w:type="dxa"/>
              <w:bottom w:w="0" w:type="dxa"/>
              <w:right w:w="108" w:type="dxa"/>
            </w:tcMar>
            <w:hideMark/>
          </w:tcPr>
          <w:p w:rsidR="00B60CDE" w:rsidRPr="004A16D3" w:rsidRDefault="00B60CDE" w:rsidP="009B7854">
            <w:pPr>
              <w:pStyle w:val="T4"/>
              <w:rPr>
                <w:rFonts w:cs="Arial"/>
              </w:rPr>
            </w:pPr>
            <w:r w:rsidRPr="004A16D3">
              <w:rPr>
                <w:rFonts w:cs="Arial"/>
              </w:rPr>
              <w:t>20-30 mL/kg/d</w:t>
            </w:r>
          </w:p>
        </w:tc>
        <w:tc>
          <w:tcPr>
            <w:tcW w:w="2097" w:type="dxa"/>
            <w:tcBorders>
              <w:top w:val="nil"/>
              <w:left w:val="nil"/>
              <w:bottom w:val="single" w:sz="8" w:space="0" w:color="auto"/>
              <w:right w:val="single" w:sz="8" w:space="0" w:color="auto"/>
            </w:tcBorders>
            <w:tcMar>
              <w:top w:w="0" w:type="dxa"/>
              <w:left w:w="108" w:type="dxa"/>
              <w:bottom w:w="0" w:type="dxa"/>
              <w:right w:w="108" w:type="dxa"/>
            </w:tcMar>
            <w:hideMark/>
          </w:tcPr>
          <w:p w:rsidR="00B60CDE" w:rsidRPr="004A16D3" w:rsidRDefault="00B60CDE" w:rsidP="009B7854">
            <w:pPr>
              <w:pStyle w:val="T4"/>
              <w:rPr>
                <w:rFonts w:cs="Arial"/>
              </w:rPr>
            </w:pPr>
            <w:r w:rsidRPr="004A16D3">
              <w:rPr>
                <w:rFonts w:cs="Arial"/>
              </w:rPr>
              <w:t>30 mL/kg/d</w:t>
            </w:r>
          </w:p>
        </w:tc>
        <w:tc>
          <w:tcPr>
            <w:tcW w:w="2330" w:type="dxa"/>
            <w:tcBorders>
              <w:top w:val="nil"/>
              <w:left w:val="nil"/>
              <w:bottom w:val="single" w:sz="8" w:space="0" w:color="auto"/>
              <w:right w:val="single" w:sz="8" w:space="0" w:color="auto"/>
            </w:tcBorders>
            <w:tcMar>
              <w:top w:w="0" w:type="dxa"/>
              <w:left w:w="108" w:type="dxa"/>
              <w:bottom w:w="0" w:type="dxa"/>
              <w:right w:w="108" w:type="dxa"/>
            </w:tcMar>
            <w:hideMark/>
          </w:tcPr>
          <w:p w:rsidR="00B60CDE" w:rsidRPr="004A16D3" w:rsidRDefault="00B60CDE" w:rsidP="009B7854">
            <w:pPr>
              <w:pStyle w:val="T4"/>
              <w:rPr>
                <w:rFonts w:cs="Arial"/>
              </w:rPr>
            </w:pPr>
            <w:r w:rsidRPr="004A16D3">
              <w:rPr>
                <w:rFonts w:cs="Arial"/>
              </w:rPr>
              <w:t>150-180 mL/kg/d</w:t>
            </w:r>
          </w:p>
        </w:tc>
      </w:tr>
      <w:tr w:rsidR="00B60CDE" w:rsidRPr="004A16D3" w:rsidTr="009B7854">
        <w:tc>
          <w:tcPr>
            <w:tcW w:w="8620" w:type="dxa"/>
            <w:gridSpan w:val="5"/>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B60CDE" w:rsidRPr="004A16D3" w:rsidRDefault="00B60CDE" w:rsidP="009B7854">
            <w:pPr>
              <w:pStyle w:val="T20"/>
              <w:spacing w:before="0" w:beforeAutospacing="0" w:after="0" w:afterAutospacing="0" w:line="480" w:lineRule="auto"/>
              <w:rPr>
                <w:rFonts w:cs="Arial"/>
              </w:rPr>
            </w:pPr>
            <w:r w:rsidRPr="004A16D3">
              <w:rPr>
                <w:rFonts w:cs="Arial"/>
                <w:b/>
                <w:bCs/>
              </w:rPr>
              <w:t>Continuous Gastric Feeds</w:t>
            </w:r>
          </w:p>
        </w:tc>
      </w:tr>
      <w:tr w:rsidR="00B60CDE" w:rsidRPr="004A16D3" w:rsidTr="009B7854">
        <w:trPr>
          <w:trHeight w:val="150"/>
        </w:trPr>
        <w:tc>
          <w:tcPr>
            <w:tcW w:w="2119"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B60CDE" w:rsidRPr="004A16D3" w:rsidRDefault="00B60CDE" w:rsidP="009B7854">
            <w:pPr>
              <w:pStyle w:val="T20"/>
              <w:spacing w:before="0" w:beforeAutospacing="0" w:after="0" w:afterAutospacing="0" w:line="480" w:lineRule="auto"/>
              <w:rPr>
                <w:rFonts w:cs="Arial"/>
              </w:rPr>
            </w:pPr>
            <w:r w:rsidRPr="004A16D3">
              <w:rPr>
                <w:rFonts w:cs="Arial"/>
                <w:b/>
                <w:bCs/>
              </w:rPr>
              <w:t>Preterm</w:t>
            </w:r>
          </w:p>
        </w:tc>
        <w:tc>
          <w:tcPr>
            <w:tcW w:w="2074" w:type="dxa"/>
            <w:tcBorders>
              <w:top w:val="nil"/>
              <w:left w:val="nil"/>
              <w:bottom w:val="single" w:sz="8" w:space="0" w:color="auto"/>
              <w:right w:val="single" w:sz="8" w:space="0" w:color="auto"/>
            </w:tcBorders>
            <w:tcMar>
              <w:top w:w="0" w:type="dxa"/>
              <w:left w:w="108" w:type="dxa"/>
              <w:bottom w:w="0" w:type="dxa"/>
              <w:right w:w="108" w:type="dxa"/>
            </w:tcMar>
            <w:hideMark/>
          </w:tcPr>
          <w:p w:rsidR="00B60CDE" w:rsidRPr="004A16D3" w:rsidRDefault="00B60CDE" w:rsidP="009B7854">
            <w:pPr>
              <w:pStyle w:val="T20"/>
              <w:spacing w:before="0" w:beforeAutospacing="0" w:after="0" w:afterAutospacing="0" w:line="480" w:lineRule="auto"/>
              <w:rPr>
                <w:rFonts w:cs="Arial"/>
              </w:rPr>
            </w:pPr>
            <w:r w:rsidRPr="004A16D3">
              <w:rPr>
                <w:rFonts w:cs="Arial"/>
              </w:rPr>
              <w:t> </w:t>
            </w:r>
          </w:p>
        </w:tc>
        <w:tc>
          <w:tcPr>
            <w:tcW w:w="2097" w:type="dxa"/>
            <w:tcBorders>
              <w:top w:val="nil"/>
              <w:left w:val="nil"/>
              <w:bottom w:val="single" w:sz="8" w:space="0" w:color="auto"/>
              <w:right w:val="single" w:sz="8" w:space="0" w:color="auto"/>
            </w:tcBorders>
            <w:tcMar>
              <w:top w:w="0" w:type="dxa"/>
              <w:left w:w="108" w:type="dxa"/>
              <w:bottom w:w="0" w:type="dxa"/>
              <w:right w:w="108" w:type="dxa"/>
            </w:tcMar>
            <w:hideMark/>
          </w:tcPr>
          <w:p w:rsidR="00B60CDE" w:rsidRPr="004A16D3" w:rsidRDefault="00B60CDE" w:rsidP="009B7854">
            <w:pPr>
              <w:pStyle w:val="T20"/>
              <w:spacing w:before="0" w:beforeAutospacing="0" w:after="0" w:afterAutospacing="0" w:line="480" w:lineRule="auto"/>
              <w:rPr>
                <w:rFonts w:cs="Arial"/>
              </w:rPr>
            </w:pPr>
            <w:r w:rsidRPr="004A16D3">
              <w:rPr>
                <w:rFonts w:cs="Arial"/>
              </w:rPr>
              <w:t> </w:t>
            </w:r>
          </w:p>
        </w:tc>
        <w:tc>
          <w:tcPr>
            <w:tcW w:w="2330" w:type="dxa"/>
            <w:tcBorders>
              <w:top w:val="nil"/>
              <w:left w:val="nil"/>
              <w:bottom w:val="single" w:sz="8" w:space="0" w:color="auto"/>
              <w:right w:val="single" w:sz="8" w:space="0" w:color="auto"/>
            </w:tcBorders>
            <w:tcMar>
              <w:top w:w="0" w:type="dxa"/>
              <w:left w:w="108" w:type="dxa"/>
              <w:bottom w:w="0" w:type="dxa"/>
              <w:right w:w="108" w:type="dxa"/>
            </w:tcMar>
            <w:hideMark/>
          </w:tcPr>
          <w:p w:rsidR="00B60CDE" w:rsidRPr="004A16D3" w:rsidRDefault="00B60CDE" w:rsidP="009B7854">
            <w:pPr>
              <w:pStyle w:val="T20"/>
              <w:spacing w:before="0" w:beforeAutospacing="0" w:after="0" w:afterAutospacing="0" w:line="480" w:lineRule="auto"/>
              <w:rPr>
                <w:rFonts w:cs="Arial"/>
              </w:rPr>
            </w:pPr>
            <w:r w:rsidRPr="004A16D3">
              <w:rPr>
                <w:rFonts w:cs="Arial"/>
              </w:rPr>
              <w:t> </w:t>
            </w:r>
          </w:p>
        </w:tc>
      </w:tr>
      <w:tr w:rsidR="00B60CDE" w:rsidRPr="004A16D3" w:rsidTr="009B7854">
        <w:trPr>
          <w:trHeight w:val="100"/>
        </w:trPr>
        <w:tc>
          <w:tcPr>
            <w:tcW w:w="497" w:type="dxa"/>
            <w:vMerge w:val="restart"/>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B60CDE" w:rsidRPr="004A16D3" w:rsidRDefault="00B60CDE" w:rsidP="009B7854">
            <w:pPr>
              <w:pStyle w:val="T4"/>
              <w:rPr>
                <w:rFonts w:cs="Arial"/>
              </w:rPr>
            </w:pPr>
            <w:r w:rsidRPr="004A16D3">
              <w:rPr>
                <w:rFonts w:cs="Arial"/>
              </w:rPr>
              <w:t> </w:t>
            </w:r>
          </w:p>
        </w:tc>
        <w:tc>
          <w:tcPr>
            <w:tcW w:w="1622" w:type="dxa"/>
            <w:tcBorders>
              <w:top w:val="nil"/>
              <w:left w:val="nil"/>
              <w:bottom w:val="single" w:sz="8" w:space="0" w:color="auto"/>
              <w:right w:val="single" w:sz="8" w:space="0" w:color="auto"/>
            </w:tcBorders>
            <w:tcMar>
              <w:top w:w="0" w:type="dxa"/>
              <w:left w:w="108" w:type="dxa"/>
              <w:bottom w:w="0" w:type="dxa"/>
              <w:right w:w="108" w:type="dxa"/>
            </w:tcMar>
            <w:hideMark/>
          </w:tcPr>
          <w:p w:rsidR="00B60CDE" w:rsidRPr="004A16D3" w:rsidRDefault="00B60CDE" w:rsidP="009B7854">
            <w:pPr>
              <w:pStyle w:val="T4"/>
              <w:rPr>
                <w:rFonts w:cs="Arial"/>
              </w:rPr>
            </w:pPr>
            <w:r w:rsidRPr="004A16D3">
              <w:rPr>
                <w:rFonts w:cs="Arial"/>
              </w:rPr>
              <w:t>&lt;750 g</w:t>
            </w:r>
            <w:r>
              <w:rPr>
                <w:rStyle w:val="citebib"/>
                <w:rFonts w:ascii="Times" w:eastAsia="Times New Roman" w:hAnsi="Times" w:cs="Times"/>
                <w:bCs/>
                <w:szCs w:val="24"/>
                <w:vertAlign w:val="superscript"/>
                <w:lang w:val="en-US"/>
              </w:rPr>
              <w:t>7</w:t>
            </w:r>
          </w:p>
        </w:tc>
        <w:tc>
          <w:tcPr>
            <w:tcW w:w="2074" w:type="dxa"/>
            <w:tcBorders>
              <w:top w:val="nil"/>
              <w:left w:val="nil"/>
              <w:bottom w:val="single" w:sz="8" w:space="0" w:color="auto"/>
              <w:right w:val="single" w:sz="8" w:space="0" w:color="auto"/>
            </w:tcBorders>
            <w:tcMar>
              <w:top w:w="0" w:type="dxa"/>
              <w:left w:w="108" w:type="dxa"/>
              <w:bottom w:w="0" w:type="dxa"/>
              <w:right w:w="108" w:type="dxa"/>
            </w:tcMar>
            <w:hideMark/>
          </w:tcPr>
          <w:p w:rsidR="00B60CDE" w:rsidRPr="004A16D3" w:rsidRDefault="00B60CDE" w:rsidP="009B7854">
            <w:pPr>
              <w:pStyle w:val="T4"/>
              <w:rPr>
                <w:rFonts w:cs="Arial"/>
              </w:rPr>
            </w:pPr>
            <w:r w:rsidRPr="004A16D3">
              <w:rPr>
                <w:rFonts w:cs="Arial"/>
              </w:rPr>
              <w:t xml:space="preserve">10-20 mL/kg/d </w:t>
            </w:r>
            <w:r w:rsidRPr="004A16D3">
              <w:rPr>
                <w:rFonts w:cs="Calibri"/>
              </w:rPr>
              <w:t>×</w:t>
            </w:r>
            <w:r w:rsidRPr="004A16D3">
              <w:rPr>
                <w:rFonts w:cs="Arial"/>
              </w:rPr>
              <w:t xml:space="preserve"> 3 d</w:t>
            </w:r>
          </w:p>
        </w:tc>
        <w:tc>
          <w:tcPr>
            <w:tcW w:w="2097" w:type="dxa"/>
            <w:tcBorders>
              <w:top w:val="nil"/>
              <w:left w:val="nil"/>
              <w:bottom w:val="single" w:sz="8" w:space="0" w:color="auto"/>
              <w:right w:val="single" w:sz="8" w:space="0" w:color="auto"/>
            </w:tcBorders>
            <w:tcMar>
              <w:top w:w="0" w:type="dxa"/>
              <w:left w:w="108" w:type="dxa"/>
              <w:bottom w:w="0" w:type="dxa"/>
              <w:right w:w="108" w:type="dxa"/>
            </w:tcMar>
            <w:hideMark/>
          </w:tcPr>
          <w:p w:rsidR="00B60CDE" w:rsidRPr="004A16D3" w:rsidRDefault="00B60CDE" w:rsidP="009B7854">
            <w:pPr>
              <w:pStyle w:val="T4"/>
              <w:rPr>
                <w:rFonts w:cs="Arial"/>
              </w:rPr>
            </w:pPr>
            <w:r w:rsidRPr="004A16D3">
              <w:rPr>
                <w:rFonts w:cs="Arial"/>
              </w:rPr>
              <w:t>15-25 g/kg/d</w:t>
            </w:r>
          </w:p>
        </w:tc>
        <w:tc>
          <w:tcPr>
            <w:tcW w:w="2330" w:type="dxa"/>
            <w:tcBorders>
              <w:top w:val="nil"/>
              <w:left w:val="nil"/>
              <w:bottom w:val="single" w:sz="8" w:space="0" w:color="auto"/>
              <w:right w:val="single" w:sz="8" w:space="0" w:color="auto"/>
            </w:tcBorders>
            <w:tcMar>
              <w:top w:w="0" w:type="dxa"/>
              <w:left w:w="108" w:type="dxa"/>
              <w:bottom w:w="0" w:type="dxa"/>
              <w:right w:w="108" w:type="dxa"/>
            </w:tcMar>
            <w:hideMark/>
          </w:tcPr>
          <w:p w:rsidR="00B60CDE" w:rsidRPr="004A16D3" w:rsidRDefault="00B60CDE" w:rsidP="009B7854">
            <w:pPr>
              <w:pStyle w:val="T4"/>
              <w:rPr>
                <w:rFonts w:cs="Arial"/>
              </w:rPr>
            </w:pPr>
            <w:r w:rsidRPr="004A16D3">
              <w:rPr>
                <w:rFonts w:cs="Arial"/>
              </w:rPr>
              <w:t>150-180 mL/kg/d</w:t>
            </w:r>
          </w:p>
        </w:tc>
      </w:tr>
      <w:tr w:rsidR="00B60CDE" w:rsidRPr="004A16D3" w:rsidTr="009B7854">
        <w:trPr>
          <w:trHeight w:val="100"/>
        </w:trPr>
        <w:tc>
          <w:tcPr>
            <w:tcW w:w="0" w:type="auto"/>
            <w:vMerge/>
            <w:tcBorders>
              <w:top w:val="nil"/>
              <w:left w:val="single" w:sz="8" w:space="0" w:color="auto"/>
              <w:bottom w:val="single" w:sz="8" w:space="0" w:color="auto"/>
              <w:right w:val="single" w:sz="8" w:space="0" w:color="auto"/>
            </w:tcBorders>
            <w:vAlign w:val="center"/>
            <w:hideMark/>
          </w:tcPr>
          <w:p w:rsidR="00B60CDE" w:rsidRPr="004A16D3" w:rsidRDefault="00B60CDE" w:rsidP="009B7854">
            <w:pPr>
              <w:pStyle w:val="T4"/>
              <w:rPr>
                <w:rFonts w:ascii="Aptos" w:eastAsia="Aptos" w:hAnsi="Aptos" w:cs="Aptos"/>
              </w:rPr>
            </w:pPr>
          </w:p>
        </w:tc>
        <w:tc>
          <w:tcPr>
            <w:tcW w:w="1622" w:type="dxa"/>
            <w:tcBorders>
              <w:top w:val="nil"/>
              <w:left w:val="nil"/>
              <w:bottom w:val="single" w:sz="8" w:space="0" w:color="auto"/>
              <w:right w:val="single" w:sz="8" w:space="0" w:color="auto"/>
            </w:tcBorders>
            <w:tcMar>
              <w:top w:w="0" w:type="dxa"/>
              <w:left w:w="108" w:type="dxa"/>
              <w:bottom w:w="0" w:type="dxa"/>
              <w:right w:w="108" w:type="dxa"/>
            </w:tcMar>
            <w:hideMark/>
          </w:tcPr>
          <w:p w:rsidR="00B60CDE" w:rsidRPr="004A16D3" w:rsidRDefault="00B60CDE" w:rsidP="009B7854">
            <w:pPr>
              <w:pStyle w:val="T4"/>
              <w:rPr>
                <w:rFonts w:cs="Arial"/>
              </w:rPr>
            </w:pPr>
            <w:r w:rsidRPr="004A16D3">
              <w:rPr>
                <w:rFonts w:cs="Arial"/>
              </w:rPr>
              <w:t>&gt;750 g</w:t>
            </w:r>
            <w:r w:rsidRPr="004A16D3">
              <w:rPr>
                <w:rStyle w:val="citebib"/>
                <w:rFonts w:ascii="Times" w:eastAsia="Times New Roman" w:hAnsi="Times" w:cs="Times"/>
                <w:bCs/>
                <w:szCs w:val="24"/>
                <w:vertAlign w:val="superscript"/>
                <w:lang w:val="en-US"/>
              </w:rPr>
              <w:t>21</w:t>
            </w:r>
          </w:p>
        </w:tc>
        <w:tc>
          <w:tcPr>
            <w:tcW w:w="2074" w:type="dxa"/>
            <w:tcBorders>
              <w:top w:val="nil"/>
              <w:left w:val="nil"/>
              <w:bottom w:val="single" w:sz="8" w:space="0" w:color="auto"/>
              <w:right w:val="single" w:sz="8" w:space="0" w:color="auto"/>
            </w:tcBorders>
            <w:tcMar>
              <w:top w:w="0" w:type="dxa"/>
              <w:left w:w="108" w:type="dxa"/>
              <w:bottom w:w="0" w:type="dxa"/>
              <w:right w:w="108" w:type="dxa"/>
            </w:tcMar>
            <w:hideMark/>
          </w:tcPr>
          <w:p w:rsidR="00B60CDE" w:rsidRPr="004A16D3" w:rsidRDefault="00B60CDE" w:rsidP="009B7854">
            <w:pPr>
              <w:pStyle w:val="T4"/>
              <w:rPr>
                <w:rFonts w:cs="Arial"/>
              </w:rPr>
            </w:pPr>
            <w:r w:rsidRPr="004A16D3">
              <w:rPr>
                <w:rFonts w:cs="Arial"/>
              </w:rPr>
              <w:t>20-30 mL/kg/d</w:t>
            </w:r>
          </w:p>
        </w:tc>
        <w:tc>
          <w:tcPr>
            <w:tcW w:w="2097" w:type="dxa"/>
            <w:tcBorders>
              <w:top w:val="nil"/>
              <w:left w:val="nil"/>
              <w:bottom w:val="single" w:sz="8" w:space="0" w:color="auto"/>
              <w:right w:val="single" w:sz="8" w:space="0" w:color="auto"/>
            </w:tcBorders>
            <w:tcMar>
              <w:top w:w="0" w:type="dxa"/>
              <w:left w:w="108" w:type="dxa"/>
              <w:bottom w:w="0" w:type="dxa"/>
              <w:right w:w="108" w:type="dxa"/>
            </w:tcMar>
            <w:hideMark/>
          </w:tcPr>
          <w:p w:rsidR="00B60CDE" w:rsidRPr="004A16D3" w:rsidRDefault="00B60CDE" w:rsidP="009B7854">
            <w:pPr>
              <w:pStyle w:val="T4"/>
              <w:rPr>
                <w:rFonts w:cs="Arial"/>
              </w:rPr>
            </w:pPr>
            <w:r w:rsidRPr="004A16D3">
              <w:rPr>
                <w:rFonts w:cs="Arial"/>
              </w:rPr>
              <w:t>30 mL/kg/d</w:t>
            </w:r>
          </w:p>
        </w:tc>
        <w:tc>
          <w:tcPr>
            <w:tcW w:w="2330" w:type="dxa"/>
            <w:tcBorders>
              <w:top w:val="nil"/>
              <w:left w:val="nil"/>
              <w:bottom w:val="single" w:sz="8" w:space="0" w:color="auto"/>
              <w:right w:val="single" w:sz="8" w:space="0" w:color="auto"/>
            </w:tcBorders>
            <w:tcMar>
              <w:top w:w="0" w:type="dxa"/>
              <w:left w:w="108" w:type="dxa"/>
              <w:bottom w:w="0" w:type="dxa"/>
              <w:right w:w="108" w:type="dxa"/>
            </w:tcMar>
            <w:hideMark/>
          </w:tcPr>
          <w:p w:rsidR="00B60CDE" w:rsidRPr="004A16D3" w:rsidRDefault="00B60CDE" w:rsidP="009B7854">
            <w:pPr>
              <w:pStyle w:val="T4"/>
              <w:rPr>
                <w:rFonts w:cs="Arial"/>
              </w:rPr>
            </w:pPr>
            <w:r w:rsidRPr="004A16D3">
              <w:rPr>
                <w:rFonts w:cs="Arial"/>
              </w:rPr>
              <w:t>150-180 mL/kg/d</w:t>
            </w:r>
          </w:p>
        </w:tc>
      </w:tr>
      <w:tr w:rsidR="00B60CDE" w:rsidRPr="004A16D3" w:rsidTr="009B7854">
        <w:tc>
          <w:tcPr>
            <w:tcW w:w="8620" w:type="dxa"/>
            <w:gridSpan w:val="5"/>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B60CDE" w:rsidRPr="004A16D3" w:rsidRDefault="00B60CDE" w:rsidP="009B7854">
            <w:pPr>
              <w:pStyle w:val="T20"/>
              <w:spacing w:before="0" w:beforeAutospacing="0" w:after="0" w:afterAutospacing="0" w:line="480" w:lineRule="auto"/>
              <w:rPr>
                <w:rFonts w:cs="Arial"/>
              </w:rPr>
            </w:pPr>
            <w:r w:rsidRPr="004A16D3">
              <w:rPr>
                <w:rFonts w:cs="Arial"/>
                <w:b/>
                <w:bCs/>
              </w:rPr>
              <w:t>Bolus/Intermittent Gastric Feeds</w:t>
            </w:r>
          </w:p>
        </w:tc>
      </w:tr>
      <w:tr w:rsidR="00B60CDE" w:rsidRPr="004A16D3" w:rsidTr="009B7854">
        <w:trPr>
          <w:trHeight w:val="150"/>
        </w:trPr>
        <w:tc>
          <w:tcPr>
            <w:tcW w:w="2119"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B60CDE" w:rsidRPr="004A16D3" w:rsidRDefault="00B60CDE" w:rsidP="009B7854">
            <w:pPr>
              <w:pStyle w:val="T20"/>
              <w:spacing w:before="0" w:beforeAutospacing="0" w:after="0" w:afterAutospacing="0" w:line="480" w:lineRule="auto"/>
              <w:rPr>
                <w:rFonts w:cs="Arial"/>
              </w:rPr>
            </w:pPr>
            <w:r w:rsidRPr="004A16D3">
              <w:rPr>
                <w:rFonts w:cs="Arial"/>
                <w:b/>
                <w:bCs/>
              </w:rPr>
              <w:t>Preterm</w:t>
            </w:r>
          </w:p>
        </w:tc>
        <w:tc>
          <w:tcPr>
            <w:tcW w:w="2074" w:type="dxa"/>
            <w:tcBorders>
              <w:top w:val="nil"/>
              <w:left w:val="nil"/>
              <w:bottom w:val="single" w:sz="8" w:space="0" w:color="auto"/>
              <w:right w:val="single" w:sz="8" w:space="0" w:color="auto"/>
            </w:tcBorders>
            <w:tcMar>
              <w:top w:w="0" w:type="dxa"/>
              <w:left w:w="108" w:type="dxa"/>
              <w:bottom w:w="0" w:type="dxa"/>
              <w:right w:w="108" w:type="dxa"/>
            </w:tcMar>
            <w:hideMark/>
          </w:tcPr>
          <w:p w:rsidR="00B60CDE" w:rsidRPr="004A16D3" w:rsidRDefault="00B60CDE" w:rsidP="009B7854">
            <w:pPr>
              <w:pStyle w:val="T20"/>
              <w:spacing w:before="0" w:beforeAutospacing="0" w:after="0" w:afterAutospacing="0" w:line="480" w:lineRule="auto"/>
              <w:rPr>
                <w:rFonts w:cs="Arial"/>
              </w:rPr>
            </w:pPr>
            <w:r w:rsidRPr="004A16D3">
              <w:rPr>
                <w:rFonts w:cs="Arial"/>
              </w:rPr>
              <w:t> </w:t>
            </w:r>
          </w:p>
        </w:tc>
        <w:tc>
          <w:tcPr>
            <w:tcW w:w="2097" w:type="dxa"/>
            <w:tcBorders>
              <w:top w:val="nil"/>
              <w:left w:val="nil"/>
              <w:bottom w:val="single" w:sz="8" w:space="0" w:color="auto"/>
              <w:right w:val="single" w:sz="8" w:space="0" w:color="auto"/>
            </w:tcBorders>
            <w:tcMar>
              <w:top w:w="0" w:type="dxa"/>
              <w:left w:w="108" w:type="dxa"/>
              <w:bottom w:w="0" w:type="dxa"/>
              <w:right w:w="108" w:type="dxa"/>
            </w:tcMar>
            <w:hideMark/>
          </w:tcPr>
          <w:p w:rsidR="00B60CDE" w:rsidRPr="004A16D3" w:rsidRDefault="00B60CDE" w:rsidP="009B7854">
            <w:pPr>
              <w:pStyle w:val="T20"/>
              <w:spacing w:before="0" w:beforeAutospacing="0" w:after="0" w:afterAutospacing="0" w:line="480" w:lineRule="auto"/>
              <w:rPr>
                <w:rFonts w:cs="Arial"/>
              </w:rPr>
            </w:pPr>
            <w:r w:rsidRPr="004A16D3">
              <w:rPr>
                <w:rFonts w:cs="Arial"/>
              </w:rPr>
              <w:t> </w:t>
            </w:r>
          </w:p>
        </w:tc>
        <w:tc>
          <w:tcPr>
            <w:tcW w:w="2330" w:type="dxa"/>
            <w:tcBorders>
              <w:top w:val="nil"/>
              <w:left w:val="nil"/>
              <w:bottom w:val="single" w:sz="8" w:space="0" w:color="auto"/>
              <w:right w:val="single" w:sz="8" w:space="0" w:color="auto"/>
            </w:tcBorders>
            <w:tcMar>
              <w:top w:w="0" w:type="dxa"/>
              <w:left w:w="108" w:type="dxa"/>
              <w:bottom w:w="0" w:type="dxa"/>
              <w:right w:w="108" w:type="dxa"/>
            </w:tcMar>
            <w:hideMark/>
          </w:tcPr>
          <w:p w:rsidR="00B60CDE" w:rsidRPr="004A16D3" w:rsidRDefault="00B60CDE" w:rsidP="009B7854">
            <w:pPr>
              <w:pStyle w:val="T20"/>
              <w:spacing w:before="0" w:beforeAutospacing="0" w:after="0" w:afterAutospacing="0" w:line="480" w:lineRule="auto"/>
              <w:rPr>
                <w:rFonts w:cs="Arial"/>
              </w:rPr>
            </w:pPr>
            <w:r w:rsidRPr="004A16D3">
              <w:rPr>
                <w:rFonts w:cs="Arial"/>
              </w:rPr>
              <w:t> </w:t>
            </w:r>
          </w:p>
        </w:tc>
      </w:tr>
      <w:tr w:rsidR="00B60CDE" w:rsidRPr="004A16D3" w:rsidTr="009B7854">
        <w:trPr>
          <w:trHeight w:val="100"/>
        </w:trPr>
        <w:tc>
          <w:tcPr>
            <w:tcW w:w="497" w:type="dxa"/>
            <w:vMerge w:val="restart"/>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B60CDE" w:rsidRPr="004A16D3" w:rsidRDefault="00B60CDE" w:rsidP="009B7854">
            <w:pPr>
              <w:pStyle w:val="T4"/>
              <w:rPr>
                <w:rFonts w:cs="Arial"/>
              </w:rPr>
            </w:pPr>
            <w:r w:rsidRPr="004A16D3">
              <w:rPr>
                <w:rFonts w:cs="Arial"/>
              </w:rPr>
              <w:t> </w:t>
            </w:r>
          </w:p>
        </w:tc>
        <w:tc>
          <w:tcPr>
            <w:tcW w:w="1622" w:type="dxa"/>
            <w:tcBorders>
              <w:top w:val="nil"/>
              <w:left w:val="nil"/>
              <w:bottom w:val="single" w:sz="8" w:space="0" w:color="auto"/>
              <w:right w:val="single" w:sz="8" w:space="0" w:color="auto"/>
            </w:tcBorders>
            <w:tcMar>
              <w:top w:w="0" w:type="dxa"/>
              <w:left w:w="108" w:type="dxa"/>
              <w:bottom w:w="0" w:type="dxa"/>
              <w:right w:w="108" w:type="dxa"/>
            </w:tcMar>
            <w:hideMark/>
          </w:tcPr>
          <w:p w:rsidR="00B60CDE" w:rsidRPr="004A16D3" w:rsidRDefault="00B60CDE" w:rsidP="009B7854">
            <w:pPr>
              <w:pStyle w:val="T4"/>
              <w:rPr>
                <w:rFonts w:cs="Arial"/>
              </w:rPr>
            </w:pPr>
            <w:r w:rsidRPr="004A16D3">
              <w:rPr>
                <w:rFonts w:cs="Arial"/>
              </w:rPr>
              <w:t>&lt;750 g</w:t>
            </w:r>
            <w:r>
              <w:rPr>
                <w:rStyle w:val="citebib"/>
                <w:rFonts w:ascii="Times" w:eastAsia="Times New Roman" w:hAnsi="Times" w:cs="Times"/>
                <w:bCs/>
                <w:szCs w:val="24"/>
                <w:vertAlign w:val="superscript"/>
                <w:lang w:val="en-US"/>
              </w:rPr>
              <w:t>7</w:t>
            </w:r>
          </w:p>
        </w:tc>
        <w:tc>
          <w:tcPr>
            <w:tcW w:w="2074" w:type="dxa"/>
            <w:tcBorders>
              <w:top w:val="nil"/>
              <w:left w:val="nil"/>
              <w:bottom w:val="single" w:sz="8" w:space="0" w:color="auto"/>
              <w:right w:val="single" w:sz="8" w:space="0" w:color="auto"/>
            </w:tcBorders>
            <w:tcMar>
              <w:top w:w="0" w:type="dxa"/>
              <w:left w:w="108" w:type="dxa"/>
              <w:bottom w:w="0" w:type="dxa"/>
              <w:right w:w="108" w:type="dxa"/>
            </w:tcMar>
            <w:hideMark/>
          </w:tcPr>
          <w:p w:rsidR="00B60CDE" w:rsidRPr="004A16D3" w:rsidRDefault="00B60CDE" w:rsidP="009B7854">
            <w:pPr>
              <w:pStyle w:val="T4"/>
              <w:rPr>
                <w:rFonts w:cs="Arial"/>
              </w:rPr>
            </w:pPr>
            <w:r w:rsidRPr="004A16D3">
              <w:rPr>
                <w:rFonts w:cs="Arial"/>
              </w:rPr>
              <w:t xml:space="preserve">10-20 mL/kg/d divided into Q3-4 h feeds </w:t>
            </w:r>
            <w:r w:rsidRPr="004A16D3">
              <w:rPr>
                <w:rFonts w:cs="Calibri"/>
              </w:rPr>
              <w:t>×</w:t>
            </w:r>
            <w:r w:rsidRPr="004A16D3">
              <w:rPr>
                <w:rFonts w:cs="Arial"/>
              </w:rPr>
              <w:t xml:space="preserve"> 3 d</w:t>
            </w:r>
          </w:p>
        </w:tc>
        <w:tc>
          <w:tcPr>
            <w:tcW w:w="2097" w:type="dxa"/>
            <w:tcBorders>
              <w:top w:val="nil"/>
              <w:left w:val="nil"/>
              <w:bottom w:val="single" w:sz="8" w:space="0" w:color="auto"/>
              <w:right w:val="single" w:sz="8" w:space="0" w:color="auto"/>
            </w:tcBorders>
            <w:tcMar>
              <w:top w:w="0" w:type="dxa"/>
              <w:left w:w="108" w:type="dxa"/>
              <w:bottom w:w="0" w:type="dxa"/>
              <w:right w:w="108" w:type="dxa"/>
            </w:tcMar>
            <w:hideMark/>
          </w:tcPr>
          <w:p w:rsidR="00B60CDE" w:rsidRPr="004A16D3" w:rsidRDefault="00B60CDE" w:rsidP="009B7854">
            <w:pPr>
              <w:pStyle w:val="T4"/>
              <w:rPr>
                <w:rFonts w:cs="Arial"/>
              </w:rPr>
            </w:pPr>
            <w:r w:rsidRPr="004A16D3">
              <w:rPr>
                <w:rFonts w:cs="Arial"/>
              </w:rPr>
              <w:t>15-25 mL/kg/d divided into Q3 h feeds</w:t>
            </w:r>
          </w:p>
        </w:tc>
        <w:tc>
          <w:tcPr>
            <w:tcW w:w="2330" w:type="dxa"/>
            <w:tcBorders>
              <w:top w:val="nil"/>
              <w:left w:val="nil"/>
              <w:bottom w:val="single" w:sz="8" w:space="0" w:color="auto"/>
              <w:right w:val="single" w:sz="8" w:space="0" w:color="auto"/>
            </w:tcBorders>
            <w:tcMar>
              <w:top w:w="0" w:type="dxa"/>
              <w:left w:w="108" w:type="dxa"/>
              <w:bottom w:w="0" w:type="dxa"/>
              <w:right w:w="108" w:type="dxa"/>
            </w:tcMar>
            <w:hideMark/>
          </w:tcPr>
          <w:p w:rsidR="00B60CDE" w:rsidRPr="004A16D3" w:rsidRDefault="00B60CDE" w:rsidP="009B7854">
            <w:pPr>
              <w:pStyle w:val="T4"/>
              <w:rPr>
                <w:rFonts w:cs="Arial"/>
              </w:rPr>
            </w:pPr>
            <w:r w:rsidRPr="004A16D3">
              <w:rPr>
                <w:rFonts w:cs="Arial"/>
              </w:rPr>
              <w:t>150-180 mL/kg/d divided into Q3 h feeds</w:t>
            </w:r>
          </w:p>
        </w:tc>
      </w:tr>
      <w:tr w:rsidR="00B60CDE" w:rsidRPr="004A16D3" w:rsidTr="009B7854">
        <w:trPr>
          <w:trHeight w:val="100"/>
        </w:trPr>
        <w:tc>
          <w:tcPr>
            <w:tcW w:w="0" w:type="auto"/>
            <w:vMerge/>
            <w:tcBorders>
              <w:top w:val="nil"/>
              <w:left w:val="single" w:sz="8" w:space="0" w:color="auto"/>
              <w:bottom w:val="single" w:sz="8" w:space="0" w:color="auto"/>
              <w:right w:val="single" w:sz="8" w:space="0" w:color="auto"/>
            </w:tcBorders>
            <w:vAlign w:val="center"/>
            <w:hideMark/>
          </w:tcPr>
          <w:p w:rsidR="00B60CDE" w:rsidRPr="004A16D3" w:rsidRDefault="00B60CDE" w:rsidP="009B7854">
            <w:pPr>
              <w:pStyle w:val="T4"/>
              <w:rPr>
                <w:rFonts w:ascii="Aptos" w:eastAsia="Aptos" w:hAnsi="Aptos" w:cs="Aptos"/>
              </w:rPr>
            </w:pPr>
          </w:p>
        </w:tc>
        <w:tc>
          <w:tcPr>
            <w:tcW w:w="1622" w:type="dxa"/>
            <w:tcBorders>
              <w:top w:val="nil"/>
              <w:left w:val="nil"/>
              <w:bottom w:val="single" w:sz="8" w:space="0" w:color="auto"/>
              <w:right w:val="single" w:sz="8" w:space="0" w:color="auto"/>
            </w:tcBorders>
            <w:tcMar>
              <w:top w:w="0" w:type="dxa"/>
              <w:left w:w="108" w:type="dxa"/>
              <w:bottom w:w="0" w:type="dxa"/>
              <w:right w:w="108" w:type="dxa"/>
            </w:tcMar>
            <w:hideMark/>
          </w:tcPr>
          <w:p w:rsidR="00B60CDE" w:rsidRPr="004A16D3" w:rsidRDefault="00B60CDE" w:rsidP="009B7854">
            <w:pPr>
              <w:pStyle w:val="T4"/>
              <w:rPr>
                <w:rFonts w:cs="Arial"/>
              </w:rPr>
            </w:pPr>
            <w:r w:rsidRPr="004A16D3">
              <w:rPr>
                <w:rFonts w:cs="Arial"/>
              </w:rPr>
              <w:t>&gt;750 g</w:t>
            </w:r>
            <w:r w:rsidRPr="004A16D3">
              <w:rPr>
                <w:rStyle w:val="citebib"/>
                <w:rFonts w:ascii="Times" w:eastAsia="Times New Roman" w:hAnsi="Times" w:cs="Times"/>
                <w:bCs/>
                <w:szCs w:val="24"/>
                <w:vertAlign w:val="superscript"/>
                <w:lang w:val="en-US"/>
              </w:rPr>
              <w:t>21</w:t>
            </w:r>
          </w:p>
        </w:tc>
        <w:tc>
          <w:tcPr>
            <w:tcW w:w="2074" w:type="dxa"/>
            <w:tcBorders>
              <w:top w:val="nil"/>
              <w:left w:val="nil"/>
              <w:bottom w:val="single" w:sz="8" w:space="0" w:color="auto"/>
              <w:right w:val="single" w:sz="8" w:space="0" w:color="auto"/>
            </w:tcBorders>
            <w:tcMar>
              <w:top w:w="0" w:type="dxa"/>
              <w:left w:w="108" w:type="dxa"/>
              <w:bottom w:w="0" w:type="dxa"/>
              <w:right w:w="108" w:type="dxa"/>
            </w:tcMar>
            <w:hideMark/>
          </w:tcPr>
          <w:p w:rsidR="00B60CDE" w:rsidRPr="004A16D3" w:rsidRDefault="00B60CDE" w:rsidP="009B7854">
            <w:pPr>
              <w:pStyle w:val="T4"/>
              <w:rPr>
                <w:rFonts w:cs="Arial"/>
              </w:rPr>
            </w:pPr>
            <w:r w:rsidRPr="004A16D3">
              <w:rPr>
                <w:rFonts w:cs="Arial"/>
              </w:rPr>
              <w:t xml:space="preserve">20-30 mL/kg/d </w:t>
            </w:r>
            <w:r w:rsidRPr="004A16D3">
              <w:rPr>
                <w:rFonts w:cs="Arial"/>
              </w:rPr>
              <w:lastRenderedPageBreak/>
              <w:t>divided into Q3 h feeds</w:t>
            </w:r>
          </w:p>
        </w:tc>
        <w:tc>
          <w:tcPr>
            <w:tcW w:w="2097" w:type="dxa"/>
            <w:tcBorders>
              <w:top w:val="nil"/>
              <w:left w:val="nil"/>
              <w:bottom w:val="single" w:sz="8" w:space="0" w:color="auto"/>
              <w:right w:val="single" w:sz="8" w:space="0" w:color="auto"/>
            </w:tcBorders>
            <w:tcMar>
              <w:top w:w="0" w:type="dxa"/>
              <w:left w:w="108" w:type="dxa"/>
              <w:bottom w:w="0" w:type="dxa"/>
              <w:right w:w="108" w:type="dxa"/>
            </w:tcMar>
            <w:hideMark/>
          </w:tcPr>
          <w:p w:rsidR="00B60CDE" w:rsidRPr="004A16D3" w:rsidRDefault="00B60CDE" w:rsidP="009B7854">
            <w:pPr>
              <w:pStyle w:val="T4"/>
              <w:rPr>
                <w:rFonts w:cs="Arial"/>
              </w:rPr>
            </w:pPr>
            <w:r w:rsidRPr="004A16D3">
              <w:rPr>
                <w:rFonts w:cs="Arial"/>
              </w:rPr>
              <w:lastRenderedPageBreak/>
              <w:t xml:space="preserve">30 mL/kg/d divided </w:t>
            </w:r>
            <w:r w:rsidRPr="004A16D3">
              <w:rPr>
                <w:rFonts w:cs="Arial"/>
              </w:rPr>
              <w:lastRenderedPageBreak/>
              <w:t>into Q3 h feeds</w:t>
            </w:r>
          </w:p>
        </w:tc>
        <w:tc>
          <w:tcPr>
            <w:tcW w:w="2330" w:type="dxa"/>
            <w:tcBorders>
              <w:top w:val="nil"/>
              <w:left w:val="nil"/>
              <w:bottom w:val="single" w:sz="8" w:space="0" w:color="auto"/>
              <w:right w:val="single" w:sz="8" w:space="0" w:color="auto"/>
            </w:tcBorders>
            <w:tcMar>
              <w:top w:w="0" w:type="dxa"/>
              <w:left w:w="108" w:type="dxa"/>
              <w:bottom w:w="0" w:type="dxa"/>
              <w:right w:w="108" w:type="dxa"/>
            </w:tcMar>
            <w:hideMark/>
          </w:tcPr>
          <w:p w:rsidR="00B60CDE" w:rsidRPr="004A16D3" w:rsidRDefault="00B60CDE" w:rsidP="009B7854">
            <w:pPr>
              <w:pStyle w:val="T4"/>
              <w:rPr>
                <w:rFonts w:cs="Arial"/>
              </w:rPr>
            </w:pPr>
            <w:r w:rsidRPr="004A16D3">
              <w:rPr>
                <w:rFonts w:cs="Arial"/>
              </w:rPr>
              <w:lastRenderedPageBreak/>
              <w:t xml:space="preserve">150-180 mL/kg/d </w:t>
            </w:r>
            <w:r w:rsidRPr="004A16D3">
              <w:rPr>
                <w:rFonts w:cs="Arial"/>
              </w:rPr>
              <w:lastRenderedPageBreak/>
              <w:t>divided into Q3 h feeds</w:t>
            </w:r>
          </w:p>
        </w:tc>
      </w:tr>
      <w:tr w:rsidR="00B60CDE" w:rsidRPr="004A16D3" w:rsidTr="009B7854">
        <w:tc>
          <w:tcPr>
            <w:tcW w:w="8620" w:type="dxa"/>
            <w:gridSpan w:val="5"/>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B60CDE" w:rsidRPr="004A16D3" w:rsidRDefault="00B60CDE" w:rsidP="009B7854">
            <w:pPr>
              <w:pStyle w:val="T4"/>
              <w:spacing w:before="0" w:beforeAutospacing="0" w:after="0" w:afterAutospacing="0" w:line="480" w:lineRule="auto"/>
              <w:rPr>
                <w:rFonts w:cs="Arial"/>
              </w:rPr>
            </w:pPr>
          </w:p>
        </w:tc>
      </w:tr>
    </w:tbl>
    <w:p w:rsidR="00B60CDE" w:rsidRDefault="00B60CDE"/>
    <w:p w:rsidR="00B60CDE" w:rsidRDefault="00B60CDE"/>
    <w:p w:rsidR="00B60CDE" w:rsidRDefault="00B60CD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56"/>
      </w:tblGrid>
      <w:tr w:rsidR="004A16D3" w:rsidRPr="004A16D3" w:rsidTr="00773993">
        <w:trPr>
          <w:trHeight w:val="2058"/>
        </w:trPr>
        <w:tc>
          <w:tcPr>
            <w:tcW w:w="8856" w:type="dxa"/>
            <w:shd w:val="clear" w:color="auto" w:fill="auto"/>
          </w:tcPr>
          <w:p w:rsidR="004A16D3" w:rsidRPr="00773993" w:rsidRDefault="004A16D3" w:rsidP="00773993">
            <w:pPr>
              <w:pStyle w:val="T0"/>
              <w:widowControl w:val="0"/>
              <w:autoSpaceDE w:val="0"/>
              <w:autoSpaceDN w:val="0"/>
              <w:adjustRightInd w:val="0"/>
              <w:spacing w:line="480" w:lineRule="auto"/>
              <w:rPr>
                <w:rFonts w:ascii="Times" w:hAnsi="Times" w:cs="Times"/>
                <w:bCs/>
              </w:rPr>
            </w:pPr>
            <w:r w:rsidRPr="00773993">
              <w:rPr>
                <w:rFonts w:ascii="Times" w:hAnsi="Times" w:cs="Times"/>
              </w:rPr>
              <w:t>Warning signs of feeding intolerance</w:t>
            </w:r>
          </w:p>
          <w:p w:rsidR="004A16D3" w:rsidRPr="00773993" w:rsidRDefault="004A16D3" w:rsidP="00773993">
            <w:pPr>
              <w:pStyle w:val="TBL-MID"/>
              <w:widowControl w:val="0"/>
              <w:autoSpaceDE w:val="0"/>
              <w:autoSpaceDN w:val="0"/>
              <w:adjustRightInd w:val="0"/>
              <w:spacing w:line="480" w:lineRule="auto"/>
              <w:rPr>
                <w:rFonts w:ascii="Times" w:hAnsi="Times" w:cs="Times"/>
                <w:bCs/>
              </w:rPr>
            </w:pPr>
            <w:r w:rsidRPr="00773993">
              <w:rPr>
                <w:rStyle w:val="BulletManualBodyList"/>
                <w:rFonts w:ascii="Times" w:hAnsi="Times" w:cs="Times"/>
              </w:rPr>
              <w:t>•</w:t>
            </w:r>
            <w:r w:rsidRPr="00773993">
              <w:rPr>
                <w:rFonts w:ascii="Times" w:hAnsi="Times" w:cs="Times"/>
              </w:rPr>
              <w:tab/>
              <w:t>Increase in abdominal distention/girth</w:t>
            </w:r>
          </w:p>
          <w:p w:rsidR="004A16D3" w:rsidRPr="00773993" w:rsidRDefault="004A16D3" w:rsidP="00773993">
            <w:pPr>
              <w:pStyle w:val="TBL-MID"/>
              <w:widowControl w:val="0"/>
              <w:autoSpaceDE w:val="0"/>
              <w:autoSpaceDN w:val="0"/>
              <w:adjustRightInd w:val="0"/>
              <w:spacing w:line="480" w:lineRule="auto"/>
              <w:rPr>
                <w:rFonts w:ascii="Times" w:hAnsi="Times" w:cs="Times"/>
                <w:bCs/>
              </w:rPr>
            </w:pPr>
            <w:r w:rsidRPr="00773993">
              <w:rPr>
                <w:rStyle w:val="BulletManualBodyList"/>
                <w:rFonts w:ascii="Times" w:hAnsi="Times" w:cs="Times"/>
              </w:rPr>
              <w:t>•</w:t>
            </w:r>
            <w:r w:rsidRPr="00773993">
              <w:rPr>
                <w:rFonts w:ascii="Times" w:hAnsi="Times" w:cs="Times"/>
              </w:rPr>
              <w:tab/>
              <w:t>Vomiting</w:t>
            </w:r>
          </w:p>
          <w:p w:rsidR="004A16D3" w:rsidRPr="00773993" w:rsidRDefault="004A16D3" w:rsidP="00773993">
            <w:pPr>
              <w:pStyle w:val="TBL-MID"/>
              <w:widowControl w:val="0"/>
              <w:autoSpaceDE w:val="0"/>
              <w:autoSpaceDN w:val="0"/>
              <w:adjustRightInd w:val="0"/>
              <w:spacing w:line="480" w:lineRule="auto"/>
              <w:rPr>
                <w:rFonts w:ascii="Times" w:hAnsi="Times" w:cs="Times"/>
                <w:bCs/>
              </w:rPr>
            </w:pPr>
            <w:r w:rsidRPr="00773993">
              <w:rPr>
                <w:rStyle w:val="BulletManualBodyList"/>
                <w:rFonts w:ascii="Times" w:hAnsi="Times" w:cs="Times"/>
              </w:rPr>
              <w:t>•</w:t>
            </w:r>
            <w:r w:rsidRPr="00773993">
              <w:rPr>
                <w:rFonts w:ascii="Times" w:hAnsi="Times" w:cs="Times"/>
              </w:rPr>
              <w:tab/>
              <w:t>Bilious emesis</w:t>
            </w:r>
          </w:p>
          <w:p w:rsidR="004A16D3" w:rsidRPr="00773993" w:rsidRDefault="004A16D3" w:rsidP="00773993">
            <w:pPr>
              <w:pStyle w:val="TBL-MID"/>
              <w:widowControl w:val="0"/>
              <w:autoSpaceDE w:val="0"/>
              <w:autoSpaceDN w:val="0"/>
              <w:adjustRightInd w:val="0"/>
              <w:spacing w:line="480" w:lineRule="auto"/>
              <w:rPr>
                <w:rFonts w:ascii="Times" w:hAnsi="Times" w:cs="Times"/>
                <w:bCs/>
              </w:rPr>
            </w:pPr>
            <w:r w:rsidRPr="00773993">
              <w:rPr>
                <w:rStyle w:val="BulletManualBodyList"/>
                <w:rFonts w:ascii="Times" w:hAnsi="Times" w:cs="Times"/>
              </w:rPr>
              <w:t>•</w:t>
            </w:r>
            <w:r w:rsidRPr="00773993">
              <w:rPr>
                <w:rFonts w:ascii="Times" w:hAnsi="Times" w:cs="Times"/>
              </w:rPr>
              <w:tab/>
              <w:t>Heme positive/frank blood in stools</w:t>
            </w:r>
          </w:p>
          <w:p w:rsidR="004A16D3" w:rsidRPr="00773993" w:rsidRDefault="004A16D3" w:rsidP="00773993">
            <w:pPr>
              <w:pStyle w:val="TBL-MID"/>
              <w:widowControl w:val="0"/>
              <w:autoSpaceDE w:val="0"/>
              <w:autoSpaceDN w:val="0"/>
              <w:adjustRightInd w:val="0"/>
              <w:spacing w:line="480" w:lineRule="auto"/>
              <w:rPr>
                <w:rFonts w:ascii="Times" w:hAnsi="Times" w:cs="Times"/>
                <w:bCs/>
              </w:rPr>
            </w:pPr>
            <w:r w:rsidRPr="00773993">
              <w:rPr>
                <w:rStyle w:val="BulletManualBodyList"/>
                <w:rFonts w:ascii="Times" w:hAnsi="Times" w:cs="Times"/>
              </w:rPr>
              <w:t>•</w:t>
            </w:r>
            <w:r w:rsidRPr="00773993">
              <w:rPr>
                <w:rFonts w:ascii="Times" w:hAnsi="Times" w:cs="Times"/>
              </w:rPr>
              <w:tab/>
              <w:t>Reducing substances &gt;0.5%</w:t>
            </w:r>
          </w:p>
          <w:p w:rsidR="004A16D3" w:rsidRPr="00773993" w:rsidRDefault="004A16D3" w:rsidP="00773993">
            <w:pPr>
              <w:pStyle w:val="TBL-MID"/>
              <w:widowControl w:val="0"/>
              <w:autoSpaceDE w:val="0"/>
              <w:autoSpaceDN w:val="0"/>
              <w:adjustRightInd w:val="0"/>
              <w:spacing w:line="480" w:lineRule="auto"/>
              <w:rPr>
                <w:rFonts w:ascii="Times" w:hAnsi="Times" w:cs="Times"/>
              </w:rPr>
            </w:pPr>
            <w:r w:rsidRPr="00773993">
              <w:rPr>
                <w:rStyle w:val="BulletManualBodyList"/>
                <w:rFonts w:ascii="Times" w:hAnsi="Times" w:cs="Times"/>
              </w:rPr>
              <w:t>•</w:t>
            </w:r>
            <w:r w:rsidRPr="00773993">
              <w:rPr>
                <w:rFonts w:ascii="Times" w:hAnsi="Times" w:cs="Times"/>
              </w:rPr>
              <w:tab/>
              <w:t>Increase in apnea/bradycardia with feeds</w:t>
            </w:r>
          </w:p>
        </w:tc>
      </w:tr>
      <w:tr w:rsidR="004A16D3" w:rsidRPr="004A16D3" w:rsidTr="00773993">
        <w:trPr>
          <w:trHeight w:val="870"/>
        </w:trPr>
        <w:tc>
          <w:tcPr>
            <w:tcW w:w="8856" w:type="dxa"/>
            <w:shd w:val="clear" w:color="auto" w:fill="auto"/>
          </w:tcPr>
          <w:p w:rsidR="004A16D3" w:rsidRPr="00773993" w:rsidRDefault="004A16D3" w:rsidP="00773993">
            <w:pPr>
              <w:pStyle w:val="T0"/>
              <w:widowControl w:val="0"/>
              <w:autoSpaceDE w:val="0"/>
              <w:autoSpaceDN w:val="0"/>
              <w:adjustRightInd w:val="0"/>
              <w:spacing w:line="480" w:lineRule="auto"/>
              <w:rPr>
                <w:rFonts w:ascii="Times" w:hAnsi="Times" w:cs="Times"/>
                <w:bCs/>
              </w:rPr>
            </w:pPr>
            <w:r w:rsidRPr="00773993">
              <w:rPr>
                <w:rFonts w:ascii="Times" w:hAnsi="Times" w:cs="Times"/>
              </w:rPr>
              <w:t>Energy goal</w:t>
            </w:r>
          </w:p>
          <w:p w:rsidR="004A16D3" w:rsidRPr="00773993" w:rsidRDefault="004A16D3" w:rsidP="00773993">
            <w:pPr>
              <w:pStyle w:val="TBL-MID"/>
              <w:widowControl w:val="0"/>
              <w:autoSpaceDE w:val="0"/>
              <w:autoSpaceDN w:val="0"/>
              <w:adjustRightInd w:val="0"/>
              <w:spacing w:line="480" w:lineRule="auto"/>
              <w:rPr>
                <w:rFonts w:ascii="Times" w:hAnsi="Times" w:cs="Times"/>
                <w:bCs/>
              </w:rPr>
            </w:pPr>
            <w:r w:rsidRPr="00773993">
              <w:rPr>
                <w:rStyle w:val="BulletManualBodyList"/>
                <w:rFonts w:ascii="Times" w:hAnsi="Times" w:cs="Times"/>
              </w:rPr>
              <w:t>•</w:t>
            </w:r>
            <w:r w:rsidRPr="00773993">
              <w:rPr>
                <w:rFonts w:ascii="Times" w:hAnsi="Times" w:cs="Times"/>
              </w:rPr>
              <w:tab/>
              <w:t>110</w:t>
            </w:r>
            <w:r w:rsidRPr="004A16D3">
              <w:rPr>
                <w:rStyle w:val="BulletManualBodyList"/>
              </w:rPr>
              <w:t>-</w:t>
            </w:r>
            <w:r w:rsidRPr="00773993">
              <w:rPr>
                <w:rFonts w:ascii="Times" w:hAnsi="Times" w:cs="Times"/>
              </w:rPr>
              <w:t>130 kcal/kg/d</w:t>
            </w:r>
          </w:p>
          <w:p w:rsidR="004A16D3" w:rsidRPr="00773993" w:rsidRDefault="004A16D3" w:rsidP="00773993">
            <w:pPr>
              <w:pStyle w:val="TBL-MID"/>
              <w:widowControl w:val="0"/>
              <w:autoSpaceDE w:val="0"/>
              <w:autoSpaceDN w:val="0"/>
              <w:adjustRightInd w:val="0"/>
              <w:spacing w:line="480" w:lineRule="auto"/>
              <w:rPr>
                <w:rFonts w:ascii="Times" w:hAnsi="Times" w:cs="Times"/>
              </w:rPr>
            </w:pPr>
            <w:r w:rsidRPr="00773993">
              <w:rPr>
                <w:rStyle w:val="BulletManualBodyList"/>
                <w:rFonts w:ascii="Times" w:hAnsi="Times" w:cs="Times"/>
              </w:rPr>
              <w:t>•</w:t>
            </w:r>
            <w:r w:rsidRPr="00773993">
              <w:rPr>
                <w:rFonts w:ascii="Times" w:hAnsi="Times" w:cs="Times"/>
              </w:rPr>
              <w:tab/>
              <w:t>Some infants may have increased needs up to 150 kcal/kg/d (BPD, SGA)</w:t>
            </w:r>
          </w:p>
        </w:tc>
      </w:tr>
      <w:tr w:rsidR="004A16D3" w:rsidRPr="004A16D3" w:rsidTr="00773993">
        <w:trPr>
          <w:trHeight w:val="570"/>
        </w:trPr>
        <w:tc>
          <w:tcPr>
            <w:tcW w:w="8856" w:type="dxa"/>
            <w:shd w:val="clear" w:color="auto" w:fill="auto"/>
          </w:tcPr>
          <w:p w:rsidR="004A16D3" w:rsidRPr="00773993" w:rsidRDefault="004A16D3" w:rsidP="00773993">
            <w:pPr>
              <w:pStyle w:val="T0"/>
              <w:widowControl w:val="0"/>
              <w:autoSpaceDE w:val="0"/>
              <w:autoSpaceDN w:val="0"/>
              <w:adjustRightInd w:val="0"/>
              <w:spacing w:line="480" w:lineRule="auto"/>
              <w:rPr>
                <w:rFonts w:ascii="Times" w:hAnsi="Times" w:cs="Times"/>
                <w:bCs/>
              </w:rPr>
            </w:pPr>
            <w:r w:rsidRPr="00773993">
              <w:rPr>
                <w:rFonts w:ascii="Times" w:hAnsi="Times" w:cs="Times"/>
              </w:rPr>
              <w:t>Protein goal</w:t>
            </w:r>
          </w:p>
          <w:p w:rsidR="004A16D3" w:rsidRPr="00773993" w:rsidRDefault="004A16D3" w:rsidP="00773993">
            <w:pPr>
              <w:pStyle w:val="TBL-MID"/>
              <w:widowControl w:val="0"/>
              <w:autoSpaceDE w:val="0"/>
              <w:autoSpaceDN w:val="0"/>
              <w:adjustRightInd w:val="0"/>
              <w:spacing w:line="480" w:lineRule="auto"/>
              <w:rPr>
                <w:rFonts w:ascii="Times" w:hAnsi="Times" w:cs="Times"/>
              </w:rPr>
            </w:pPr>
            <w:r w:rsidRPr="00773993">
              <w:rPr>
                <w:rFonts w:ascii="Times" w:hAnsi="Times" w:cs="Times"/>
              </w:rPr>
              <w:t>•</w:t>
            </w:r>
            <w:r w:rsidRPr="00773993">
              <w:rPr>
                <w:rFonts w:ascii="Times" w:hAnsi="Times" w:cs="Times"/>
              </w:rPr>
              <w:tab/>
              <w:t>3.0-4.2 g protein/kg/d</w:t>
            </w:r>
          </w:p>
        </w:tc>
      </w:tr>
      <w:tr w:rsidR="004A16D3" w:rsidRPr="004A16D3" w:rsidTr="00773993">
        <w:trPr>
          <w:trHeight w:val="1170"/>
        </w:trPr>
        <w:tc>
          <w:tcPr>
            <w:tcW w:w="8856" w:type="dxa"/>
            <w:shd w:val="clear" w:color="auto" w:fill="auto"/>
          </w:tcPr>
          <w:p w:rsidR="004A16D3" w:rsidRPr="00773993" w:rsidRDefault="004A16D3" w:rsidP="00773993">
            <w:pPr>
              <w:pStyle w:val="T0"/>
              <w:widowControl w:val="0"/>
              <w:autoSpaceDE w:val="0"/>
              <w:autoSpaceDN w:val="0"/>
              <w:adjustRightInd w:val="0"/>
              <w:spacing w:line="480" w:lineRule="auto"/>
              <w:rPr>
                <w:rFonts w:ascii="Times" w:hAnsi="Times" w:cs="Times"/>
                <w:bCs/>
              </w:rPr>
            </w:pPr>
            <w:r w:rsidRPr="00773993">
              <w:rPr>
                <w:rFonts w:ascii="Times" w:hAnsi="Times" w:cs="Times"/>
              </w:rPr>
              <w:t>Energy distribution</w:t>
            </w:r>
          </w:p>
          <w:p w:rsidR="004A16D3" w:rsidRPr="00773993" w:rsidRDefault="004A16D3" w:rsidP="00773993">
            <w:pPr>
              <w:pStyle w:val="TBL-MID"/>
              <w:widowControl w:val="0"/>
              <w:autoSpaceDE w:val="0"/>
              <w:autoSpaceDN w:val="0"/>
              <w:adjustRightInd w:val="0"/>
              <w:spacing w:line="480" w:lineRule="auto"/>
              <w:rPr>
                <w:rFonts w:ascii="Times" w:hAnsi="Times" w:cs="Times"/>
                <w:bCs/>
              </w:rPr>
            </w:pPr>
            <w:r w:rsidRPr="00773993">
              <w:rPr>
                <w:rStyle w:val="BulletManualBodyList"/>
                <w:rFonts w:ascii="Times" w:hAnsi="Times" w:cs="Times"/>
              </w:rPr>
              <w:t>•</w:t>
            </w:r>
            <w:r w:rsidRPr="00773993">
              <w:rPr>
                <w:rFonts w:ascii="Times" w:hAnsi="Times" w:cs="Times"/>
              </w:rPr>
              <w:tab/>
              <w:t>Protein:</w:t>
            </w:r>
            <w:r w:rsidRPr="00773993">
              <w:rPr>
                <w:rFonts w:ascii="Times" w:hAnsi="Times" w:cs="Times"/>
              </w:rPr>
              <w:tab/>
              <w:t>8%</w:t>
            </w:r>
            <w:r w:rsidRPr="004A16D3">
              <w:rPr>
                <w:rStyle w:val="BulletManualBodyList"/>
              </w:rPr>
              <w:t>-</w:t>
            </w:r>
            <w:r w:rsidRPr="00773993">
              <w:rPr>
                <w:rFonts w:ascii="Times" w:hAnsi="Times" w:cs="Times"/>
              </w:rPr>
              <w:t>12% calories</w:t>
            </w:r>
          </w:p>
          <w:p w:rsidR="004A16D3" w:rsidRPr="00773993" w:rsidRDefault="004A16D3" w:rsidP="00773993">
            <w:pPr>
              <w:pStyle w:val="TBL-MID"/>
              <w:widowControl w:val="0"/>
              <w:autoSpaceDE w:val="0"/>
              <w:autoSpaceDN w:val="0"/>
              <w:adjustRightInd w:val="0"/>
              <w:spacing w:line="480" w:lineRule="auto"/>
              <w:rPr>
                <w:rFonts w:ascii="Times" w:hAnsi="Times" w:cs="Times"/>
                <w:bCs/>
              </w:rPr>
            </w:pPr>
            <w:r w:rsidRPr="00773993">
              <w:rPr>
                <w:rStyle w:val="BulletManualBodyList"/>
                <w:rFonts w:ascii="Times" w:hAnsi="Times" w:cs="Times"/>
              </w:rPr>
              <w:t>•</w:t>
            </w:r>
            <w:r w:rsidRPr="00773993">
              <w:rPr>
                <w:rFonts w:ascii="Times" w:hAnsi="Times" w:cs="Times"/>
              </w:rPr>
              <w:tab/>
              <w:t>Carbohydrate:</w:t>
            </w:r>
            <w:r w:rsidRPr="00773993">
              <w:rPr>
                <w:rFonts w:ascii="Times" w:hAnsi="Times" w:cs="Times"/>
              </w:rPr>
              <w:tab/>
              <w:t>40%</w:t>
            </w:r>
            <w:r w:rsidRPr="004A16D3">
              <w:rPr>
                <w:rStyle w:val="BulletManualBodyList"/>
              </w:rPr>
              <w:t>-</w:t>
            </w:r>
            <w:r w:rsidRPr="00773993">
              <w:rPr>
                <w:rFonts w:ascii="Times" w:hAnsi="Times" w:cs="Times"/>
              </w:rPr>
              <w:t>55% calories</w:t>
            </w:r>
          </w:p>
          <w:p w:rsidR="004A16D3" w:rsidRPr="00773993" w:rsidRDefault="004A16D3" w:rsidP="00773993">
            <w:pPr>
              <w:pStyle w:val="TBL-MID"/>
              <w:widowControl w:val="0"/>
              <w:autoSpaceDE w:val="0"/>
              <w:autoSpaceDN w:val="0"/>
              <w:adjustRightInd w:val="0"/>
              <w:spacing w:line="480" w:lineRule="auto"/>
              <w:rPr>
                <w:rFonts w:ascii="Times" w:hAnsi="Times" w:cs="Times"/>
              </w:rPr>
            </w:pPr>
            <w:r w:rsidRPr="00773993">
              <w:rPr>
                <w:rStyle w:val="BulletManualBodyList"/>
                <w:rFonts w:ascii="Times" w:hAnsi="Times" w:cs="Times"/>
              </w:rPr>
              <w:t>•</w:t>
            </w:r>
            <w:r w:rsidRPr="00773993">
              <w:rPr>
                <w:rFonts w:ascii="Times" w:hAnsi="Times" w:cs="Times"/>
              </w:rPr>
              <w:tab/>
              <w:t>Fat:</w:t>
            </w:r>
            <w:r w:rsidRPr="00773993">
              <w:rPr>
                <w:rFonts w:ascii="Times" w:hAnsi="Times" w:cs="Times"/>
              </w:rPr>
              <w:tab/>
              <w:t>35%</w:t>
            </w:r>
            <w:r w:rsidRPr="004A16D3">
              <w:rPr>
                <w:rStyle w:val="BulletManualBodyList"/>
              </w:rPr>
              <w:t>-</w:t>
            </w:r>
            <w:r w:rsidRPr="00773993">
              <w:rPr>
                <w:rFonts w:ascii="Times" w:hAnsi="Times" w:cs="Times"/>
              </w:rPr>
              <w:t>50% calories</w:t>
            </w:r>
          </w:p>
        </w:tc>
      </w:tr>
      <w:tr w:rsidR="004A16D3" w:rsidRPr="004A16D3" w:rsidTr="00773993">
        <w:trPr>
          <w:trHeight w:val="570"/>
        </w:trPr>
        <w:tc>
          <w:tcPr>
            <w:tcW w:w="8856" w:type="dxa"/>
            <w:shd w:val="clear" w:color="auto" w:fill="auto"/>
          </w:tcPr>
          <w:p w:rsidR="004A16D3" w:rsidRPr="00773993" w:rsidRDefault="004A16D3" w:rsidP="00773993">
            <w:pPr>
              <w:pStyle w:val="T0"/>
              <w:widowControl w:val="0"/>
              <w:autoSpaceDE w:val="0"/>
              <w:autoSpaceDN w:val="0"/>
              <w:adjustRightInd w:val="0"/>
              <w:spacing w:line="480" w:lineRule="auto"/>
              <w:rPr>
                <w:rFonts w:ascii="Times" w:hAnsi="Times" w:cs="Times"/>
                <w:bCs/>
              </w:rPr>
            </w:pPr>
            <w:r w:rsidRPr="00773993">
              <w:rPr>
                <w:rFonts w:ascii="Times" w:hAnsi="Times" w:cs="Times"/>
              </w:rPr>
              <w:t>Calcium</w:t>
            </w:r>
          </w:p>
          <w:p w:rsidR="004A16D3" w:rsidRPr="00773993" w:rsidRDefault="004A16D3" w:rsidP="00773993">
            <w:pPr>
              <w:pStyle w:val="TBL-MID"/>
              <w:widowControl w:val="0"/>
              <w:autoSpaceDE w:val="0"/>
              <w:autoSpaceDN w:val="0"/>
              <w:adjustRightInd w:val="0"/>
              <w:spacing w:line="480" w:lineRule="auto"/>
              <w:rPr>
                <w:rFonts w:ascii="Times" w:hAnsi="Times" w:cs="Times"/>
              </w:rPr>
            </w:pPr>
            <w:r w:rsidRPr="00773993">
              <w:rPr>
                <w:rFonts w:ascii="Times" w:hAnsi="Times" w:cs="Times"/>
              </w:rPr>
              <w:t>•</w:t>
            </w:r>
            <w:r w:rsidRPr="00773993">
              <w:rPr>
                <w:rFonts w:ascii="Times" w:hAnsi="Times" w:cs="Times"/>
              </w:rPr>
              <w:tab/>
              <w:t>120-230 mg/kg/d</w:t>
            </w:r>
          </w:p>
        </w:tc>
      </w:tr>
      <w:tr w:rsidR="004A16D3" w:rsidRPr="004A16D3" w:rsidTr="00773993">
        <w:trPr>
          <w:trHeight w:val="570"/>
        </w:trPr>
        <w:tc>
          <w:tcPr>
            <w:tcW w:w="8856" w:type="dxa"/>
            <w:shd w:val="clear" w:color="auto" w:fill="auto"/>
          </w:tcPr>
          <w:p w:rsidR="004A16D3" w:rsidRPr="00773993" w:rsidRDefault="004A16D3" w:rsidP="00773993">
            <w:pPr>
              <w:pStyle w:val="T0"/>
              <w:widowControl w:val="0"/>
              <w:autoSpaceDE w:val="0"/>
              <w:autoSpaceDN w:val="0"/>
              <w:adjustRightInd w:val="0"/>
              <w:spacing w:line="480" w:lineRule="auto"/>
              <w:rPr>
                <w:rFonts w:ascii="Times" w:hAnsi="Times" w:cs="Times"/>
                <w:bCs/>
              </w:rPr>
            </w:pPr>
            <w:r w:rsidRPr="00773993">
              <w:rPr>
                <w:rFonts w:ascii="Times" w:hAnsi="Times" w:cs="Times"/>
              </w:rPr>
              <w:t>Phosphorus</w:t>
            </w:r>
          </w:p>
          <w:p w:rsidR="004A16D3" w:rsidRPr="00773993" w:rsidRDefault="004A16D3" w:rsidP="00773993">
            <w:pPr>
              <w:pStyle w:val="TBL-MID"/>
              <w:widowControl w:val="0"/>
              <w:autoSpaceDE w:val="0"/>
              <w:autoSpaceDN w:val="0"/>
              <w:adjustRightInd w:val="0"/>
              <w:spacing w:line="480" w:lineRule="auto"/>
              <w:rPr>
                <w:rFonts w:ascii="Times" w:hAnsi="Times" w:cs="Times"/>
              </w:rPr>
            </w:pPr>
            <w:r w:rsidRPr="00773993">
              <w:rPr>
                <w:rFonts w:ascii="Times" w:hAnsi="Times" w:cs="Times"/>
              </w:rPr>
              <w:lastRenderedPageBreak/>
              <w:t>•</w:t>
            </w:r>
            <w:r w:rsidRPr="00773993">
              <w:rPr>
                <w:rFonts w:ascii="Times" w:hAnsi="Times" w:cs="Times"/>
              </w:rPr>
              <w:tab/>
              <w:t>60-140 mg/kg/d</w:t>
            </w:r>
          </w:p>
        </w:tc>
      </w:tr>
      <w:tr w:rsidR="004A16D3" w:rsidRPr="004A16D3" w:rsidTr="00773993">
        <w:trPr>
          <w:trHeight w:val="420"/>
        </w:trPr>
        <w:tc>
          <w:tcPr>
            <w:tcW w:w="8856" w:type="dxa"/>
            <w:shd w:val="clear" w:color="auto" w:fill="auto"/>
          </w:tcPr>
          <w:p w:rsidR="004A16D3" w:rsidRPr="00773993" w:rsidRDefault="004A16D3" w:rsidP="00773993">
            <w:pPr>
              <w:pStyle w:val="T0"/>
              <w:widowControl w:val="0"/>
              <w:autoSpaceDE w:val="0"/>
              <w:autoSpaceDN w:val="0"/>
              <w:adjustRightInd w:val="0"/>
              <w:spacing w:line="480" w:lineRule="auto"/>
              <w:rPr>
                <w:rFonts w:ascii="Times" w:hAnsi="Times" w:cs="Times"/>
              </w:rPr>
            </w:pPr>
            <w:r w:rsidRPr="00773993">
              <w:rPr>
                <w:rFonts w:ascii="Times" w:hAnsi="Times" w:cs="Times"/>
              </w:rPr>
              <w:lastRenderedPageBreak/>
              <w:t>Multivitamin</w:t>
            </w:r>
          </w:p>
          <w:p w:rsidR="004A16D3" w:rsidRPr="00773993" w:rsidRDefault="004A16D3" w:rsidP="00773993">
            <w:pPr>
              <w:pStyle w:val="TBL-MID"/>
              <w:widowControl w:val="0"/>
              <w:autoSpaceDE w:val="0"/>
              <w:autoSpaceDN w:val="0"/>
              <w:adjustRightInd w:val="0"/>
              <w:spacing w:line="480" w:lineRule="auto"/>
              <w:rPr>
                <w:rFonts w:ascii="Times" w:hAnsi="Times" w:cs="Times"/>
                <w:bCs/>
                <w:color w:val="0000FF"/>
              </w:rPr>
            </w:pPr>
            <w:r w:rsidRPr="00773993">
              <w:rPr>
                <w:rFonts w:ascii="Times" w:hAnsi="Times" w:cs="Times"/>
              </w:rPr>
              <w:t>•</w:t>
            </w:r>
            <w:r w:rsidRPr="00773993">
              <w:rPr>
                <w:rFonts w:ascii="Times" w:hAnsi="Times" w:cs="Times"/>
              </w:rPr>
              <w:tab/>
              <w:t>Infants receiving unfortified human milk or consuming &lt;32 ounces/d of infant formula should receive 400 IU (10 µg) daily of Vitamin D.</w:t>
            </w:r>
          </w:p>
          <w:p w:rsidR="004A16D3" w:rsidRPr="00773993" w:rsidRDefault="004A16D3" w:rsidP="00773993">
            <w:pPr>
              <w:pStyle w:val="TBL-MID"/>
              <w:widowControl w:val="0"/>
              <w:autoSpaceDE w:val="0"/>
              <w:autoSpaceDN w:val="0"/>
              <w:adjustRightInd w:val="0"/>
              <w:spacing w:line="480" w:lineRule="auto"/>
              <w:rPr>
                <w:rFonts w:ascii="Times" w:hAnsi="Times" w:cs="Times"/>
              </w:rPr>
            </w:pPr>
            <w:r w:rsidRPr="00773993">
              <w:rPr>
                <w:rFonts w:ascii="Times" w:hAnsi="Times" w:cs="Times"/>
              </w:rPr>
              <w:t>•</w:t>
            </w:r>
            <w:r w:rsidRPr="00773993">
              <w:rPr>
                <w:rFonts w:ascii="Times" w:hAnsi="Times" w:cs="Times"/>
              </w:rPr>
              <w:tab/>
              <w:t>Infants receiving human milk with added HMF may not require multivitamin supplementation (depends on feeding volume)</w:t>
            </w:r>
          </w:p>
          <w:p w:rsidR="004A16D3" w:rsidRPr="00773993" w:rsidRDefault="004A16D3" w:rsidP="00773993">
            <w:pPr>
              <w:pStyle w:val="TBL-MID"/>
              <w:widowControl w:val="0"/>
              <w:autoSpaceDE w:val="0"/>
              <w:autoSpaceDN w:val="0"/>
              <w:adjustRightInd w:val="0"/>
              <w:spacing w:line="480" w:lineRule="auto"/>
              <w:rPr>
                <w:rFonts w:ascii="Times" w:hAnsi="Times" w:cs="Times"/>
              </w:rPr>
            </w:pPr>
            <w:r w:rsidRPr="00773993">
              <w:rPr>
                <w:rFonts w:ascii="Times" w:hAnsi="Times" w:cs="Times"/>
              </w:rPr>
              <w:t>•</w:t>
            </w:r>
            <w:r w:rsidRPr="00773993">
              <w:rPr>
                <w:rFonts w:ascii="Times" w:hAnsi="Times" w:cs="Times"/>
              </w:rPr>
              <w:tab/>
              <w:t>Infants receiving only human milk or human milk with added PDF do require vitamin D supplementation</w:t>
            </w:r>
          </w:p>
        </w:tc>
      </w:tr>
      <w:tr w:rsidR="004A16D3" w:rsidRPr="004A16D3" w:rsidTr="00773993">
        <w:trPr>
          <w:trHeight w:val="1755"/>
        </w:trPr>
        <w:tc>
          <w:tcPr>
            <w:tcW w:w="8856" w:type="dxa"/>
            <w:shd w:val="clear" w:color="auto" w:fill="auto"/>
          </w:tcPr>
          <w:p w:rsidR="004A16D3" w:rsidRPr="00773993" w:rsidRDefault="004A16D3" w:rsidP="00773993">
            <w:pPr>
              <w:pStyle w:val="T0"/>
              <w:widowControl w:val="0"/>
              <w:autoSpaceDE w:val="0"/>
              <w:autoSpaceDN w:val="0"/>
              <w:adjustRightInd w:val="0"/>
              <w:spacing w:line="480" w:lineRule="auto"/>
              <w:rPr>
                <w:rFonts w:ascii="Times" w:hAnsi="Times" w:cs="Times"/>
                <w:bCs/>
              </w:rPr>
            </w:pPr>
            <w:r w:rsidRPr="00773993">
              <w:rPr>
                <w:rFonts w:ascii="Times" w:hAnsi="Times" w:cs="Times"/>
              </w:rPr>
              <w:t>Iron</w:t>
            </w:r>
          </w:p>
          <w:p w:rsidR="004A16D3" w:rsidRPr="00773993" w:rsidRDefault="004A16D3" w:rsidP="00773993">
            <w:pPr>
              <w:pStyle w:val="TBL-MID"/>
              <w:widowControl w:val="0"/>
              <w:autoSpaceDE w:val="0"/>
              <w:autoSpaceDN w:val="0"/>
              <w:adjustRightInd w:val="0"/>
              <w:spacing w:line="480" w:lineRule="auto"/>
              <w:rPr>
                <w:rFonts w:ascii="Times" w:hAnsi="Times" w:cs="Times"/>
                <w:bCs/>
              </w:rPr>
            </w:pPr>
            <w:r w:rsidRPr="00773993">
              <w:rPr>
                <w:rStyle w:val="BulletManualBodyList"/>
                <w:rFonts w:ascii="Times" w:hAnsi="Times" w:cs="Times"/>
              </w:rPr>
              <w:t>•</w:t>
            </w:r>
            <w:r w:rsidRPr="00773993">
              <w:rPr>
                <w:rFonts w:ascii="Times" w:hAnsi="Times" w:cs="Times"/>
              </w:rPr>
              <w:tab/>
              <w:t>Preterm infants are born with low stores and are at risk for anemia</w:t>
            </w:r>
          </w:p>
          <w:p w:rsidR="004A16D3" w:rsidRPr="00773993" w:rsidRDefault="004A16D3" w:rsidP="00773993">
            <w:pPr>
              <w:pStyle w:val="TBL-MID"/>
              <w:widowControl w:val="0"/>
              <w:autoSpaceDE w:val="0"/>
              <w:autoSpaceDN w:val="0"/>
              <w:adjustRightInd w:val="0"/>
              <w:spacing w:line="480" w:lineRule="auto"/>
              <w:rPr>
                <w:rFonts w:ascii="Times" w:hAnsi="Times" w:cs="Times"/>
                <w:bCs/>
              </w:rPr>
            </w:pPr>
            <w:r w:rsidRPr="00773993">
              <w:rPr>
                <w:rStyle w:val="BulletManualBodyList"/>
                <w:rFonts w:ascii="Times" w:hAnsi="Times" w:cs="Times"/>
              </w:rPr>
              <w:t>•</w:t>
            </w:r>
            <w:r w:rsidRPr="00773993">
              <w:rPr>
                <w:rFonts w:ascii="Times" w:hAnsi="Times" w:cs="Times"/>
              </w:rPr>
              <w:tab/>
              <w:t>Initiate iron supplementation by 4</w:t>
            </w:r>
            <w:r w:rsidRPr="004A16D3">
              <w:rPr>
                <w:rStyle w:val="BulletManualBodyList"/>
              </w:rPr>
              <w:t>-</w:t>
            </w:r>
            <w:r w:rsidRPr="00773993">
              <w:rPr>
                <w:rFonts w:ascii="Times" w:hAnsi="Times" w:cs="Times"/>
              </w:rPr>
              <w:t>6 wk of age</w:t>
            </w:r>
          </w:p>
          <w:p w:rsidR="004A16D3" w:rsidRPr="00773993" w:rsidRDefault="004A16D3" w:rsidP="00773993">
            <w:pPr>
              <w:pStyle w:val="TBL-MID"/>
              <w:widowControl w:val="0"/>
              <w:autoSpaceDE w:val="0"/>
              <w:autoSpaceDN w:val="0"/>
              <w:adjustRightInd w:val="0"/>
              <w:spacing w:line="480" w:lineRule="auto"/>
              <w:rPr>
                <w:rFonts w:ascii="Times" w:hAnsi="Times" w:cs="Times"/>
              </w:rPr>
            </w:pPr>
            <w:r w:rsidRPr="00773993">
              <w:rPr>
                <w:rStyle w:val="BulletManualBodyList"/>
                <w:rFonts w:ascii="Times" w:hAnsi="Times" w:cs="Times"/>
              </w:rPr>
              <w:t>•</w:t>
            </w:r>
            <w:r w:rsidRPr="00773993">
              <w:rPr>
                <w:rFonts w:ascii="Times" w:hAnsi="Times" w:cs="Times"/>
              </w:rPr>
              <w:tab/>
              <w:t>Infant should generally be at full feeds (150 mL/kg/d at 24 kcal/oz.) prior to start of supplementation</w:t>
            </w:r>
          </w:p>
        </w:tc>
      </w:tr>
    </w:tbl>
    <w:p w:rsidR="004A16D3" w:rsidRPr="004A16D3" w:rsidRDefault="004A16D3" w:rsidP="004A16D3">
      <w:pPr>
        <w:pStyle w:val="TFN"/>
        <w:widowControl w:val="0"/>
        <w:autoSpaceDE w:val="0"/>
        <w:autoSpaceDN w:val="0"/>
        <w:adjustRightInd w:val="0"/>
        <w:spacing w:line="480" w:lineRule="auto"/>
        <w:rPr>
          <w:rFonts w:ascii="Times" w:hAnsi="Times" w:cs="Times"/>
        </w:rPr>
      </w:pPr>
      <w:r w:rsidRPr="004A16D3">
        <w:rPr>
          <w:rFonts w:ascii="Times" w:hAnsi="Times" w:cs="Times"/>
        </w:rPr>
        <w:t>BPD, bronchopulmonary dysplasia; HMF, human milk fortifier; IU, international units; PDF, post-discharge formula; SGA, small for gestational age.</w:t>
      </w:r>
    </w:p>
    <w:p w:rsidR="004A16D3" w:rsidRDefault="004A16D3" w:rsidP="004A16D3"/>
    <w:p w:rsidR="004A16D3" w:rsidRPr="004A16D3" w:rsidRDefault="004A16D3" w:rsidP="004A16D3"/>
    <w:p w:rsidR="00A70A93" w:rsidRPr="004A16D3" w:rsidRDefault="00863DAB">
      <w:pPr>
        <w:pStyle w:val="TXT0"/>
        <w:widowControl w:val="0"/>
        <w:autoSpaceDE w:val="0"/>
        <w:autoSpaceDN w:val="0"/>
        <w:adjustRightInd w:val="0"/>
        <w:ind w:firstLine="720"/>
        <w:rPr>
          <w:rFonts w:ascii="Times" w:hAnsi="Times" w:cs="Times"/>
        </w:rPr>
      </w:pPr>
      <w:r w:rsidRPr="004A16D3">
        <w:rPr>
          <w:rFonts w:ascii="Times" w:hAnsi="Times" w:cs="Times"/>
        </w:rPr>
        <w:t>Fortification of human milk with human milk fortifiers (HMF) is recommended for all infants born &lt;32 weeks GA or with a birth weight of &lt;1500 g up until at least a late preterm PMA.</w:t>
      </w:r>
      <w:r w:rsidRPr="004A16D3">
        <w:rPr>
          <w:rStyle w:val="citebib"/>
          <w:rFonts w:ascii="Times" w:hAnsi="Times" w:cs="Times"/>
          <w:vertAlign w:val="superscript"/>
        </w:rPr>
        <w:t>10</w:t>
      </w:r>
      <w:r w:rsidRPr="004A16D3">
        <w:rPr>
          <w:rFonts w:ascii="Times" w:hAnsi="Times" w:cs="Times"/>
          <w:vertAlign w:val="superscript"/>
        </w:rPr>
        <w:t>,</w:t>
      </w:r>
      <w:r w:rsidRPr="004A16D3">
        <w:rPr>
          <w:rStyle w:val="citebib"/>
          <w:rFonts w:ascii="Times" w:hAnsi="Times" w:cs="Times"/>
          <w:vertAlign w:val="superscript"/>
        </w:rPr>
        <w:t>11</w:t>
      </w:r>
      <w:r w:rsidRPr="004A16D3">
        <w:rPr>
          <w:rFonts w:ascii="Times" w:hAnsi="Times" w:cs="Times"/>
        </w:rPr>
        <w:t xml:space="preserve"> Human milk fortifiers contain most macro- and micronutrients, but are particularly notable for their energy, protein, calcium, phosphorus, zinc, and vitamin A content. Bovine protein-based HMFs are available in different protein types (casein vs. whey), levels of hydrolysis (polymeric vs. partial vs. extensive), and protein content (low vs. high vs. standard). Human milk-based HMFs are also available. Generally, HMFs are added when tolerance to </w:t>
      </w:r>
      <w:r w:rsidRPr="004A16D3">
        <w:rPr>
          <w:rFonts w:ascii="Times" w:hAnsi="Times" w:cs="Times"/>
        </w:rPr>
        <w:lastRenderedPageBreak/>
        <w:t>moderate volumes of human milk have been established (60-100 mL/kg), although NICU practices vary.</w:t>
      </w:r>
      <w:r w:rsidRPr="004A16D3">
        <w:rPr>
          <w:rStyle w:val="citebib"/>
          <w:rFonts w:ascii="Times" w:hAnsi="Times" w:cs="Times"/>
          <w:vertAlign w:val="superscript"/>
        </w:rPr>
        <w:t>12</w:t>
      </w:r>
      <w:r w:rsidRPr="004A16D3">
        <w:rPr>
          <w:rFonts w:ascii="Times" w:hAnsi="Times" w:cs="Times"/>
        </w:rPr>
        <w:t xml:space="preserve"> Further fortification may be required in the setting of poor growth or in instances of fluid restriction. A variety of macronutrient-specific additives (modulars) can be used to meet individualized patient needs (</w:t>
      </w:r>
      <w:r w:rsidRPr="004A16D3">
        <w:rPr>
          <w:rStyle w:val="TableCitation"/>
          <w:rFonts w:ascii="Times" w:hAnsi="Times" w:cs="Times"/>
        </w:rPr>
        <w:t>Table 35</w:t>
      </w:r>
      <w:r w:rsidR="009C2638" w:rsidRPr="004A16D3">
        <w:rPr>
          <w:rStyle w:val="TableCitation"/>
          <w:rFonts w:ascii="Times" w:hAnsi="Times" w:cs="Times"/>
        </w:rPr>
        <w:t>.</w:t>
      </w:r>
      <w:r w:rsidRPr="004A16D3">
        <w:rPr>
          <w:rStyle w:val="TableCitation"/>
          <w:rFonts w:ascii="Times" w:hAnsi="Times" w:cs="Times"/>
        </w:rPr>
        <w:t>8</w:t>
      </w:r>
      <w:r w:rsidRPr="004A16D3">
        <w:rPr>
          <w:rFonts w:ascii="Times" w:hAnsi="Times" w:cs="Times"/>
        </w:rPr>
        <w:t xml:space="preserve">). </w:t>
      </w:r>
      <w:commentRangeStart w:id="2"/>
      <w:r w:rsidRPr="004A16D3">
        <w:rPr>
          <w:rFonts w:ascii="Times" w:hAnsi="Times" w:cs="Times"/>
        </w:rPr>
        <w:t>Chapter 16</w:t>
      </w:r>
      <w:commentRangeEnd w:id="2"/>
      <w:r w:rsidRPr="004A16D3">
        <w:rPr>
          <w:rStyle w:val="CommentReference"/>
        </w:rPr>
        <w:commentReference w:id="2"/>
      </w:r>
      <w:r w:rsidRPr="004A16D3">
        <w:rPr>
          <w:rFonts w:ascii="Times" w:hAnsi="Times" w:cs="Times"/>
        </w:rPr>
        <w:t>, has additional information on specific fortification and modular products. If parent’s own human milk is not available, the use of pasteurized or irradiated donor human milk should be considered. Donor human milk is preferred for high-risk neonates, typically those &lt;32 weeks PMA, &lt;1500 g, with a history of NEC, or with congenital cardiac defects at risk of developing ischemic bowel.</w:t>
      </w:r>
      <w:r w:rsidRPr="004A16D3">
        <w:rPr>
          <w:rStyle w:val="citebib"/>
          <w:rFonts w:ascii="Times" w:hAnsi="Times" w:cs="Times"/>
          <w:vertAlign w:val="superscript"/>
        </w:rPr>
        <w:t>11</w:t>
      </w:r>
    </w:p>
    <w:p w:rsidR="00A70A93" w:rsidRPr="004A16D3" w:rsidRDefault="00863DAB" w:rsidP="00A21A78">
      <w:pPr>
        <w:pStyle w:val="PMI"/>
        <w:rPr>
          <w:rFonts w:ascii="Times" w:hAnsi="Times" w:cs="Times"/>
        </w:rPr>
      </w:pPr>
      <w:r w:rsidRPr="004A16D3">
        <w:rPr>
          <w:rFonts w:ascii="Times" w:hAnsi="Times" w:cs="Times"/>
        </w:rPr>
        <w:t>&lt;TAB35-8&gt;</w:t>
      </w:r>
    </w:p>
    <w:p w:rsidR="00A70A93" w:rsidRPr="004A16D3" w:rsidRDefault="00863DAB">
      <w:pPr>
        <w:pStyle w:val="TXT0"/>
        <w:widowControl w:val="0"/>
        <w:autoSpaceDE w:val="0"/>
        <w:autoSpaceDN w:val="0"/>
        <w:adjustRightInd w:val="0"/>
        <w:rPr>
          <w:rFonts w:ascii="Times" w:hAnsi="Times" w:cs="Times"/>
          <w:b/>
        </w:rPr>
      </w:pPr>
      <w:r w:rsidRPr="004A16D3">
        <w:rPr>
          <w:rFonts w:ascii="Times" w:hAnsi="Times" w:cs="Times"/>
        </w:rPr>
        <w:t>If human milk is not available, then preterm infant formula should be used. These formulas have been designed to match some of the developmental aspects of the preterm gastrointestinal tract, including relative exocrine pancreatic immaturity, lower lipase production, reduced bile acid pools, and lower lactase activity (</w:t>
      </w:r>
      <w:r w:rsidRPr="004A16D3">
        <w:rPr>
          <w:rStyle w:val="TableCitation"/>
          <w:rFonts w:ascii="Times" w:hAnsi="Times" w:cs="Times"/>
        </w:rPr>
        <w:t>Table 35</w:t>
      </w:r>
      <w:r w:rsidR="00D80D2F" w:rsidRPr="004A16D3">
        <w:rPr>
          <w:rStyle w:val="TableCitation"/>
          <w:rFonts w:ascii="Times" w:hAnsi="Times" w:cs="Times"/>
        </w:rPr>
        <w:t>.</w:t>
      </w:r>
      <w:r w:rsidRPr="004A16D3">
        <w:rPr>
          <w:rStyle w:val="TableCitation"/>
          <w:rFonts w:ascii="Times" w:hAnsi="Times" w:cs="Times"/>
        </w:rPr>
        <w:t>8</w:t>
      </w:r>
      <w:r w:rsidRPr="004A16D3">
        <w:rPr>
          <w:rFonts w:ascii="Times" w:hAnsi="Times" w:cs="Times"/>
        </w:rPr>
        <w:t>). These formulas also contain higher concentrations of protein, electrolytes, vitamins, and minerals (especially calcium and phosphorus) to meet the demands of the preterm infant.</w:t>
      </w:r>
    </w:p>
    <w:p w:rsidR="00A70A93" w:rsidRPr="004A16D3" w:rsidRDefault="00863DAB">
      <w:pPr>
        <w:pStyle w:val="TXT0"/>
        <w:widowControl w:val="0"/>
        <w:autoSpaceDE w:val="0"/>
        <w:autoSpaceDN w:val="0"/>
        <w:adjustRightInd w:val="0"/>
        <w:rPr>
          <w:rFonts w:ascii="Times" w:hAnsi="Times" w:cs="Times"/>
        </w:rPr>
      </w:pPr>
      <w:r w:rsidRPr="004A16D3">
        <w:rPr>
          <w:rFonts w:ascii="Times" w:hAnsi="Times" w:cs="Times"/>
        </w:rPr>
        <w:t>Preterm infants require supplementation with 2</w:t>
      </w:r>
      <w:r w:rsidR="00D80D2F" w:rsidRPr="004A16D3">
        <w:rPr>
          <w:rFonts w:ascii="Times" w:hAnsi="Times" w:cs="Times"/>
        </w:rPr>
        <w:t xml:space="preserve"> to </w:t>
      </w:r>
      <w:r w:rsidRPr="004A16D3">
        <w:rPr>
          <w:rFonts w:ascii="Times" w:hAnsi="Times" w:cs="Times"/>
        </w:rPr>
        <w:t>4 mg/kg/d of elemental iron due to anemia of prematurity.</w:t>
      </w:r>
      <w:r w:rsidRPr="004A16D3">
        <w:rPr>
          <w:rStyle w:val="citebib"/>
          <w:rFonts w:ascii="Times" w:hAnsi="Times" w:cs="Times"/>
          <w:vertAlign w:val="superscript"/>
        </w:rPr>
        <w:t>10</w:t>
      </w:r>
      <w:r w:rsidRPr="004A16D3">
        <w:rPr>
          <w:rFonts w:ascii="Times" w:hAnsi="Times" w:cs="Times"/>
          <w:vertAlign w:val="superscript"/>
        </w:rPr>
        <w:t>,</w:t>
      </w:r>
      <w:r w:rsidRPr="004A16D3">
        <w:rPr>
          <w:rStyle w:val="citebib"/>
          <w:rFonts w:ascii="Times" w:hAnsi="Times" w:cs="Times"/>
          <w:vertAlign w:val="superscript"/>
        </w:rPr>
        <w:t>11</w:t>
      </w:r>
      <w:r w:rsidRPr="004A16D3">
        <w:t xml:space="preserve"> </w:t>
      </w:r>
      <w:r w:rsidRPr="004A16D3">
        <w:rPr>
          <w:rFonts w:ascii="Times" w:hAnsi="Times" w:cs="Times"/>
        </w:rPr>
        <w:t xml:space="preserve">At a typical feeding volume of 150 mL/kg/d and energy density of 24 Cal/fl. oz., most iron fortified formulas provide 2.2 mg/kg/d; the iron content of human milk fortified with HMF needs to be calculated because iron content varies by HMF product. Supplementation with vitamin D is also routine with a minimum goal (feeds + supplementation) of 10 </w:t>
      </w:r>
      <w:r w:rsidR="00621F92" w:rsidRPr="004A16D3">
        <w:rPr>
          <w:rFonts w:ascii="Times" w:hAnsi="Times" w:cs="Times"/>
        </w:rPr>
        <w:t>µ</w:t>
      </w:r>
      <w:r w:rsidRPr="004A16D3">
        <w:rPr>
          <w:rFonts w:ascii="Times" w:hAnsi="Times" w:cs="Times"/>
        </w:rPr>
        <w:t>g/d.</w:t>
      </w:r>
      <w:r w:rsidRPr="004A16D3">
        <w:rPr>
          <w:rStyle w:val="citebib"/>
          <w:rFonts w:ascii="Times" w:hAnsi="Times" w:cs="Times"/>
          <w:vertAlign w:val="superscript"/>
        </w:rPr>
        <w:t>10</w:t>
      </w:r>
      <w:r w:rsidRPr="004A16D3">
        <w:rPr>
          <w:rFonts w:ascii="Times" w:hAnsi="Times" w:cs="Times"/>
        </w:rPr>
        <w:t xml:space="preserve"> Higher dosing may be needed for infants with osteopenia of prematurity.</w:t>
      </w:r>
    </w:p>
    <w:p w:rsidR="00A70A93" w:rsidRPr="004A16D3" w:rsidRDefault="00863DAB">
      <w:pPr>
        <w:pStyle w:val="TXT0"/>
        <w:widowControl w:val="0"/>
        <w:autoSpaceDE w:val="0"/>
        <w:autoSpaceDN w:val="0"/>
        <w:adjustRightInd w:val="0"/>
        <w:ind w:firstLine="720"/>
        <w:rPr>
          <w:rFonts w:ascii="Times" w:hAnsi="Times" w:cs="Times"/>
          <w:color w:val="0000FF"/>
        </w:rPr>
      </w:pPr>
      <w:r w:rsidRPr="004A16D3">
        <w:rPr>
          <w:rFonts w:ascii="Times" w:hAnsi="Times" w:cs="Times"/>
        </w:rPr>
        <w:t xml:space="preserve">During periods when enteral nutrition is incomplete (such as in the first days after birth while enteral feeds are advancing) or is contraindicated (due to severe hemodynamic instability, </w:t>
      </w:r>
      <w:r w:rsidRPr="004A16D3">
        <w:rPr>
          <w:rFonts w:ascii="Times" w:hAnsi="Times" w:cs="Times"/>
        </w:rPr>
        <w:lastRenderedPageBreak/>
        <w:t>NEC, or other congenital gastrointestinal anomalies) parenteral nutrition (PN) should be initiated. Parenteral nutrition should begin within the first few hours of life for preterm infants born &lt;32 weeks gestation or with a birth weight &lt;1500 g to prevent catabolism and hypoglycemia secondary to limited glycogen stores. The PN solution should be advanced daily to provide recommended fluid and nutrient estimates (</w:t>
      </w:r>
      <w:r w:rsidRPr="004A16D3">
        <w:rPr>
          <w:rStyle w:val="TableCitation"/>
          <w:rFonts w:ascii="Times" w:hAnsi="Times" w:cs="Times"/>
        </w:rPr>
        <w:t>Table 35</w:t>
      </w:r>
      <w:r w:rsidR="009C407D" w:rsidRPr="004A16D3">
        <w:rPr>
          <w:rStyle w:val="TableCitation"/>
          <w:rFonts w:ascii="Times" w:hAnsi="Times" w:cs="Times"/>
        </w:rPr>
        <w:t>.</w:t>
      </w:r>
      <w:r w:rsidRPr="004A16D3">
        <w:rPr>
          <w:rStyle w:val="TableCitation"/>
          <w:rFonts w:ascii="Times" w:hAnsi="Times" w:cs="Times"/>
        </w:rPr>
        <w:t>5</w:t>
      </w:r>
      <w:r w:rsidRPr="004A16D3">
        <w:rPr>
          <w:rFonts w:ascii="Times" w:hAnsi="Times" w:cs="Times"/>
        </w:rPr>
        <w:t>) while enteral feeding volumes are low. PN can then be weaned as enteral feeds advance to reach goal volumes and energy density.</w:t>
      </w:r>
    </w:p>
    <w:p w:rsidR="00A70A93" w:rsidRPr="004A16D3" w:rsidRDefault="00863DAB">
      <w:pPr>
        <w:pStyle w:val="TXT0"/>
        <w:widowControl w:val="0"/>
        <w:autoSpaceDE w:val="0"/>
        <w:autoSpaceDN w:val="0"/>
        <w:adjustRightInd w:val="0"/>
        <w:ind w:firstLine="720"/>
        <w:rPr>
          <w:rFonts w:ascii="Times" w:hAnsi="Times" w:cs="Times"/>
        </w:rPr>
      </w:pPr>
      <w:r w:rsidRPr="004A16D3">
        <w:rPr>
          <w:rFonts w:ascii="Times" w:hAnsi="Times" w:cs="Times"/>
        </w:rPr>
        <w:t>Amino acid requirements in preterm infants are different both qualitatively and quantitatively from term infants and older children. Some amino acids, such as L-cysteine and taurine, are conditionally essential because preterm infants do not synthesize them in sufficient quantities as term infants do and can be added to PN. A specialized amino acid blend, designed to approximate the blood amino acid profile of the human milk fed infant, is used for PN in the preterm infant. Extremely preterm and/or extremely low birth weight (ELBW) infants have increased rates of protein turnover. Therefore, they require higher protein intake than term infants to achieve ideal growth velocity and positive nitrogen balance.</w:t>
      </w:r>
    </w:p>
    <w:p w:rsidR="00A70A93" w:rsidRPr="004A16D3" w:rsidRDefault="00863DAB">
      <w:pPr>
        <w:pStyle w:val="TXT0"/>
        <w:widowControl w:val="0"/>
        <w:autoSpaceDE w:val="0"/>
        <w:autoSpaceDN w:val="0"/>
        <w:adjustRightInd w:val="0"/>
        <w:ind w:firstLine="720"/>
        <w:rPr>
          <w:rFonts w:ascii="Times" w:hAnsi="Times" w:cs="Times"/>
          <w:b/>
        </w:rPr>
      </w:pPr>
      <w:r w:rsidRPr="004A16D3">
        <w:rPr>
          <w:rFonts w:ascii="Times" w:hAnsi="Times" w:cs="Times"/>
        </w:rPr>
        <w:t>For most preterm infants, a soybean or mixed oil based lipid solution is recommended as a calorically-dense energy source as well as to supply the essential fatty acids (</w:t>
      </w:r>
      <w:r w:rsidRPr="004A16D3">
        <w:rPr>
          <w:rStyle w:val="GreekCharacters"/>
          <w:rFonts w:ascii="Lucida Grande" w:hAnsi="Lucida Grande" w:cs="Lucida Grande"/>
          <w:color w:val="000000"/>
        </w:rPr>
        <w:t>α</w:t>
      </w:r>
      <w:r w:rsidRPr="004A16D3">
        <w:rPr>
          <w:rStyle w:val="GreekCharacters"/>
          <w:rFonts w:ascii="Times" w:hAnsi="Times" w:cs="Times"/>
        </w:rPr>
        <w:t>-</w:t>
      </w:r>
      <w:r w:rsidRPr="004A16D3">
        <w:rPr>
          <w:rFonts w:ascii="Times" w:hAnsi="Times" w:cs="Times"/>
        </w:rPr>
        <w:t>linolenic and linoleic acids).</w:t>
      </w:r>
      <w:r w:rsidRPr="004A16D3">
        <w:rPr>
          <w:rStyle w:val="citebib"/>
          <w:rFonts w:ascii="Times" w:hAnsi="Times" w:cs="Times"/>
          <w:vertAlign w:val="superscript"/>
        </w:rPr>
        <w:t>13</w:t>
      </w:r>
      <w:r w:rsidRPr="004A16D3">
        <w:rPr>
          <w:rFonts w:ascii="Times" w:hAnsi="Times" w:cs="Times"/>
        </w:rPr>
        <w:t xml:space="preserve"> </w:t>
      </w:r>
      <w:r w:rsidRPr="004A16D3">
        <w:t>Hypertriglyceridemia</w:t>
      </w:r>
      <w:r w:rsidRPr="004A16D3">
        <w:rPr>
          <w:rStyle w:val="CommentReference"/>
          <w:sz w:val="24"/>
        </w:rPr>
        <w:t xml:space="preserve">, fasting serum triglyceride level &gt;250 mg/dL, </w:t>
      </w:r>
      <w:r w:rsidRPr="004A16D3">
        <w:t>may</w:t>
      </w:r>
      <w:r w:rsidRPr="004A16D3">
        <w:rPr>
          <w:rFonts w:ascii="Times" w:hAnsi="Times" w:cs="Times"/>
        </w:rPr>
        <w:t xml:space="preserve"> occur in preterm infants due to reduced lipoprotein lipase activity</w:t>
      </w:r>
      <w:r w:rsidRPr="004A16D3">
        <w:rPr>
          <w:rStyle w:val="citebib"/>
          <w:rFonts w:ascii="Times" w:hAnsi="Times" w:cs="Times"/>
          <w:vertAlign w:val="superscript"/>
        </w:rPr>
        <w:t>14</w:t>
      </w:r>
      <w:r w:rsidR="009C407D" w:rsidRPr="004A16D3">
        <w:t>;</w:t>
      </w:r>
      <w:r w:rsidRPr="004A16D3">
        <w:t xml:space="preserve"> </w:t>
      </w:r>
      <w:r w:rsidRPr="004A16D3">
        <w:rPr>
          <w:rFonts w:ascii="Times" w:hAnsi="Times" w:cs="Times"/>
        </w:rPr>
        <w:t xml:space="preserve">treatment may require a dose reduction in the infusion of lipids or a cycled infusion (i.e., an infusion of the same volume over fewer hours). Patient-specific lipid emulsion recommendations continue to evolve as more research on newer-to-market mixed oil and 100% fish oil emulsions become available. For infants on PN long-term (&gt;3-4 weeks), a mixed oil or fish oil lipid emulsion may be utilized as </w:t>
      </w:r>
      <w:r w:rsidRPr="004A16D3">
        <w:rPr>
          <w:rFonts w:ascii="Times" w:hAnsi="Times" w:cs="Times"/>
        </w:rPr>
        <w:lastRenderedPageBreak/>
        <w:t xml:space="preserve">prevention (mixed oil) or treatment (fish oil) for intestinal failure-associated liver disease (IFALD) or Parenteral Nutrition Associated Cholestasis (PNAC). Alternatively, a reduced dose of soybean oil lipid emulsion may reduce the risks of IFALD while also providing an adequate amount of essential fatty acids to prevent and treat essential fatty acid deficiency. Mixed oil lipid emulsions should not be dose restricted because there is a higher risk of developing an essential fatty acid deficiency than with soybean oil lipid emulsions. Serum fatty acid profiles should be monitored in all infants receiving reduced dosing of soybean oil emulsions or goal dosing of mixed and fish oil lipid injectable emulsions, especially if enteral fat intake is minimal. When lipid emulsions are dose restricted, high glucose infusion rates need to be tolerated to maintain adequate parenteral energy infusion. See also </w:t>
      </w:r>
      <w:commentRangeStart w:id="3"/>
      <w:r w:rsidRPr="004A16D3">
        <w:rPr>
          <w:rFonts w:ascii="Times" w:hAnsi="Times" w:cs="Times"/>
        </w:rPr>
        <w:t>Chapter 17</w:t>
      </w:r>
      <w:commentRangeEnd w:id="3"/>
      <w:r w:rsidRPr="004A16D3">
        <w:rPr>
          <w:rStyle w:val="CommentReference"/>
        </w:rPr>
        <w:commentReference w:id="3"/>
      </w:r>
      <w:r w:rsidRPr="004A16D3">
        <w:rPr>
          <w:rFonts w:ascii="Times" w:hAnsi="Times" w:cs="Times"/>
        </w:rPr>
        <w:t>.</w:t>
      </w:r>
    </w:p>
    <w:p w:rsidR="00A70A93" w:rsidRPr="004A16D3" w:rsidRDefault="00863DAB">
      <w:pPr>
        <w:pStyle w:val="TXT0"/>
        <w:widowControl w:val="0"/>
        <w:autoSpaceDE w:val="0"/>
        <w:autoSpaceDN w:val="0"/>
        <w:adjustRightInd w:val="0"/>
        <w:ind w:firstLine="720"/>
        <w:rPr>
          <w:rFonts w:ascii="Times" w:hAnsi="Times" w:cs="Times"/>
        </w:rPr>
      </w:pPr>
      <w:r w:rsidRPr="004A16D3">
        <w:rPr>
          <w:rFonts w:ascii="Times" w:hAnsi="Times" w:cs="Times"/>
        </w:rPr>
        <w:t>Protein, fat, and carbohydrate should be advanced while monitoring daily laboratory values until estimated needs are met (</w:t>
      </w:r>
      <w:r w:rsidRPr="004A16D3">
        <w:rPr>
          <w:rStyle w:val="TableCitation"/>
          <w:rFonts w:ascii="Times" w:hAnsi="Times" w:cs="Times"/>
        </w:rPr>
        <w:t>Table 35</w:t>
      </w:r>
      <w:r w:rsidR="009C407D" w:rsidRPr="004A16D3">
        <w:rPr>
          <w:rStyle w:val="TableCitation"/>
          <w:rFonts w:ascii="Times" w:hAnsi="Times" w:cs="Times"/>
        </w:rPr>
        <w:t>.</w:t>
      </w:r>
      <w:r w:rsidRPr="004A16D3">
        <w:rPr>
          <w:rStyle w:val="TableCitation"/>
          <w:rFonts w:ascii="Times" w:hAnsi="Times" w:cs="Times"/>
        </w:rPr>
        <w:t>5</w:t>
      </w:r>
      <w:r w:rsidRPr="004A16D3">
        <w:rPr>
          <w:rFonts w:ascii="Times" w:hAnsi="Times" w:cs="Times"/>
        </w:rPr>
        <w:t>). Thereafter, weekly nutrition panels, which include serum chemistry profiles, liver biochemical tests and a complete blood count, are used to evaluate the adequacy of the prescribed regimen. Macronutrients are</w:t>
      </w:r>
      <w:r w:rsidRPr="004A16D3">
        <w:rPr>
          <w:rFonts w:ascii="Times" w:hAnsi="Times" w:cs="Times"/>
          <w:color w:val="800080"/>
        </w:rPr>
        <w:t xml:space="preserve"> </w:t>
      </w:r>
      <w:r w:rsidRPr="004A16D3">
        <w:rPr>
          <w:rFonts w:ascii="Times" w:hAnsi="Times" w:cs="Times"/>
        </w:rPr>
        <w:t>calculated based on fluid volume as well as individual needs, which are assessed using energy expenditure equations and observed growth rates.</w:t>
      </w:r>
    </w:p>
    <w:p w:rsidR="00A70A93" w:rsidRPr="004A16D3" w:rsidRDefault="00863DAB">
      <w:pPr>
        <w:pStyle w:val="H1"/>
        <w:widowControl w:val="0"/>
        <w:autoSpaceDE w:val="0"/>
        <w:autoSpaceDN w:val="0"/>
        <w:adjustRightInd w:val="0"/>
        <w:spacing w:line="480" w:lineRule="auto"/>
        <w:rPr>
          <w:rFonts w:ascii="Times" w:hAnsi="Times" w:cs="Times"/>
          <w:b/>
          <w:bCs/>
        </w:rPr>
      </w:pPr>
      <w:r w:rsidRPr="004A16D3">
        <w:rPr>
          <w:rStyle w:val="Tag"/>
          <w:rFonts w:ascii="Times" w:hAnsi="Times" w:cs="Times"/>
          <w:b/>
          <w:bCs/>
        </w:rPr>
        <w:t>&lt;H1&gt;</w:t>
      </w:r>
      <w:r w:rsidR="009C407D" w:rsidRPr="004A16D3">
        <w:rPr>
          <w:rFonts w:ascii="Times" w:hAnsi="Times" w:cs="Times"/>
          <w:b/>
          <w:bCs/>
        </w:rPr>
        <w:t>DISCHARGE PLANNING</w:t>
      </w:r>
    </w:p>
    <w:p w:rsidR="00A70A93" w:rsidRPr="004A16D3" w:rsidRDefault="00863DAB">
      <w:pPr>
        <w:pStyle w:val="TXT-FLUSH"/>
        <w:widowControl w:val="0"/>
        <w:autoSpaceDE w:val="0"/>
        <w:autoSpaceDN w:val="0"/>
        <w:adjustRightInd w:val="0"/>
        <w:spacing w:line="480" w:lineRule="auto"/>
        <w:rPr>
          <w:rFonts w:ascii="Times" w:hAnsi="Times" w:cs="Times"/>
        </w:rPr>
      </w:pPr>
      <w:r w:rsidRPr="004A16D3">
        <w:rPr>
          <w:rFonts w:ascii="Times" w:hAnsi="Times" w:cs="Times"/>
        </w:rPr>
        <w:t>Preterm infant formulas and HMFs are not available for home use due to their high nutrient concentrations designed to meet the needs of infants who take smaller feeding volumes. Close to hospital discharge, infants requiring non-human milk feedings should be transitioned to “post-discharge” formulas (PDF) or “transitional” formulas for home use. Studies suggest that compared to term formula, preterm infants fed PDF demonstrate improved growth (weight, length, and head circumference).</w:t>
      </w:r>
      <w:r w:rsidRPr="004A16D3">
        <w:rPr>
          <w:rStyle w:val="citebib"/>
          <w:rFonts w:ascii="Times" w:hAnsi="Times" w:cs="Times"/>
          <w:vertAlign w:val="superscript"/>
        </w:rPr>
        <w:t>15</w:t>
      </w:r>
      <w:r w:rsidRPr="004A16D3">
        <w:rPr>
          <w:rFonts w:ascii="Times" w:hAnsi="Times" w:cs="Times"/>
        </w:rPr>
        <w:t xml:space="preserve"> Evidence is mixed on whether PDF may also benefit body </w:t>
      </w:r>
      <w:r w:rsidRPr="004A16D3">
        <w:rPr>
          <w:rFonts w:ascii="Times" w:hAnsi="Times" w:cs="Times"/>
        </w:rPr>
        <w:lastRenderedPageBreak/>
        <w:t>composition, bone mineralization, and neurodevelopment.</w:t>
      </w:r>
      <w:r w:rsidRPr="004A16D3">
        <w:rPr>
          <w:rStyle w:val="citebib"/>
          <w:rFonts w:ascii="Times" w:hAnsi="Times" w:cs="Times"/>
          <w:vertAlign w:val="superscript"/>
        </w:rPr>
        <w:t>15</w:t>
      </w:r>
      <w:r w:rsidRPr="004A16D3">
        <w:rPr>
          <w:rFonts w:ascii="Times" w:hAnsi="Times" w:cs="Times"/>
        </w:rPr>
        <w:t xml:space="preserve"> Post-discharge formulas provide higher concentrations of energy, protein, vitamins, and minerals at a standard 22 kcal/oz. dilution than term infant formulas (standard 20 kcal/oz.), but less than those in preterm infant formulas and human milk fortified with HMF (standard 24 kcal/oz.). Preterm infants receiving human milk may require additional nutrients from PDF as well. There is no optimal practice</w:t>
      </w:r>
      <w:r w:rsidRPr="004A16D3">
        <w:rPr>
          <w:rStyle w:val="citebib"/>
          <w:rFonts w:ascii="Times" w:hAnsi="Times" w:cs="Times"/>
          <w:vertAlign w:val="superscript"/>
        </w:rPr>
        <w:t>15</w:t>
      </w:r>
      <w:r w:rsidRPr="004A16D3">
        <w:rPr>
          <w:rFonts w:ascii="Times" w:hAnsi="Times" w:cs="Times"/>
        </w:rPr>
        <w:t>; common methods include adding formula powder to pumped human milk, alternating moderately concentrated formula bottles with direct breastfeeding, or mostly direct breastfeeding with few highly concentrated formula “booster” bottles. PDF prescribed at higher than 22 kcal/oz. and fortified human milk at any energy density require specialized mixing recipes. Referral to a community lactation consultant, Special Supplemental Food Program for Women, Infants, and Children (WIC), Early Intervention Program (EIP), and/or home-health nursing may be beneficial for assistance with feeding skills and weight checks. Additionally, the American Academy of Pediatrics</w:t>
      </w:r>
      <w:r w:rsidRPr="004A16D3">
        <w:rPr>
          <w:rStyle w:val="citebib"/>
          <w:rFonts w:ascii="Times" w:hAnsi="Times" w:cs="Times"/>
          <w:vertAlign w:val="superscript"/>
        </w:rPr>
        <w:t>16</w:t>
      </w:r>
      <w:r w:rsidRPr="004A16D3">
        <w:rPr>
          <w:rFonts w:ascii="Times" w:hAnsi="Times" w:cs="Times"/>
        </w:rPr>
        <w:t xml:space="preserve"> and countries throughout the world</w:t>
      </w:r>
      <w:r w:rsidRPr="004A16D3">
        <w:rPr>
          <w:rStyle w:val="citebib"/>
          <w:rFonts w:ascii="Times" w:hAnsi="Times" w:cs="Times"/>
          <w:vertAlign w:val="superscript"/>
        </w:rPr>
        <w:t>17</w:t>
      </w:r>
      <w:r w:rsidRPr="004A16D3">
        <w:rPr>
          <w:rFonts w:ascii="Times" w:hAnsi="Times" w:cs="Times"/>
        </w:rPr>
        <w:t xml:space="preserve"> recommend that preterm infants receive multidisciplinary follow up care with attention to nutritional and neurodevelopmental needs.</w:t>
      </w:r>
      <w:r w:rsidR="004A16D3">
        <w:rPr>
          <w:rStyle w:val="citebib"/>
          <w:rFonts w:ascii="Times" w:hAnsi="Times" w:cs="Times"/>
          <w:vertAlign w:val="superscript"/>
        </w:rPr>
        <w:t>20</w:t>
      </w:r>
    </w:p>
    <w:p w:rsidR="00A70A93" w:rsidRDefault="00863DAB" w:rsidP="00A21A78">
      <w:pPr>
        <w:pStyle w:val="REFH1"/>
        <w:rPr>
          <w:b/>
          <w:bCs/>
        </w:rPr>
      </w:pPr>
      <w:r w:rsidRPr="004A16D3">
        <w:rPr>
          <w:rStyle w:val="Tag"/>
          <w:b/>
          <w:bCs/>
        </w:rPr>
        <w:t>&lt;REF&gt;</w:t>
      </w:r>
      <w:r w:rsidRPr="004A16D3">
        <w:rPr>
          <w:b/>
          <w:bCs/>
        </w:rPr>
        <w:t>References</w:t>
      </w:r>
    </w:p>
    <w:p w:rsidR="008B510C" w:rsidRPr="004A16D3" w:rsidRDefault="008B510C" w:rsidP="008B510C">
      <w:r>
        <w:t>&lt;Ref-Open&gt;</w:t>
      </w:r>
    </w:p>
    <w:p w:rsidR="00A70A93" w:rsidRPr="004A16D3" w:rsidRDefault="006B0720" w:rsidP="006B0720">
      <w:pPr>
        <w:pStyle w:val="REF-N"/>
        <w:widowControl w:val="0"/>
        <w:autoSpaceDE w:val="0"/>
        <w:autoSpaceDN w:val="0"/>
        <w:adjustRightInd w:val="0"/>
        <w:spacing w:line="480" w:lineRule="auto"/>
        <w:ind w:left="360" w:hanging="360"/>
        <w:rPr>
          <w:color w:val="222222"/>
          <w:shd w:val="clear" w:color="auto" w:fill="FFFFFF"/>
        </w:rPr>
      </w:pPr>
      <w:r w:rsidRPr="004A16D3">
        <w:rPr>
          <w:rStyle w:val="bibnumber"/>
        </w:rPr>
        <w:t>1</w:t>
      </w:r>
      <w:r w:rsidRPr="004A16D3">
        <w:rPr>
          <w:color w:val="222222"/>
        </w:rPr>
        <w:t>.</w:t>
      </w:r>
      <w:r w:rsidRPr="004A16D3">
        <w:rPr>
          <w:color w:val="222222"/>
        </w:rPr>
        <w:tab/>
      </w:r>
      <w:r w:rsidR="00863DAB" w:rsidRPr="004A16D3">
        <w:rPr>
          <w:rStyle w:val="bibsurname"/>
        </w:rPr>
        <w:t>Ehrenkranz</w:t>
      </w:r>
      <w:r w:rsidR="00863DAB" w:rsidRPr="004A16D3">
        <w:rPr>
          <w:color w:val="222222"/>
          <w:shd w:val="clear" w:color="auto" w:fill="FFFFFF"/>
        </w:rPr>
        <w:t xml:space="preserve"> </w:t>
      </w:r>
      <w:r w:rsidR="00863DAB" w:rsidRPr="004A16D3">
        <w:rPr>
          <w:rStyle w:val="bibfname"/>
        </w:rPr>
        <w:t>RA</w:t>
      </w:r>
      <w:r w:rsidR="00863DAB" w:rsidRPr="004A16D3">
        <w:rPr>
          <w:color w:val="222222"/>
          <w:shd w:val="clear" w:color="auto" w:fill="FFFFFF"/>
        </w:rPr>
        <w:t xml:space="preserve">, </w:t>
      </w:r>
      <w:r w:rsidR="00863DAB" w:rsidRPr="004A16D3">
        <w:rPr>
          <w:rStyle w:val="bibsurname"/>
        </w:rPr>
        <w:t>Dusick</w:t>
      </w:r>
      <w:r w:rsidR="00863DAB" w:rsidRPr="004A16D3">
        <w:rPr>
          <w:color w:val="222222"/>
          <w:shd w:val="clear" w:color="auto" w:fill="FFFFFF"/>
        </w:rPr>
        <w:t xml:space="preserve"> </w:t>
      </w:r>
      <w:r w:rsidR="00863DAB" w:rsidRPr="004A16D3">
        <w:rPr>
          <w:rStyle w:val="bibfname"/>
        </w:rPr>
        <w:t>AM</w:t>
      </w:r>
      <w:r w:rsidR="00863DAB" w:rsidRPr="004A16D3">
        <w:rPr>
          <w:color w:val="222222"/>
          <w:shd w:val="clear" w:color="auto" w:fill="FFFFFF"/>
        </w:rPr>
        <w:t xml:space="preserve">, </w:t>
      </w:r>
      <w:r w:rsidR="00863DAB" w:rsidRPr="004A16D3">
        <w:rPr>
          <w:rStyle w:val="bibsurname"/>
        </w:rPr>
        <w:t>Vohr</w:t>
      </w:r>
      <w:r w:rsidR="00863DAB" w:rsidRPr="004A16D3">
        <w:rPr>
          <w:color w:val="222222"/>
          <w:shd w:val="clear" w:color="auto" w:fill="FFFFFF"/>
        </w:rPr>
        <w:t xml:space="preserve"> </w:t>
      </w:r>
      <w:r w:rsidR="00863DAB" w:rsidRPr="004A16D3">
        <w:rPr>
          <w:rStyle w:val="bibfname"/>
        </w:rPr>
        <w:t>BR</w:t>
      </w:r>
      <w:r w:rsidR="00863DAB" w:rsidRPr="004A16D3">
        <w:rPr>
          <w:color w:val="222222"/>
          <w:shd w:val="clear" w:color="auto" w:fill="FFFFFF"/>
        </w:rPr>
        <w:t xml:space="preserve">, </w:t>
      </w:r>
      <w:r w:rsidR="0087179F" w:rsidRPr="004A16D3">
        <w:rPr>
          <w:rStyle w:val="bibetal"/>
        </w:rPr>
        <w:t>et al</w:t>
      </w:r>
      <w:r w:rsidR="00863DAB" w:rsidRPr="004A16D3">
        <w:rPr>
          <w:color w:val="222222"/>
          <w:shd w:val="clear" w:color="auto" w:fill="FFFFFF"/>
        </w:rPr>
        <w:t xml:space="preserve">. </w:t>
      </w:r>
      <w:r w:rsidR="00863DAB" w:rsidRPr="004A16D3">
        <w:rPr>
          <w:rStyle w:val="bibarticle"/>
        </w:rPr>
        <w:t>Growth in the neonatal intensive care unit influences neurodevelopmental and growth outcomes of extremely low birth weight infants</w:t>
      </w:r>
      <w:r w:rsidR="00863DAB" w:rsidRPr="004A16D3">
        <w:rPr>
          <w:color w:val="222222"/>
          <w:shd w:val="clear" w:color="auto" w:fill="FFFFFF"/>
        </w:rPr>
        <w:t>.</w:t>
      </w:r>
      <w:r w:rsidR="00F73ECD" w:rsidRPr="004A16D3">
        <w:rPr>
          <w:color w:val="222222"/>
          <w:shd w:val="clear" w:color="auto" w:fill="FFFFFF"/>
        </w:rPr>
        <w:t xml:space="preserve"> </w:t>
      </w:r>
      <w:r w:rsidR="00863DAB" w:rsidRPr="004A16D3">
        <w:rPr>
          <w:rStyle w:val="bibjournal"/>
          <w:i/>
        </w:rPr>
        <w:t>Pediatrics</w:t>
      </w:r>
      <w:r w:rsidR="009C407D" w:rsidRPr="004A16D3">
        <w:rPr>
          <w:color w:val="222222"/>
          <w:shd w:val="clear" w:color="auto" w:fill="FFFFFF"/>
        </w:rPr>
        <w:t>.</w:t>
      </w:r>
      <w:r w:rsidR="00F73ECD" w:rsidRPr="004A16D3">
        <w:rPr>
          <w:color w:val="222222"/>
          <w:shd w:val="clear" w:color="auto" w:fill="FFFFFF"/>
        </w:rPr>
        <w:t xml:space="preserve"> </w:t>
      </w:r>
      <w:r w:rsidR="009C407D" w:rsidRPr="004A16D3">
        <w:rPr>
          <w:rStyle w:val="bibyear"/>
        </w:rPr>
        <w:t>2006</w:t>
      </w:r>
      <w:r w:rsidR="009C407D" w:rsidRPr="004A16D3">
        <w:t>;</w:t>
      </w:r>
      <w:r w:rsidR="00863DAB" w:rsidRPr="004A16D3">
        <w:rPr>
          <w:rStyle w:val="bibvolume"/>
        </w:rPr>
        <w:t>117</w:t>
      </w:r>
      <w:r w:rsidR="00863DAB" w:rsidRPr="004A16D3">
        <w:rPr>
          <w:color w:val="222222"/>
          <w:shd w:val="clear" w:color="auto" w:fill="FFFFFF"/>
        </w:rPr>
        <w:t>(</w:t>
      </w:r>
      <w:r w:rsidR="00863DAB" w:rsidRPr="004A16D3">
        <w:rPr>
          <w:rStyle w:val="bibissue"/>
        </w:rPr>
        <w:t>4</w:t>
      </w:r>
      <w:r w:rsidR="00863DAB" w:rsidRPr="004A16D3">
        <w:rPr>
          <w:color w:val="222222"/>
          <w:shd w:val="clear" w:color="auto" w:fill="FFFFFF"/>
        </w:rPr>
        <w:t>)</w:t>
      </w:r>
      <w:r w:rsidR="009C407D" w:rsidRPr="004A16D3">
        <w:rPr>
          <w:color w:val="222222"/>
          <w:shd w:val="clear" w:color="auto" w:fill="FFFFFF"/>
        </w:rPr>
        <w:t>:</w:t>
      </w:r>
      <w:r w:rsidR="00863DAB" w:rsidRPr="004A16D3">
        <w:rPr>
          <w:rStyle w:val="bibfpage"/>
        </w:rPr>
        <w:t>1253</w:t>
      </w:r>
      <w:r w:rsidR="00863DAB" w:rsidRPr="004A16D3">
        <w:rPr>
          <w:color w:val="222222"/>
          <w:shd w:val="clear" w:color="auto" w:fill="FFFFFF"/>
        </w:rPr>
        <w:t>-</w:t>
      </w:r>
      <w:r w:rsidR="00863DAB" w:rsidRPr="004A16D3">
        <w:rPr>
          <w:rStyle w:val="biblpage"/>
        </w:rPr>
        <w:t>1261</w:t>
      </w:r>
      <w:r w:rsidR="00863DAB" w:rsidRPr="004A16D3">
        <w:rPr>
          <w:color w:val="222222"/>
          <w:shd w:val="clear" w:color="auto" w:fill="FFFFFF"/>
        </w:rPr>
        <w:t>.</w:t>
      </w:r>
    </w:p>
    <w:p w:rsidR="00A70A93" w:rsidRPr="004A16D3" w:rsidRDefault="006B0720" w:rsidP="006B0720">
      <w:pPr>
        <w:pStyle w:val="REF-N"/>
        <w:widowControl w:val="0"/>
        <w:autoSpaceDE w:val="0"/>
        <w:autoSpaceDN w:val="0"/>
        <w:adjustRightInd w:val="0"/>
        <w:spacing w:line="480" w:lineRule="auto"/>
        <w:ind w:left="360" w:hanging="360"/>
        <w:rPr>
          <w:color w:val="222222"/>
          <w:shd w:val="clear" w:color="auto" w:fill="FFFFFF"/>
        </w:rPr>
      </w:pPr>
      <w:r w:rsidRPr="004A16D3">
        <w:rPr>
          <w:rStyle w:val="bibnumber"/>
        </w:rPr>
        <w:t>2</w:t>
      </w:r>
      <w:r w:rsidRPr="004A16D3">
        <w:rPr>
          <w:color w:val="222222"/>
        </w:rPr>
        <w:t>.</w:t>
      </w:r>
      <w:r w:rsidRPr="004A16D3">
        <w:rPr>
          <w:color w:val="222222"/>
        </w:rPr>
        <w:tab/>
      </w:r>
      <w:r w:rsidR="00863DAB" w:rsidRPr="004A16D3">
        <w:rPr>
          <w:rStyle w:val="bibsurname"/>
        </w:rPr>
        <w:t>Cordova</w:t>
      </w:r>
      <w:r w:rsidR="00863DAB" w:rsidRPr="004A16D3">
        <w:rPr>
          <w:color w:val="222222"/>
          <w:shd w:val="clear" w:color="auto" w:fill="FFFFFF"/>
        </w:rPr>
        <w:t xml:space="preserve"> </w:t>
      </w:r>
      <w:r w:rsidR="00863DAB" w:rsidRPr="004A16D3">
        <w:rPr>
          <w:rStyle w:val="bibfname"/>
        </w:rPr>
        <w:t>EG</w:t>
      </w:r>
      <w:r w:rsidR="009C407D" w:rsidRPr="004A16D3">
        <w:rPr>
          <w:rStyle w:val="bibfname"/>
        </w:rPr>
        <w:t>,</w:t>
      </w:r>
      <w:r w:rsidR="00863DAB" w:rsidRPr="004A16D3">
        <w:rPr>
          <w:color w:val="222222"/>
          <w:shd w:val="clear" w:color="auto" w:fill="FFFFFF"/>
        </w:rPr>
        <w:t xml:space="preserve"> </w:t>
      </w:r>
      <w:r w:rsidR="00863DAB" w:rsidRPr="004A16D3">
        <w:rPr>
          <w:rStyle w:val="bibsurname"/>
        </w:rPr>
        <w:t>Belfort</w:t>
      </w:r>
      <w:r w:rsidR="00863DAB" w:rsidRPr="004A16D3">
        <w:rPr>
          <w:color w:val="222222"/>
          <w:shd w:val="clear" w:color="auto" w:fill="FFFFFF"/>
        </w:rPr>
        <w:t xml:space="preserve"> </w:t>
      </w:r>
      <w:r w:rsidR="00863DAB" w:rsidRPr="004A16D3">
        <w:rPr>
          <w:rStyle w:val="bibfname"/>
        </w:rPr>
        <w:t>MB.</w:t>
      </w:r>
      <w:r w:rsidR="00863DAB" w:rsidRPr="004A16D3">
        <w:rPr>
          <w:color w:val="222222"/>
          <w:shd w:val="clear" w:color="auto" w:fill="FFFFFF"/>
        </w:rPr>
        <w:t xml:space="preserve"> </w:t>
      </w:r>
      <w:r w:rsidR="00863DAB" w:rsidRPr="004A16D3">
        <w:rPr>
          <w:rStyle w:val="bibarticle"/>
        </w:rPr>
        <w:t>Updates on assessment and monitoring of the postnatal growth of preterm infants</w:t>
      </w:r>
      <w:r w:rsidR="00863DAB" w:rsidRPr="004A16D3">
        <w:rPr>
          <w:color w:val="222222"/>
          <w:shd w:val="clear" w:color="auto" w:fill="FFFFFF"/>
        </w:rPr>
        <w:t>.</w:t>
      </w:r>
      <w:r w:rsidR="00A6065C" w:rsidRPr="004A16D3">
        <w:rPr>
          <w:color w:val="222222"/>
          <w:shd w:val="clear" w:color="auto" w:fill="FFFFFF"/>
        </w:rPr>
        <w:t xml:space="preserve"> </w:t>
      </w:r>
      <w:r w:rsidR="00863DAB" w:rsidRPr="004A16D3">
        <w:rPr>
          <w:rStyle w:val="bibjournal"/>
          <w:i/>
        </w:rPr>
        <w:t>Neoreviews</w:t>
      </w:r>
      <w:r w:rsidR="009C407D" w:rsidRPr="004A16D3">
        <w:rPr>
          <w:color w:val="222222"/>
          <w:shd w:val="clear" w:color="auto" w:fill="FFFFFF"/>
        </w:rPr>
        <w:t xml:space="preserve">. </w:t>
      </w:r>
      <w:r w:rsidR="009C407D" w:rsidRPr="004A16D3">
        <w:rPr>
          <w:rStyle w:val="bibyear"/>
        </w:rPr>
        <w:t>2020</w:t>
      </w:r>
      <w:r w:rsidR="009C407D" w:rsidRPr="004A16D3">
        <w:rPr>
          <w:color w:val="222222"/>
          <w:shd w:val="clear" w:color="auto" w:fill="FFFFFF"/>
        </w:rPr>
        <w:t>;</w:t>
      </w:r>
      <w:r w:rsidR="00863DAB" w:rsidRPr="004A16D3">
        <w:rPr>
          <w:rStyle w:val="bibvolume"/>
        </w:rPr>
        <w:t>21</w:t>
      </w:r>
      <w:r w:rsidR="00863DAB" w:rsidRPr="004A16D3">
        <w:rPr>
          <w:color w:val="222222"/>
          <w:shd w:val="clear" w:color="auto" w:fill="FFFFFF"/>
        </w:rPr>
        <w:t>(</w:t>
      </w:r>
      <w:r w:rsidR="00863DAB" w:rsidRPr="004A16D3">
        <w:rPr>
          <w:rStyle w:val="bibissue"/>
        </w:rPr>
        <w:t>2</w:t>
      </w:r>
      <w:r w:rsidR="00863DAB" w:rsidRPr="004A16D3">
        <w:rPr>
          <w:color w:val="222222"/>
          <w:shd w:val="clear" w:color="auto" w:fill="FFFFFF"/>
        </w:rPr>
        <w:t>)</w:t>
      </w:r>
      <w:r w:rsidR="009C407D" w:rsidRPr="004A16D3">
        <w:rPr>
          <w:color w:val="222222"/>
          <w:shd w:val="clear" w:color="auto" w:fill="FFFFFF"/>
        </w:rPr>
        <w:t>:</w:t>
      </w:r>
      <w:r w:rsidR="00863DAB" w:rsidRPr="004A16D3">
        <w:rPr>
          <w:rStyle w:val="bibfpage"/>
        </w:rPr>
        <w:t>e98</w:t>
      </w:r>
      <w:r w:rsidR="00863DAB" w:rsidRPr="004A16D3">
        <w:rPr>
          <w:color w:val="222222"/>
          <w:shd w:val="clear" w:color="auto" w:fill="FFFFFF"/>
        </w:rPr>
        <w:t>-</w:t>
      </w:r>
      <w:r w:rsidR="00863DAB" w:rsidRPr="004A16D3">
        <w:rPr>
          <w:rStyle w:val="biblpage"/>
        </w:rPr>
        <w:t>e108</w:t>
      </w:r>
      <w:r w:rsidR="00863DAB" w:rsidRPr="004A16D3">
        <w:rPr>
          <w:color w:val="222222"/>
          <w:shd w:val="clear" w:color="auto" w:fill="FFFFFF"/>
        </w:rPr>
        <w:t>.</w:t>
      </w:r>
    </w:p>
    <w:p w:rsidR="00A70A93" w:rsidRPr="004A16D3" w:rsidRDefault="006B0720" w:rsidP="006B0720">
      <w:pPr>
        <w:pStyle w:val="REF-N"/>
        <w:widowControl w:val="0"/>
        <w:autoSpaceDE w:val="0"/>
        <w:autoSpaceDN w:val="0"/>
        <w:adjustRightInd w:val="0"/>
        <w:spacing w:line="480" w:lineRule="auto"/>
        <w:ind w:left="360" w:hanging="360"/>
        <w:rPr>
          <w:color w:val="222222"/>
          <w:shd w:val="clear" w:color="auto" w:fill="FFFFFF"/>
        </w:rPr>
      </w:pPr>
      <w:r w:rsidRPr="004A16D3">
        <w:rPr>
          <w:rStyle w:val="bibnumber"/>
        </w:rPr>
        <w:t>3</w:t>
      </w:r>
      <w:r w:rsidRPr="004A16D3">
        <w:rPr>
          <w:color w:val="222222"/>
        </w:rPr>
        <w:t>.</w:t>
      </w:r>
      <w:r w:rsidRPr="004A16D3">
        <w:rPr>
          <w:color w:val="222222"/>
        </w:rPr>
        <w:tab/>
      </w:r>
      <w:r w:rsidR="00863DAB" w:rsidRPr="004A16D3">
        <w:rPr>
          <w:rStyle w:val="bibsurname"/>
        </w:rPr>
        <w:t>Fenton</w:t>
      </w:r>
      <w:r w:rsidR="00863DAB" w:rsidRPr="004A16D3">
        <w:rPr>
          <w:color w:val="222222"/>
          <w:shd w:val="clear" w:color="auto" w:fill="FFFFFF"/>
        </w:rPr>
        <w:t xml:space="preserve"> </w:t>
      </w:r>
      <w:r w:rsidR="00863DAB" w:rsidRPr="004A16D3">
        <w:rPr>
          <w:rStyle w:val="bibfname"/>
        </w:rPr>
        <w:t>TR</w:t>
      </w:r>
      <w:r w:rsidR="00FE7FD9" w:rsidRPr="004A16D3">
        <w:rPr>
          <w:rStyle w:val="bibfname"/>
        </w:rPr>
        <w:t>,</w:t>
      </w:r>
      <w:r w:rsidR="00863DAB" w:rsidRPr="004A16D3">
        <w:rPr>
          <w:color w:val="222222"/>
          <w:shd w:val="clear" w:color="auto" w:fill="FFFFFF"/>
        </w:rPr>
        <w:t xml:space="preserve"> </w:t>
      </w:r>
      <w:r w:rsidR="00863DAB" w:rsidRPr="004A16D3">
        <w:rPr>
          <w:rStyle w:val="bibsurname"/>
        </w:rPr>
        <w:t>Kim</w:t>
      </w:r>
      <w:r w:rsidR="00863DAB" w:rsidRPr="004A16D3">
        <w:rPr>
          <w:color w:val="222222"/>
          <w:shd w:val="clear" w:color="auto" w:fill="FFFFFF"/>
        </w:rPr>
        <w:t xml:space="preserve"> </w:t>
      </w:r>
      <w:r w:rsidR="00863DAB" w:rsidRPr="004A16D3">
        <w:rPr>
          <w:rStyle w:val="bibfname"/>
        </w:rPr>
        <w:t>JH.</w:t>
      </w:r>
      <w:r w:rsidR="00863DAB" w:rsidRPr="004A16D3">
        <w:rPr>
          <w:color w:val="222222"/>
          <w:shd w:val="clear" w:color="auto" w:fill="FFFFFF"/>
        </w:rPr>
        <w:t xml:space="preserve"> </w:t>
      </w:r>
      <w:r w:rsidR="00863DAB" w:rsidRPr="004A16D3">
        <w:rPr>
          <w:rStyle w:val="bibarticle"/>
        </w:rPr>
        <w:t>A systematic review and meta-analysis to revise the Fenton growth chart for preterm infants</w:t>
      </w:r>
      <w:r w:rsidR="00863DAB" w:rsidRPr="004A16D3">
        <w:rPr>
          <w:color w:val="222222"/>
          <w:shd w:val="clear" w:color="auto" w:fill="FFFFFF"/>
        </w:rPr>
        <w:t>.</w:t>
      </w:r>
      <w:r w:rsidR="00A6065C" w:rsidRPr="004A16D3">
        <w:rPr>
          <w:color w:val="222222"/>
          <w:shd w:val="clear" w:color="auto" w:fill="FFFFFF"/>
        </w:rPr>
        <w:t xml:space="preserve"> </w:t>
      </w:r>
      <w:r w:rsidR="00863DAB" w:rsidRPr="004A16D3">
        <w:rPr>
          <w:rStyle w:val="bibjournal"/>
          <w:i/>
        </w:rPr>
        <w:t xml:space="preserve">BMC </w:t>
      </w:r>
      <w:r w:rsidR="00FE7FD9" w:rsidRPr="004A16D3">
        <w:rPr>
          <w:rStyle w:val="bibjournal"/>
          <w:i/>
        </w:rPr>
        <w:t>Pediatr</w:t>
      </w:r>
      <w:r w:rsidR="00FE7FD9" w:rsidRPr="004A16D3">
        <w:rPr>
          <w:color w:val="222222"/>
          <w:shd w:val="clear" w:color="auto" w:fill="FFFFFF"/>
        </w:rPr>
        <w:t xml:space="preserve">. </w:t>
      </w:r>
      <w:r w:rsidR="00FE7FD9" w:rsidRPr="004A16D3">
        <w:rPr>
          <w:rStyle w:val="bibyear"/>
        </w:rPr>
        <w:t>2013</w:t>
      </w:r>
      <w:r w:rsidR="00FE7FD9" w:rsidRPr="004A16D3">
        <w:rPr>
          <w:color w:val="222222"/>
          <w:shd w:val="clear" w:color="auto" w:fill="FFFFFF"/>
        </w:rPr>
        <w:t>;</w:t>
      </w:r>
      <w:r w:rsidR="00863DAB" w:rsidRPr="004A16D3">
        <w:rPr>
          <w:rStyle w:val="bibvolume"/>
        </w:rPr>
        <w:t>13</w:t>
      </w:r>
      <w:r w:rsidR="00863DAB" w:rsidRPr="004A16D3">
        <w:rPr>
          <w:color w:val="222222"/>
          <w:shd w:val="clear" w:color="auto" w:fill="FFFFFF"/>
        </w:rPr>
        <w:t>(</w:t>
      </w:r>
      <w:r w:rsidR="00863DAB" w:rsidRPr="004A16D3">
        <w:rPr>
          <w:rStyle w:val="bibissue"/>
        </w:rPr>
        <w:t>1</w:t>
      </w:r>
      <w:r w:rsidR="00863DAB" w:rsidRPr="004A16D3">
        <w:rPr>
          <w:color w:val="222222"/>
          <w:shd w:val="clear" w:color="auto" w:fill="FFFFFF"/>
        </w:rPr>
        <w:t>)</w:t>
      </w:r>
      <w:r w:rsidR="00FE7FD9" w:rsidRPr="004A16D3">
        <w:rPr>
          <w:color w:val="222222"/>
          <w:shd w:val="clear" w:color="auto" w:fill="FFFFFF"/>
        </w:rPr>
        <w:t>:</w:t>
      </w:r>
      <w:r w:rsidR="00863DAB" w:rsidRPr="004A16D3">
        <w:rPr>
          <w:rStyle w:val="bibfpage"/>
        </w:rPr>
        <w:t>59</w:t>
      </w:r>
      <w:r w:rsidR="00863DAB" w:rsidRPr="004A16D3">
        <w:rPr>
          <w:color w:val="222222"/>
          <w:shd w:val="clear" w:color="auto" w:fill="FFFFFF"/>
        </w:rPr>
        <w:t>.</w:t>
      </w:r>
    </w:p>
    <w:p w:rsidR="00A70A93" w:rsidRPr="004A16D3" w:rsidRDefault="006B0720" w:rsidP="006B0720">
      <w:pPr>
        <w:pStyle w:val="REF-N"/>
        <w:widowControl w:val="0"/>
        <w:autoSpaceDE w:val="0"/>
        <w:autoSpaceDN w:val="0"/>
        <w:adjustRightInd w:val="0"/>
        <w:spacing w:line="480" w:lineRule="auto"/>
        <w:ind w:left="360" w:hanging="360"/>
        <w:rPr>
          <w:color w:val="222222"/>
          <w:shd w:val="clear" w:color="auto" w:fill="FFFFFF"/>
        </w:rPr>
      </w:pPr>
      <w:r w:rsidRPr="004A16D3">
        <w:rPr>
          <w:rStyle w:val="bibnumber"/>
        </w:rPr>
        <w:lastRenderedPageBreak/>
        <w:t>4</w:t>
      </w:r>
      <w:r w:rsidRPr="004A16D3">
        <w:rPr>
          <w:color w:val="222222"/>
        </w:rPr>
        <w:t>.</w:t>
      </w:r>
      <w:r w:rsidRPr="004A16D3">
        <w:rPr>
          <w:color w:val="222222"/>
        </w:rPr>
        <w:tab/>
      </w:r>
      <w:r w:rsidR="00863DAB" w:rsidRPr="004A16D3">
        <w:rPr>
          <w:rStyle w:val="bibsurname"/>
        </w:rPr>
        <w:t>Fenton</w:t>
      </w:r>
      <w:r w:rsidR="00863DAB" w:rsidRPr="004A16D3">
        <w:rPr>
          <w:color w:val="222222"/>
          <w:shd w:val="clear" w:color="auto" w:fill="FFFFFF"/>
        </w:rPr>
        <w:t xml:space="preserve"> </w:t>
      </w:r>
      <w:r w:rsidR="00863DAB" w:rsidRPr="004A16D3">
        <w:rPr>
          <w:rStyle w:val="bibfname"/>
        </w:rPr>
        <w:t>TR</w:t>
      </w:r>
      <w:r w:rsidR="00863DAB" w:rsidRPr="004A16D3">
        <w:rPr>
          <w:color w:val="222222"/>
          <w:shd w:val="clear" w:color="auto" w:fill="FFFFFF"/>
        </w:rPr>
        <w:t xml:space="preserve">, </w:t>
      </w:r>
      <w:r w:rsidR="00863DAB" w:rsidRPr="004A16D3">
        <w:rPr>
          <w:rStyle w:val="bibsurname"/>
        </w:rPr>
        <w:t>Elmrayed</w:t>
      </w:r>
      <w:r w:rsidR="00863DAB" w:rsidRPr="004A16D3">
        <w:rPr>
          <w:color w:val="222222"/>
          <w:shd w:val="clear" w:color="auto" w:fill="FFFFFF"/>
        </w:rPr>
        <w:t xml:space="preserve"> </w:t>
      </w:r>
      <w:r w:rsidR="00863DAB" w:rsidRPr="004A16D3">
        <w:rPr>
          <w:rStyle w:val="bibfname"/>
        </w:rPr>
        <w:t>S</w:t>
      </w:r>
      <w:r w:rsidR="00FE7FD9" w:rsidRPr="004A16D3">
        <w:rPr>
          <w:rStyle w:val="bibfname"/>
        </w:rPr>
        <w:t>,</w:t>
      </w:r>
      <w:r w:rsidR="00863DAB" w:rsidRPr="004A16D3">
        <w:rPr>
          <w:color w:val="222222"/>
          <w:shd w:val="clear" w:color="auto" w:fill="FFFFFF"/>
        </w:rPr>
        <w:t xml:space="preserve"> </w:t>
      </w:r>
      <w:r w:rsidR="00863DAB" w:rsidRPr="004A16D3">
        <w:rPr>
          <w:rStyle w:val="bibsurname"/>
        </w:rPr>
        <w:t>Alshaikh</w:t>
      </w:r>
      <w:r w:rsidR="00863DAB" w:rsidRPr="004A16D3">
        <w:rPr>
          <w:color w:val="222222"/>
          <w:shd w:val="clear" w:color="auto" w:fill="FFFFFF"/>
        </w:rPr>
        <w:t xml:space="preserve"> </w:t>
      </w:r>
      <w:r w:rsidR="00863DAB" w:rsidRPr="004A16D3">
        <w:rPr>
          <w:rStyle w:val="bibfname"/>
        </w:rPr>
        <w:t>BN</w:t>
      </w:r>
      <w:r w:rsidR="00863DAB" w:rsidRPr="004A16D3">
        <w:t>.</w:t>
      </w:r>
      <w:r w:rsidR="00863DAB" w:rsidRPr="004A16D3">
        <w:rPr>
          <w:color w:val="222222"/>
          <w:shd w:val="clear" w:color="auto" w:fill="FFFFFF"/>
        </w:rPr>
        <w:t xml:space="preserve"> </w:t>
      </w:r>
      <w:r w:rsidR="00863DAB" w:rsidRPr="004A16D3">
        <w:rPr>
          <w:rStyle w:val="bibarticle"/>
        </w:rPr>
        <w:t xml:space="preserve">Fenton </w:t>
      </w:r>
      <w:r w:rsidR="00FE7FD9" w:rsidRPr="004A16D3">
        <w:rPr>
          <w:rStyle w:val="bibarticle"/>
        </w:rPr>
        <w:t>third‐generation growth charts of preterm infants without abnormal fetal growth: a systematic review and meta‐analysis</w:t>
      </w:r>
      <w:r w:rsidR="00863DAB" w:rsidRPr="004A16D3">
        <w:rPr>
          <w:color w:val="222222"/>
          <w:shd w:val="clear" w:color="auto" w:fill="FFFFFF"/>
        </w:rPr>
        <w:t>.</w:t>
      </w:r>
      <w:r w:rsidR="007271EC" w:rsidRPr="004A16D3">
        <w:rPr>
          <w:color w:val="222222"/>
          <w:shd w:val="clear" w:color="auto" w:fill="FFFFFF"/>
        </w:rPr>
        <w:t xml:space="preserve"> </w:t>
      </w:r>
      <w:r w:rsidR="00863DAB" w:rsidRPr="004A16D3">
        <w:rPr>
          <w:rStyle w:val="bibjournal"/>
          <w:i/>
        </w:rPr>
        <w:t>Paediatr Perinat Epidemiol</w:t>
      </w:r>
      <w:r w:rsidR="00FE7FD9" w:rsidRPr="004A16D3">
        <w:t xml:space="preserve">. </w:t>
      </w:r>
      <w:r w:rsidR="00FE7FD9" w:rsidRPr="004A16D3">
        <w:rPr>
          <w:rStyle w:val="bibyear"/>
        </w:rPr>
        <w:t>2025</w:t>
      </w:r>
      <w:r w:rsidR="00A222FE" w:rsidRPr="004A16D3">
        <w:t>;</w:t>
      </w:r>
      <w:r w:rsidR="00A222FE" w:rsidRPr="004A16D3">
        <w:rPr>
          <w:rStyle w:val="bibvolume"/>
        </w:rPr>
        <w:t>39</w:t>
      </w:r>
      <w:r w:rsidR="00A222FE" w:rsidRPr="004A16D3">
        <w:t>(</w:t>
      </w:r>
      <w:r w:rsidR="00A222FE" w:rsidRPr="004A16D3">
        <w:rPr>
          <w:rStyle w:val="bibissue"/>
        </w:rPr>
        <w:t>6</w:t>
      </w:r>
      <w:r w:rsidR="00A222FE" w:rsidRPr="004A16D3">
        <w:t>):</w:t>
      </w:r>
      <w:r w:rsidR="00A222FE" w:rsidRPr="004A16D3">
        <w:rPr>
          <w:rStyle w:val="bibfpage"/>
        </w:rPr>
        <w:t>543</w:t>
      </w:r>
      <w:r w:rsidR="00A222FE" w:rsidRPr="004A16D3">
        <w:t>-</w:t>
      </w:r>
      <w:r w:rsidR="00A222FE" w:rsidRPr="004A16D3">
        <w:rPr>
          <w:rStyle w:val="biblpage"/>
        </w:rPr>
        <w:t>555</w:t>
      </w:r>
      <w:r w:rsidR="00FE7FD9" w:rsidRPr="004A16D3">
        <w:rPr>
          <w:color w:val="222222"/>
          <w:shd w:val="clear" w:color="auto" w:fill="FFFFFF"/>
        </w:rPr>
        <w:t>.</w:t>
      </w:r>
    </w:p>
    <w:p w:rsidR="00A70A93" w:rsidRPr="004A16D3" w:rsidRDefault="006B0720" w:rsidP="006B0720">
      <w:pPr>
        <w:pStyle w:val="REF-N"/>
        <w:widowControl w:val="0"/>
        <w:autoSpaceDE w:val="0"/>
        <w:autoSpaceDN w:val="0"/>
        <w:adjustRightInd w:val="0"/>
        <w:spacing w:line="480" w:lineRule="auto"/>
        <w:ind w:left="360" w:hanging="360"/>
        <w:rPr>
          <w:color w:val="222222"/>
          <w:shd w:val="clear" w:color="auto" w:fill="FFFFFF"/>
        </w:rPr>
      </w:pPr>
      <w:r w:rsidRPr="004A16D3">
        <w:rPr>
          <w:rStyle w:val="bibnumber"/>
        </w:rPr>
        <w:t>5</w:t>
      </w:r>
      <w:r w:rsidRPr="004A16D3">
        <w:rPr>
          <w:color w:val="222222"/>
        </w:rPr>
        <w:t>.</w:t>
      </w:r>
      <w:r w:rsidRPr="004A16D3">
        <w:rPr>
          <w:color w:val="222222"/>
        </w:rPr>
        <w:tab/>
      </w:r>
      <w:r w:rsidR="00863DAB" w:rsidRPr="004A16D3">
        <w:rPr>
          <w:rStyle w:val="bibsurname"/>
        </w:rPr>
        <w:t>Goldberg</w:t>
      </w:r>
      <w:r w:rsidR="00863DAB" w:rsidRPr="004A16D3">
        <w:rPr>
          <w:color w:val="222222"/>
          <w:shd w:val="clear" w:color="auto" w:fill="FFFFFF"/>
        </w:rPr>
        <w:t xml:space="preserve"> </w:t>
      </w:r>
      <w:r w:rsidR="00863DAB" w:rsidRPr="004A16D3">
        <w:rPr>
          <w:rStyle w:val="bibfname"/>
        </w:rPr>
        <w:t>DL</w:t>
      </w:r>
      <w:r w:rsidR="00863DAB" w:rsidRPr="004A16D3">
        <w:rPr>
          <w:color w:val="222222"/>
          <w:shd w:val="clear" w:color="auto" w:fill="FFFFFF"/>
        </w:rPr>
        <w:t xml:space="preserve">, </w:t>
      </w:r>
      <w:r w:rsidR="00863DAB" w:rsidRPr="004A16D3">
        <w:rPr>
          <w:rStyle w:val="bibsurname"/>
        </w:rPr>
        <w:t>Becker</w:t>
      </w:r>
      <w:r w:rsidR="00863DAB" w:rsidRPr="004A16D3">
        <w:rPr>
          <w:color w:val="222222"/>
          <w:shd w:val="clear" w:color="auto" w:fill="FFFFFF"/>
        </w:rPr>
        <w:t xml:space="preserve"> </w:t>
      </w:r>
      <w:r w:rsidR="00863DAB" w:rsidRPr="004A16D3">
        <w:rPr>
          <w:rStyle w:val="bibfname"/>
        </w:rPr>
        <w:t>PJ</w:t>
      </w:r>
      <w:r w:rsidR="00863DAB" w:rsidRPr="004A16D3">
        <w:rPr>
          <w:color w:val="222222"/>
          <w:shd w:val="clear" w:color="auto" w:fill="FFFFFF"/>
        </w:rPr>
        <w:t xml:space="preserve">, </w:t>
      </w:r>
      <w:r w:rsidR="00863DAB" w:rsidRPr="004A16D3">
        <w:rPr>
          <w:rStyle w:val="bibsurname"/>
        </w:rPr>
        <w:t>Brigham</w:t>
      </w:r>
      <w:r w:rsidR="00863DAB" w:rsidRPr="004A16D3">
        <w:rPr>
          <w:color w:val="222222"/>
          <w:shd w:val="clear" w:color="auto" w:fill="FFFFFF"/>
        </w:rPr>
        <w:t xml:space="preserve"> </w:t>
      </w:r>
      <w:r w:rsidR="00863DAB" w:rsidRPr="004A16D3">
        <w:rPr>
          <w:rStyle w:val="bibfname"/>
        </w:rPr>
        <w:t>K</w:t>
      </w:r>
      <w:r w:rsidR="00863DAB" w:rsidRPr="004A16D3">
        <w:rPr>
          <w:color w:val="222222"/>
          <w:shd w:val="clear" w:color="auto" w:fill="FFFFFF"/>
        </w:rPr>
        <w:t xml:space="preserve">, </w:t>
      </w:r>
      <w:r w:rsidR="003B1776" w:rsidRPr="004A16D3">
        <w:rPr>
          <w:rStyle w:val="bibetal"/>
        </w:rPr>
        <w:t>et al</w:t>
      </w:r>
      <w:r w:rsidR="00863DAB" w:rsidRPr="004A16D3">
        <w:t>.</w:t>
      </w:r>
      <w:r w:rsidR="00863DAB" w:rsidRPr="004A16D3">
        <w:rPr>
          <w:color w:val="222222"/>
          <w:shd w:val="clear" w:color="auto" w:fill="FFFFFF"/>
        </w:rPr>
        <w:t xml:space="preserve"> </w:t>
      </w:r>
      <w:r w:rsidR="00863DAB" w:rsidRPr="004A16D3">
        <w:rPr>
          <w:rStyle w:val="bibarticle"/>
        </w:rPr>
        <w:t xml:space="preserve">Identifying </w:t>
      </w:r>
      <w:r w:rsidR="003B1776" w:rsidRPr="004A16D3">
        <w:rPr>
          <w:rStyle w:val="bibarticle"/>
        </w:rPr>
        <w:t>malnutrition in preterm and neonatal populations: recommended indicators</w:t>
      </w:r>
      <w:r w:rsidR="00863DAB" w:rsidRPr="004A16D3">
        <w:rPr>
          <w:color w:val="222222"/>
          <w:shd w:val="clear" w:color="auto" w:fill="FFFFFF"/>
        </w:rPr>
        <w:t>.</w:t>
      </w:r>
      <w:r w:rsidR="00A222FE" w:rsidRPr="004A16D3">
        <w:rPr>
          <w:color w:val="222222"/>
          <w:shd w:val="clear" w:color="auto" w:fill="FFFFFF"/>
        </w:rPr>
        <w:t xml:space="preserve"> </w:t>
      </w:r>
      <w:r w:rsidR="00863DAB" w:rsidRPr="004A16D3">
        <w:rPr>
          <w:rStyle w:val="bibjournal"/>
          <w:i/>
        </w:rPr>
        <w:t>J</w:t>
      </w:r>
      <w:r w:rsidR="003B1776" w:rsidRPr="004A16D3">
        <w:rPr>
          <w:rStyle w:val="bibjournal"/>
          <w:i/>
        </w:rPr>
        <w:t xml:space="preserve"> </w:t>
      </w:r>
      <w:r w:rsidR="00863DAB" w:rsidRPr="004A16D3">
        <w:rPr>
          <w:rStyle w:val="bibjournal"/>
          <w:i/>
        </w:rPr>
        <w:t>Acad Nutr Diet</w:t>
      </w:r>
      <w:r w:rsidR="003B1776" w:rsidRPr="004A16D3">
        <w:rPr>
          <w:color w:val="222222"/>
          <w:shd w:val="clear" w:color="auto" w:fill="FFFFFF"/>
        </w:rPr>
        <w:t xml:space="preserve">. </w:t>
      </w:r>
      <w:r w:rsidR="00A222FE" w:rsidRPr="004A16D3">
        <w:rPr>
          <w:rStyle w:val="bibyear"/>
        </w:rPr>
        <w:t>2018</w:t>
      </w:r>
      <w:r w:rsidR="00A222FE" w:rsidRPr="004A16D3">
        <w:t>;</w:t>
      </w:r>
      <w:r w:rsidR="00863DAB" w:rsidRPr="004A16D3">
        <w:rPr>
          <w:rStyle w:val="bibvolume"/>
        </w:rPr>
        <w:t>118</w:t>
      </w:r>
      <w:r w:rsidR="00863DAB" w:rsidRPr="004A16D3">
        <w:rPr>
          <w:color w:val="222222"/>
          <w:shd w:val="clear" w:color="auto" w:fill="FFFFFF"/>
        </w:rPr>
        <w:t>(</w:t>
      </w:r>
      <w:r w:rsidR="00863DAB" w:rsidRPr="004A16D3">
        <w:rPr>
          <w:rStyle w:val="bibissue"/>
        </w:rPr>
        <w:t>9</w:t>
      </w:r>
      <w:r w:rsidR="00863DAB" w:rsidRPr="004A16D3">
        <w:rPr>
          <w:color w:val="222222"/>
          <w:shd w:val="clear" w:color="auto" w:fill="FFFFFF"/>
        </w:rPr>
        <w:t>)</w:t>
      </w:r>
      <w:r w:rsidR="003B1776" w:rsidRPr="004A16D3">
        <w:rPr>
          <w:color w:val="222222"/>
          <w:shd w:val="clear" w:color="auto" w:fill="FFFFFF"/>
        </w:rPr>
        <w:t>:</w:t>
      </w:r>
      <w:r w:rsidR="00863DAB" w:rsidRPr="004A16D3">
        <w:rPr>
          <w:rStyle w:val="bibfpage"/>
        </w:rPr>
        <w:t>1571</w:t>
      </w:r>
      <w:r w:rsidR="00863DAB" w:rsidRPr="004A16D3">
        <w:rPr>
          <w:color w:val="222222"/>
          <w:shd w:val="clear" w:color="auto" w:fill="FFFFFF"/>
        </w:rPr>
        <w:t>-</w:t>
      </w:r>
      <w:r w:rsidR="00863DAB" w:rsidRPr="004A16D3">
        <w:rPr>
          <w:rStyle w:val="biblpage"/>
        </w:rPr>
        <w:t>1582</w:t>
      </w:r>
      <w:r w:rsidR="00863DAB" w:rsidRPr="004A16D3">
        <w:rPr>
          <w:color w:val="222222"/>
          <w:shd w:val="clear" w:color="auto" w:fill="FFFFFF"/>
        </w:rPr>
        <w:t>.</w:t>
      </w:r>
    </w:p>
    <w:p w:rsidR="00A70A93" w:rsidRPr="004A16D3" w:rsidRDefault="006B0720" w:rsidP="006B0720">
      <w:pPr>
        <w:pStyle w:val="REF-N"/>
        <w:widowControl w:val="0"/>
        <w:autoSpaceDE w:val="0"/>
        <w:autoSpaceDN w:val="0"/>
        <w:adjustRightInd w:val="0"/>
        <w:spacing w:line="480" w:lineRule="auto"/>
        <w:ind w:left="360" w:hanging="360"/>
        <w:rPr>
          <w:color w:val="222222"/>
          <w:shd w:val="clear" w:color="auto" w:fill="FFFFFF"/>
        </w:rPr>
      </w:pPr>
      <w:r w:rsidRPr="004A16D3">
        <w:rPr>
          <w:rStyle w:val="bibnumber"/>
        </w:rPr>
        <w:t>6</w:t>
      </w:r>
      <w:r w:rsidRPr="004A16D3">
        <w:rPr>
          <w:color w:val="222222"/>
        </w:rPr>
        <w:t>.</w:t>
      </w:r>
      <w:r w:rsidRPr="004A16D3">
        <w:rPr>
          <w:color w:val="222222"/>
        </w:rPr>
        <w:tab/>
      </w:r>
      <w:r w:rsidR="00863DAB" w:rsidRPr="004A16D3">
        <w:rPr>
          <w:rStyle w:val="biborganization"/>
        </w:rPr>
        <w:t>Committee on Fetus and Newborn</w:t>
      </w:r>
      <w:r w:rsidR="00863DAB" w:rsidRPr="004A16D3">
        <w:rPr>
          <w:color w:val="222222"/>
          <w:shd w:val="clear" w:color="auto" w:fill="FFFFFF"/>
        </w:rPr>
        <w:t xml:space="preserve">. </w:t>
      </w:r>
      <w:r w:rsidR="00863DAB" w:rsidRPr="004A16D3">
        <w:rPr>
          <w:rStyle w:val="bibarticle"/>
        </w:rPr>
        <w:t>Age terminology during the perinatal period</w:t>
      </w:r>
      <w:r w:rsidR="00863DAB" w:rsidRPr="004A16D3">
        <w:rPr>
          <w:color w:val="222222"/>
          <w:shd w:val="clear" w:color="auto" w:fill="FFFFFF"/>
        </w:rPr>
        <w:t>.</w:t>
      </w:r>
      <w:r w:rsidR="00A222FE" w:rsidRPr="004A16D3">
        <w:rPr>
          <w:color w:val="222222"/>
          <w:shd w:val="clear" w:color="auto" w:fill="FFFFFF"/>
        </w:rPr>
        <w:t xml:space="preserve"> </w:t>
      </w:r>
      <w:r w:rsidR="00863DAB" w:rsidRPr="004A16D3">
        <w:rPr>
          <w:rStyle w:val="bibjournal"/>
          <w:i/>
        </w:rPr>
        <w:t>Pediatrics</w:t>
      </w:r>
      <w:r w:rsidR="005B42C1" w:rsidRPr="004A16D3">
        <w:rPr>
          <w:color w:val="222222"/>
          <w:shd w:val="clear" w:color="auto" w:fill="FFFFFF"/>
        </w:rPr>
        <w:t xml:space="preserve">. </w:t>
      </w:r>
      <w:r w:rsidR="005B42C1" w:rsidRPr="004A16D3">
        <w:rPr>
          <w:rStyle w:val="bibyear"/>
        </w:rPr>
        <w:t>2004</w:t>
      </w:r>
      <w:r w:rsidR="005B42C1" w:rsidRPr="004A16D3">
        <w:t>;</w:t>
      </w:r>
      <w:r w:rsidR="00863DAB" w:rsidRPr="004A16D3">
        <w:rPr>
          <w:rStyle w:val="bibvolume"/>
        </w:rPr>
        <w:t>114</w:t>
      </w:r>
      <w:r w:rsidR="00863DAB" w:rsidRPr="004A16D3">
        <w:rPr>
          <w:color w:val="222222"/>
          <w:shd w:val="clear" w:color="auto" w:fill="FFFFFF"/>
        </w:rPr>
        <w:t>(</w:t>
      </w:r>
      <w:r w:rsidR="00863DAB" w:rsidRPr="004A16D3">
        <w:rPr>
          <w:rStyle w:val="bibissue"/>
        </w:rPr>
        <w:t>5</w:t>
      </w:r>
      <w:r w:rsidR="00863DAB" w:rsidRPr="004A16D3">
        <w:rPr>
          <w:color w:val="222222"/>
          <w:shd w:val="clear" w:color="auto" w:fill="FFFFFF"/>
        </w:rPr>
        <w:t>)</w:t>
      </w:r>
      <w:r w:rsidR="005B42C1" w:rsidRPr="004A16D3">
        <w:rPr>
          <w:color w:val="222222"/>
          <w:shd w:val="clear" w:color="auto" w:fill="FFFFFF"/>
        </w:rPr>
        <w:t>:</w:t>
      </w:r>
      <w:r w:rsidR="00863DAB" w:rsidRPr="004A16D3">
        <w:rPr>
          <w:rStyle w:val="bibfpage"/>
        </w:rPr>
        <w:t>1362</w:t>
      </w:r>
      <w:r w:rsidR="00863DAB" w:rsidRPr="004A16D3">
        <w:rPr>
          <w:color w:val="222222"/>
          <w:shd w:val="clear" w:color="auto" w:fill="FFFFFF"/>
        </w:rPr>
        <w:t>-</w:t>
      </w:r>
      <w:r w:rsidR="00863DAB" w:rsidRPr="004A16D3">
        <w:rPr>
          <w:rStyle w:val="biblpage"/>
        </w:rPr>
        <w:t>1364</w:t>
      </w:r>
      <w:r w:rsidR="00863DAB" w:rsidRPr="004A16D3">
        <w:rPr>
          <w:color w:val="222222"/>
          <w:shd w:val="clear" w:color="auto" w:fill="FFFFFF"/>
        </w:rPr>
        <w:t>.</w:t>
      </w:r>
    </w:p>
    <w:p w:rsidR="00A70A93" w:rsidRPr="004A16D3" w:rsidRDefault="006B0720" w:rsidP="006B0720">
      <w:pPr>
        <w:pStyle w:val="REF-N"/>
        <w:widowControl w:val="0"/>
        <w:autoSpaceDE w:val="0"/>
        <w:autoSpaceDN w:val="0"/>
        <w:adjustRightInd w:val="0"/>
        <w:spacing w:line="480" w:lineRule="auto"/>
        <w:ind w:left="360" w:hanging="360"/>
        <w:rPr>
          <w:color w:val="222222"/>
          <w:shd w:val="clear" w:color="auto" w:fill="FFFFFF"/>
        </w:rPr>
      </w:pPr>
      <w:r w:rsidRPr="004A16D3">
        <w:rPr>
          <w:rStyle w:val="bibnumber"/>
        </w:rPr>
        <w:t>7</w:t>
      </w:r>
      <w:r w:rsidRPr="004A16D3">
        <w:rPr>
          <w:color w:val="222222"/>
        </w:rPr>
        <w:t>.</w:t>
      </w:r>
      <w:r w:rsidRPr="004A16D3">
        <w:rPr>
          <w:color w:val="222222"/>
        </w:rPr>
        <w:tab/>
      </w:r>
      <w:r w:rsidR="00863DAB" w:rsidRPr="004A16D3">
        <w:rPr>
          <w:rStyle w:val="bibsurname"/>
        </w:rPr>
        <w:t>Thoene</w:t>
      </w:r>
      <w:r w:rsidR="00863DAB" w:rsidRPr="004A16D3">
        <w:rPr>
          <w:color w:val="222222"/>
          <w:shd w:val="clear" w:color="auto" w:fill="FFFFFF"/>
        </w:rPr>
        <w:t xml:space="preserve"> </w:t>
      </w:r>
      <w:r w:rsidR="00863DAB" w:rsidRPr="004A16D3">
        <w:rPr>
          <w:rStyle w:val="bibfname"/>
        </w:rPr>
        <w:t>M</w:t>
      </w:r>
      <w:r w:rsidR="005B42C1" w:rsidRPr="004A16D3">
        <w:rPr>
          <w:rStyle w:val="bibfname"/>
        </w:rPr>
        <w:t>,</w:t>
      </w:r>
      <w:r w:rsidR="00863DAB" w:rsidRPr="004A16D3">
        <w:rPr>
          <w:color w:val="222222"/>
          <w:shd w:val="clear" w:color="auto" w:fill="FFFFFF"/>
        </w:rPr>
        <w:t xml:space="preserve"> </w:t>
      </w:r>
      <w:r w:rsidR="00863DAB" w:rsidRPr="004A16D3">
        <w:rPr>
          <w:rStyle w:val="bibsurname"/>
        </w:rPr>
        <w:t>Anderson-Berry</w:t>
      </w:r>
      <w:r w:rsidR="00863DAB" w:rsidRPr="004A16D3">
        <w:rPr>
          <w:color w:val="222222"/>
          <w:shd w:val="clear" w:color="auto" w:fill="FFFFFF"/>
        </w:rPr>
        <w:t xml:space="preserve"> </w:t>
      </w:r>
      <w:r w:rsidR="00863DAB" w:rsidRPr="004A16D3">
        <w:rPr>
          <w:rStyle w:val="bibfname"/>
        </w:rPr>
        <w:t>A.</w:t>
      </w:r>
      <w:r w:rsidR="00863DAB" w:rsidRPr="004A16D3">
        <w:rPr>
          <w:color w:val="222222"/>
          <w:shd w:val="clear" w:color="auto" w:fill="FFFFFF"/>
        </w:rPr>
        <w:t xml:space="preserve"> </w:t>
      </w:r>
      <w:r w:rsidR="00863DAB" w:rsidRPr="004A16D3">
        <w:rPr>
          <w:rStyle w:val="bibarticle"/>
        </w:rPr>
        <w:t>Early enteral feeding in preterm infants: a narrative review of the nutritional, metabolic, and developmental benefits</w:t>
      </w:r>
      <w:r w:rsidR="00863DAB" w:rsidRPr="004A16D3">
        <w:rPr>
          <w:color w:val="222222"/>
          <w:shd w:val="clear" w:color="auto" w:fill="FFFFFF"/>
        </w:rPr>
        <w:t>.</w:t>
      </w:r>
      <w:r w:rsidR="00A222FE" w:rsidRPr="004A16D3">
        <w:rPr>
          <w:color w:val="222222"/>
          <w:shd w:val="clear" w:color="auto" w:fill="FFFFFF"/>
        </w:rPr>
        <w:t xml:space="preserve"> </w:t>
      </w:r>
      <w:r w:rsidR="00863DAB" w:rsidRPr="004A16D3">
        <w:rPr>
          <w:rStyle w:val="bibjournal"/>
          <w:i/>
        </w:rPr>
        <w:t>Nutrients</w:t>
      </w:r>
      <w:r w:rsidR="005B42C1" w:rsidRPr="004A16D3">
        <w:rPr>
          <w:color w:val="222222"/>
          <w:shd w:val="clear" w:color="auto" w:fill="FFFFFF"/>
        </w:rPr>
        <w:t xml:space="preserve">. </w:t>
      </w:r>
      <w:r w:rsidR="005B42C1" w:rsidRPr="004A16D3">
        <w:rPr>
          <w:rStyle w:val="bibyear"/>
        </w:rPr>
        <w:t>2021</w:t>
      </w:r>
      <w:r w:rsidR="005B42C1" w:rsidRPr="004A16D3">
        <w:rPr>
          <w:color w:val="222222"/>
          <w:shd w:val="clear" w:color="auto" w:fill="FFFFFF"/>
        </w:rPr>
        <w:t>;</w:t>
      </w:r>
      <w:r w:rsidR="00863DAB" w:rsidRPr="004A16D3">
        <w:rPr>
          <w:rStyle w:val="bibvolume"/>
        </w:rPr>
        <w:t>13</w:t>
      </w:r>
      <w:r w:rsidR="00863DAB" w:rsidRPr="004A16D3">
        <w:rPr>
          <w:color w:val="222222"/>
          <w:shd w:val="clear" w:color="auto" w:fill="FFFFFF"/>
        </w:rPr>
        <w:t>(</w:t>
      </w:r>
      <w:r w:rsidR="00863DAB" w:rsidRPr="004A16D3">
        <w:rPr>
          <w:rStyle w:val="bibissue"/>
        </w:rPr>
        <w:t>7</w:t>
      </w:r>
      <w:r w:rsidR="00863DAB" w:rsidRPr="004A16D3">
        <w:rPr>
          <w:color w:val="222222"/>
          <w:shd w:val="clear" w:color="auto" w:fill="FFFFFF"/>
        </w:rPr>
        <w:t>)</w:t>
      </w:r>
      <w:r w:rsidR="005B42C1" w:rsidRPr="004A16D3">
        <w:rPr>
          <w:color w:val="222222"/>
          <w:shd w:val="clear" w:color="auto" w:fill="FFFFFF"/>
        </w:rPr>
        <w:t>:</w:t>
      </w:r>
      <w:commentRangeStart w:id="4"/>
      <w:r w:rsidR="00863DAB" w:rsidRPr="004A16D3">
        <w:rPr>
          <w:rStyle w:val="bibfpage"/>
        </w:rPr>
        <w:t>2289</w:t>
      </w:r>
      <w:commentRangeEnd w:id="4"/>
      <w:r w:rsidR="00184B69" w:rsidRPr="004A16D3">
        <w:rPr>
          <w:rStyle w:val="CommentReference"/>
          <w:rFonts w:ascii="Calibri" w:eastAsia="Calibri" w:hAnsi="Calibri"/>
          <w:szCs w:val="22"/>
          <w:lang w:val="en-IN"/>
        </w:rPr>
        <w:commentReference w:id="4"/>
      </w:r>
      <w:r w:rsidR="00863DAB" w:rsidRPr="004A16D3">
        <w:rPr>
          <w:color w:val="222222"/>
          <w:shd w:val="clear" w:color="auto" w:fill="FFFFFF"/>
        </w:rPr>
        <w:t>.</w:t>
      </w:r>
    </w:p>
    <w:p w:rsidR="00A70A93" w:rsidRPr="004A16D3" w:rsidRDefault="006B0720" w:rsidP="006B0720">
      <w:pPr>
        <w:pStyle w:val="REF-N"/>
        <w:widowControl w:val="0"/>
        <w:autoSpaceDE w:val="0"/>
        <w:autoSpaceDN w:val="0"/>
        <w:adjustRightInd w:val="0"/>
        <w:spacing w:line="480" w:lineRule="auto"/>
        <w:ind w:left="360" w:hanging="360"/>
        <w:rPr>
          <w:color w:val="222222"/>
          <w:shd w:val="clear" w:color="auto" w:fill="FFFFFF"/>
        </w:rPr>
      </w:pPr>
      <w:r w:rsidRPr="004A16D3">
        <w:rPr>
          <w:rStyle w:val="bibnumber"/>
        </w:rPr>
        <w:t>8</w:t>
      </w:r>
      <w:r w:rsidRPr="004A16D3">
        <w:rPr>
          <w:color w:val="222222"/>
        </w:rPr>
        <w:t>.</w:t>
      </w:r>
      <w:r w:rsidRPr="004A16D3">
        <w:rPr>
          <w:color w:val="222222"/>
        </w:rPr>
        <w:tab/>
      </w:r>
      <w:r w:rsidR="00863DAB" w:rsidRPr="004A16D3">
        <w:rPr>
          <w:rStyle w:val="bibsurname"/>
        </w:rPr>
        <w:t>Abiramalatha</w:t>
      </w:r>
      <w:r w:rsidR="00863DAB" w:rsidRPr="004A16D3">
        <w:rPr>
          <w:color w:val="222222"/>
          <w:shd w:val="clear" w:color="auto" w:fill="FFFFFF"/>
        </w:rPr>
        <w:t xml:space="preserve"> </w:t>
      </w:r>
      <w:r w:rsidR="00863DAB" w:rsidRPr="004A16D3">
        <w:rPr>
          <w:rStyle w:val="bibfname"/>
        </w:rPr>
        <w:t>T</w:t>
      </w:r>
      <w:r w:rsidR="00374F85" w:rsidRPr="004A16D3">
        <w:rPr>
          <w:color w:val="222222"/>
          <w:shd w:val="clear" w:color="auto" w:fill="FFFFFF"/>
        </w:rPr>
        <w:t>,</w:t>
      </w:r>
      <w:r w:rsidR="00863DAB" w:rsidRPr="004A16D3">
        <w:rPr>
          <w:color w:val="222222"/>
          <w:shd w:val="clear" w:color="auto" w:fill="FFFFFF"/>
        </w:rPr>
        <w:t xml:space="preserve"> </w:t>
      </w:r>
      <w:r w:rsidR="00863DAB" w:rsidRPr="004A16D3">
        <w:rPr>
          <w:rStyle w:val="bibsurname"/>
        </w:rPr>
        <w:t>Thanigainathan</w:t>
      </w:r>
      <w:r w:rsidR="00863DAB" w:rsidRPr="004A16D3">
        <w:rPr>
          <w:color w:val="222222"/>
          <w:shd w:val="clear" w:color="auto" w:fill="FFFFFF"/>
        </w:rPr>
        <w:t xml:space="preserve"> </w:t>
      </w:r>
      <w:r w:rsidR="00863DAB" w:rsidRPr="004A16D3">
        <w:rPr>
          <w:rStyle w:val="bibfname"/>
        </w:rPr>
        <w:t>S</w:t>
      </w:r>
      <w:r w:rsidR="00374F85" w:rsidRPr="004A16D3">
        <w:rPr>
          <w:color w:val="222222"/>
          <w:shd w:val="clear" w:color="auto" w:fill="FFFFFF"/>
        </w:rPr>
        <w:t>,</w:t>
      </w:r>
      <w:r w:rsidR="00863DAB" w:rsidRPr="004A16D3">
        <w:rPr>
          <w:color w:val="222222"/>
          <w:shd w:val="clear" w:color="auto" w:fill="FFFFFF"/>
        </w:rPr>
        <w:t xml:space="preserve"> </w:t>
      </w:r>
      <w:r w:rsidR="00863DAB" w:rsidRPr="004A16D3">
        <w:rPr>
          <w:rStyle w:val="bibsurname"/>
        </w:rPr>
        <w:t>Ninan</w:t>
      </w:r>
      <w:r w:rsidR="00863DAB" w:rsidRPr="004A16D3">
        <w:rPr>
          <w:color w:val="222222"/>
          <w:shd w:val="clear" w:color="auto" w:fill="FFFFFF"/>
        </w:rPr>
        <w:t xml:space="preserve"> </w:t>
      </w:r>
      <w:r w:rsidR="00863DAB" w:rsidRPr="004A16D3">
        <w:rPr>
          <w:rStyle w:val="bibfname"/>
        </w:rPr>
        <w:t>B.</w:t>
      </w:r>
      <w:r w:rsidR="00863DAB" w:rsidRPr="004A16D3">
        <w:rPr>
          <w:color w:val="222222"/>
          <w:shd w:val="clear" w:color="auto" w:fill="FFFFFF"/>
        </w:rPr>
        <w:t xml:space="preserve"> </w:t>
      </w:r>
      <w:r w:rsidR="00863DAB" w:rsidRPr="004A16D3">
        <w:rPr>
          <w:rStyle w:val="bibarticle"/>
        </w:rPr>
        <w:t xml:space="preserve">Routine </w:t>
      </w:r>
      <w:r w:rsidR="00374F85" w:rsidRPr="004A16D3">
        <w:rPr>
          <w:rStyle w:val="bibarticle"/>
        </w:rPr>
        <w:t>monitoring of gastric residual for prevention of necrotising enterocolitis in preterm infants</w:t>
      </w:r>
      <w:r w:rsidR="00863DAB" w:rsidRPr="004A16D3">
        <w:rPr>
          <w:rStyle w:val="bibtitle"/>
          <w:color w:val="222222"/>
          <w:shd w:val="clear" w:color="auto" w:fill="FFFFFF"/>
        </w:rPr>
        <w:t>.</w:t>
      </w:r>
      <w:r w:rsidR="00A222FE" w:rsidRPr="004A16D3">
        <w:rPr>
          <w:rStyle w:val="bibtitle"/>
          <w:color w:val="222222"/>
          <w:shd w:val="clear" w:color="auto" w:fill="FFFFFF"/>
        </w:rPr>
        <w:t xml:space="preserve"> </w:t>
      </w:r>
      <w:r w:rsidR="00863DAB" w:rsidRPr="004A16D3">
        <w:rPr>
          <w:rStyle w:val="bibjournal"/>
          <w:i/>
        </w:rPr>
        <w:t>Cochrane Database Syst Rev</w:t>
      </w:r>
      <w:r w:rsidR="00863DAB" w:rsidRPr="004A16D3">
        <w:rPr>
          <w:shd w:val="clear" w:color="auto" w:fill="FFFFFF"/>
        </w:rPr>
        <w:t>.</w:t>
      </w:r>
      <w:r w:rsidR="00374F85" w:rsidRPr="004A16D3">
        <w:rPr>
          <w:color w:val="222222"/>
          <w:shd w:val="clear" w:color="auto" w:fill="FFFFFF"/>
        </w:rPr>
        <w:t xml:space="preserve"> </w:t>
      </w:r>
      <w:r w:rsidR="00863DAB" w:rsidRPr="004A16D3">
        <w:rPr>
          <w:rStyle w:val="bibyear"/>
        </w:rPr>
        <w:t>2019</w:t>
      </w:r>
      <w:r w:rsidR="00374F85" w:rsidRPr="004A16D3">
        <w:rPr>
          <w:color w:val="222222"/>
          <w:shd w:val="clear" w:color="auto" w:fill="FFFFFF"/>
        </w:rPr>
        <w:t>;</w:t>
      </w:r>
      <w:r w:rsidR="00863DAB" w:rsidRPr="004A16D3">
        <w:rPr>
          <w:rStyle w:val="bibvolume"/>
        </w:rPr>
        <w:t>7</w:t>
      </w:r>
      <w:r w:rsidR="00374F85" w:rsidRPr="004A16D3">
        <w:rPr>
          <w:color w:val="222222"/>
          <w:shd w:val="clear" w:color="auto" w:fill="FFFFFF"/>
        </w:rPr>
        <w:t>:</w:t>
      </w:r>
      <w:r w:rsidR="00863DAB" w:rsidRPr="004A16D3">
        <w:rPr>
          <w:rStyle w:val="bibfpage"/>
        </w:rPr>
        <w:t>CD012937</w:t>
      </w:r>
      <w:r w:rsidR="00863DAB" w:rsidRPr="004A16D3">
        <w:rPr>
          <w:color w:val="222222"/>
          <w:shd w:val="clear" w:color="auto" w:fill="FFFFFF"/>
        </w:rPr>
        <w:t>.</w:t>
      </w:r>
    </w:p>
    <w:p w:rsidR="00A70A93" w:rsidRPr="004A16D3" w:rsidRDefault="006B0720" w:rsidP="006B0720">
      <w:pPr>
        <w:pStyle w:val="REF-N"/>
        <w:widowControl w:val="0"/>
        <w:autoSpaceDE w:val="0"/>
        <w:autoSpaceDN w:val="0"/>
        <w:adjustRightInd w:val="0"/>
        <w:spacing w:line="480" w:lineRule="auto"/>
        <w:ind w:left="360" w:hanging="360"/>
        <w:rPr>
          <w:color w:val="222222"/>
          <w:shd w:val="clear" w:color="auto" w:fill="FFFFFF"/>
        </w:rPr>
      </w:pPr>
      <w:r w:rsidRPr="004A16D3">
        <w:rPr>
          <w:rStyle w:val="bibnumber"/>
        </w:rPr>
        <w:t>9</w:t>
      </w:r>
      <w:r w:rsidRPr="004A16D3">
        <w:rPr>
          <w:color w:val="222222"/>
        </w:rPr>
        <w:t>.</w:t>
      </w:r>
      <w:r w:rsidRPr="004A16D3">
        <w:rPr>
          <w:color w:val="222222"/>
        </w:rPr>
        <w:tab/>
      </w:r>
      <w:r w:rsidR="00863DAB" w:rsidRPr="004A16D3">
        <w:rPr>
          <w:rStyle w:val="bibsurname"/>
        </w:rPr>
        <w:t>Bergner</w:t>
      </w:r>
      <w:r w:rsidR="00863DAB" w:rsidRPr="004A16D3">
        <w:rPr>
          <w:color w:val="222222"/>
          <w:shd w:val="clear" w:color="auto" w:fill="FFFFFF"/>
        </w:rPr>
        <w:t xml:space="preserve"> </w:t>
      </w:r>
      <w:r w:rsidR="00863DAB" w:rsidRPr="004A16D3">
        <w:rPr>
          <w:rStyle w:val="bibfname"/>
        </w:rPr>
        <w:t>EM</w:t>
      </w:r>
      <w:r w:rsidR="00863DAB" w:rsidRPr="004A16D3">
        <w:rPr>
          <w:color w:val="222222"/>
          <w:shd w:val="clear" w:color="auto" w:fill="FFFFFF"/>
        </w:rPr>
        <w:t xml:space="preserve">, </w:t>
      </w:r>
      <w:r w:rsidR="00863DAB" w:rsidRPr="004A16D3">
        <w:rPr>
          <w:rStyle w:val="bibsurname"/>
        </w:rPr>
        <w:t>Taylor</w:t>
      </w:r>
      <w:r w:rsidR="00863DAB" w:rsidRPr="004A16D3">
        <w:rPr>
          <w:color w:val="222222"/>
          <w:shd w:val="clear" w:color="auto" w:fill="FFFFFF"/>
        </w:rPr>
        <w:t xml:space="preserve"> </w:t>
      </w:r>
      <w:r w:rsidR="00863DAB" w:rsidRPr="004A16D3">
        <w:rPr>
          <w:rStyle w:val="bibfname"/>
        </w:rPr>
        <w:t>SN</w:t>
      </w:r>
      <w:r w:rsidR="00863DAB" w:rsidRPr="004A16D3">
        <w:rPr>
          <w:color w:val="222222"/>
          <w:shd w:val="clear" w:color="auto" w:fill="FFFFFF"/>
        </w:rPr>
        <w:t xml:space="preserve">, </w:t>
      </w:r>
      <w:r w:rsidR="00863DAB" w:rsidRPr="004A16D3">
        <w:rPr>
          <w:rStyle w:val="bibsurname"/>
        </w:rPr>
        <w:t>Gollins</w:t>
      </w:r>
      <w:r w:rsidR="00863DAB" w:rsidRPr="004A16D3">
        <w:rPr>
          <w:color w:val="222222"/>
          <w:shd w:val="clear" w:color="auto" w:fill="FFFFFF"/>
        </w:rPr>
        <w:t xml:space="preserve"> </w:t>
      </w:r>
      <w:r w:rsidR="00863DAB" w:rsidRPr="004A16D3">
        <w:rPr>
          <w:rStyle w:val="bibfname"/>
        </w:rPr>
        <w:t>LA</w:t>
      </w:r>
      <w:r w:rsidR="009B47C4" w:rsidRPr="004A16D3">
        <w:rPr>
          <w:rStyle w:val="bibfname"/>
        </w:rPr>
        <w:t>,</w:t>
      </w:r>
      <w:r w:rsidR="00863DAB" w:rsidRPr="004A16D3">
        <w:rPr>
          <w:color w:val="222222"/>
          <w:shd w:val="clear" w:color="auto" w:fill="FFFFFF"/>
        </w:rPr>
        <w:t xml:space="preserve"> </w:t>
      </w:r>
      <w:r w:rsidR="00863DAB" w:rsidRPr="004A16D3">
        <w:rPr>
          <w:rStyle w:val="bibsurname"/>
        </w:rPr>
        <w:t>Hair</w:t>
      </w:r>
      <w:r w:rsidR="00863DAB" w:rsidRPr="004A16D3">
        <w:rPr>
          <w:color w:val="222222"/>
          <w:shd w:val="clear" w:color="auto" w:fill="FFFFFF"/>
        </w:rPr>
        <w:t xml:space="preserve"> </w:t>
      </w:r>
      <w:r w:rsidR="00863DAB" w:rsidRPr="004A16D3">
        <w:rPr>
          <w:rStyle w:val="bibfname"/>
        </w:rPr>
        <w:t>AB.</w:t>
      </w:r>
      <w:r w:rsidR="00863DAB" w:rsidRPr="004A16D3">
        <w:rPr>
          <w:color w:val="222222"/>
          <w:shd w:val="clear" w:color="auto" w:fill="FFFFFF"/>
        </w:rPr>
        <w:t xml:space="preserve"> </w:t>
      </w:r>
      <w:r w:rsidR="00863DAB" w:rsidRPr="004A16D3">
        <w:rPr>
          <w:rStyle w:val="bibarticle"/>
        </w:rPr>
        <w:t>Human milk fortification: a practical analysis of current evidence</w:t>
      </w:r>
      <w:r w:rsidR="00863DAB" w:rsidRPr="004A16D3">
        <w:rPr>
          <w:color w:val="222222"/>
          <w:shd w:val="clear" w:color="auto" w:fill="FFFFFF"/>
        </w:rPr>
        <w:t>.</w:t>
      </w:r>
      <w:r w:rsidR="00A222FE" w:rsidRPr="004A16D3">
        <w:rPr>
          <w:color w:val="222222"/>
          <w:shd w:val="clear" w:color="auto" w:fill="FFFFFF"/>
        </w:rPr>
        <w:t xml:space="preserve"> </w:t>
      </w:r>
      <w:r w:rsidR="00863DAB" w:rsidRPr="004A16D3">
        <w:rPr>
          <w:rStyle w:val="bibjournal"/>
          <w:i/>
        </w:rPr>
        <w:t xml:space="preserve">Clin </w:t>
      </w:r>
      <w:r w:rsidR="00F90342" w:rsidRPr="004A16D3">
        <w:rPr>
          <w:rStyle w:val="bibjournal"/>
          <w:i/>
        </w:rPr>
        <w:t>P</w:t>
      </w:r>
      <w:r w:rsidR="00863DAB" w:rsidRPr="004A16D3">
        <w:rPr>
          <w:rStyle w:val="bibjournal"/>
          <w:i/>
        </w:rPr>
        <w:t>erinatol</w:t>
      </w:r>
      <w:r w:rsidR="00F90342" w:rsidRPr="004A16D3">
        <w:rPr>
          <w:color w:val="222222"/>
          <w:shd w:val="clear" w:color="auto" w:fill="FFFFFF"/>
        </w:rPr>
        <w:t xml:space="preserve">. </w:t>
      </w:r>
      <w:r w:rsidR="009B47C4" w:rsidRPr="004A16D3">
        <w:rPr>
          <w:rStyle w:val="bibyear"/>
        </w:rPr>
        <w:t>2022</w:t>
      </w:r>
      <w:r w:rsidR="009B47C4" w:rsidRPr="004A16D3">
        <w:rPr>
          <w:color w:val="222222"/>
          <w:shd w:val="clear" w:color="auto" w:fill="FFFFFF"/>
        </w:rPr>
        <w:t>;</w:t>
      </w:r>
      <w:r w:rsidR="00863DAB" w:rsidRPr="004A16D3">
        <w:rPr>
          <w:rStyle w:val="bibvolume"/>
        </w:rPr>
        <w:t>49</w:t>
      </w:r>
      <w:r w:rsidR="00863DAB" w:rsidRPr="004A16D3">
        <w:rPr>
          <w:color w:val="222222"/>
          <w:shd w:val="clear" w:color="auto" w:fill="FFFFFF"/>
        </w:rPr>
        <w:t>(</w:t>
      </w:r>
      <w:r w:rsidR="00863DAB" w:rsidRPr="004A16D3">
        <w:rPr>
          <w:rStyle w:val="bibissue"/>
        </w:rPr>
        <w:t>2</w:t>
      </w:r>
      <w:r w:rsidR="00863DAB" w:rsidRPr="004A16D3">
        <w:rPr>
          <w:color w:val="222222"/>
          <w:shd w:val="clear" w:color="auto" w:fill="FFFFFF"/>
        </w:rPr>
        <w:t>)</w:t>
      </w:r>
      <w:r w:rsidR="009B47C4" w:rsidRPr="004A16D3">
        <w:rPr>
          <w:color w:val="222222"/>
          <w:shd w:val="clear" w:color="auto" w:fill="FFFFFF"/>
        </w:rPr>
        <w:t>:</w:t>
      </w:r>
      <w:r w:rsidR="00863DAB" w:rsidRPr="004A16D3">
        <w:rPr>
          <w:rStyle w:val="bibfpage"/>
        </w:rPr>
        <w:t>447</w:t>
      </w:r>
      <w:r w:rsidR="00863DAB" w:rsidRPr="004A16D3">
        <w:rPr>
          <w:color w:val="222222"/>
          <w:shd w:val="clear" w:color="auto" w:fill="FFFFFF"/>
        </w:rPr>
        <w:t>-</w:t>
      </w:r>
      <w:r w:rsidR="00863DAB" w:rsidRPr="004A16D3">
        <w:rPr>
          <w:rStyle w:val="biblpage"/>
        </w:rPr>
        <w:t>460</w:t>
      </w:r>
      <w:r w:rsidR="00863DAB" w:rsidRPr="004A16D3">
        <w:rPr>
          <w:color w:val="222222"/>
          <w:shd w:val="clear" w:color="auto" w:fill="FFFFFF"/>
        </w:rPr>
        <w:t>.</w:t>
      </w:r>
    </w:p>
    <w:p w:rsidR="00A70A93" w:rsidRPr="004A16D3" w:rsidRDefault="006B0720" w:rsidP="006B0720">
      <w:pPr>
        <w:pStyle w:val="REF-N"/>
        <w:widowControl w:val="0"/>
        <w:autoSpaceDE w:val="0"/>
        <w:autoSpaceDN w:val="0"/>
        <w:adjustRightInd w:val="0"/>
        <w:spacing w:line="480" w:lineRule="auto"/>
        <w:ind w:left="360" w:hanging="360"/>
        <w:rPr>
          <w:color w:val="222222"/>
          <w:shd w:val="clear" w:color="auto" w:fill="FFFFFF"/>
        </w:rPr>
      </w:pPr>
      <w:r w:rsidRPr="004A16D3">
        <w:rPr>
          <w:rStyle w:val="bibnumber"/>
        </w:rPr>
        <w:t>10</w:t>
      </w:r>
      <w:r w:rsidRPr="004A16D3">
        <w:rPr>
          <w:color w:val="222222"/>
        </w:rPr>
        <w:t>.</w:t>
      </w:r>
      <w:r w:rsidRPr="004A16D3">
        <w:rPr>
          <w:color w:val="222222"/>
        </w:rPr>
        <w:tab/>
      </w:r>
      <w:r w:rsidR="00863DAB" w:rsidRPr="004A16D3">
        <w:rPr>
          <w:rStyle w:val="bibsurname"/>
        </w:rPr>
        <w:t>Meek</w:t>
      </w:r>
      <w:r w:rsidR="00863DAB" w:rsidRPr="004A16D3">
        <w:rPr>
          <w:color w:val="222222"/>
          <w:shd w:val="clear" w:color="auto" w:fill="FFFFFF"/>
        </w:rPr>
        <w:t xml:space="preserve"> </w:t>
      </w:r>
      <w:r w:rsidR="00863DAB" w:rsidRPr="004A16D3">
        <w:rPr>
          <w:rStyle w:val="bibfname"/>
        </w:rPr>
        <w:t>JY</w:t>
      </w:r>
      <w:r w:rsidR="00863DAB" w:rsidRPr="004A16D3">
        <w:rPr>
          <w:color w:val="222222"/>
          <w:shd w:val="clear" w:color="auto" w:fill="FFFFFF"/>
        </w:rPr>
        <w:t xml:space="preserve">, </w:t>
      </w:r>
      <w:r w:rsidR="00863DAB" w:rsidRPr="004A16D3">
        <w:rPr>
          <w:rStyle w:val="bibsurname"/>
        </w:rPr>
        <w:t>Noble</w:t>
      </w:r>
      <w:r w:rsidR="00863DAB" w:rsidRPr="004A16D3">
        <w:rPr>
          <w:color w:val="222222"/>
          <w:shd w:val="clear" w:color="auto" w:fill="FFFFFF"/>
        </w:rPr>
        <w:t xml:space="preserve"> </w:t>
      </w:r>
      <w:r w:rsidR="00863DAB" w:rsidRPr="004A16D3">
        <w:rPr>
          <w:rStyle w:val="bibfname"/>
        </w:rPr>
        <w:t>L</w:t>
      </w:r>
      <w:r w:rsidR="00F90342" w:rsidRPr="004A16D3">
        <w:rPr>
          <w:rStyle w:val="bibfname"/>
        </w:rPr>
        <w:t>,</w:t>
      </w:r>
      <w:r w:rsidR="00863DAB" w:rsidRPr="004A16D3">
        <w:rPr>
          <w:color w:val="222222"/>
          <w:shd w:val="clear" w:color="auto" w:fill="FFFFFF"/>
        </w:rPr>
        <w:t xml:space="preserve"> </w:t>
      </w:r>
      <w:r w:rsidR="00863DAB" w:rsidRPr="004A16D3">
        <w:rPr>
          <w:rStyle w:val="biborganization"/>
        </w:rPr>
        <w:t>Section on Breastfeeding</w:t>
      </w:r>
      <w:r w:rsidR="00863DAB" w:rsidRPr="004A16D3">
        <w:rPr>
          <w:color w:val="222222"/>
          <w:shd w:val="clear" w:color="auto" w:fill="FFFFFF"/>
        </w:rPr>
        <w:t xml:space="preserve">. </w:t>
      </w:r>
      <w:r w:rsidR="00863DAB" w:rsidRPr="004A16D3">
        <w:rPr>
          <w:rStyle w:val="bibarticle"/>
        </w:rPr>
        <w:t>Policy statement: breastfeeding and the use of human milk</w:t>
      </w:r>
      <w:r w:rsidR="00863DAB" w:rsidRPr="004A16D3">
        <w:rPr>
          <w:color w:val="222222"/>
          <w:shd w:val="clear" w:color="auto" w:fill="FFFFFF"/>
        </w:rPr>
        <w:t>.</w:t>
      </w:r>
      <w:r w:rsidR="00F90342" w:rsidRPr="004A16D3">
        <w:rPr>
          <w:color w:val="222222"/>
          <w:shd w:val="clear" w:color="auto" w:fill="FFFFFF"/>
        </w:rPr>
        <w:t xml:space="preserve"> </w:t>
      </w:r>
      <w:r w:rsidR="00863DAB" w:rsidRPr="004A16D3">
        <w:rPr>
          <w:rStyle w:val="bibjournal"/>
          <w:i/>
        </w:rPr>
        <w:t>Pediatrics</w:t>
      </w:r>
      <w:r w:rsidR="00F90342" w:rsidRPr="004A16D3">
        <w:rPr>
          <w:color w:val="222222"/>
          <w:shd w:val="clear" w:color="auto" w:fill="FFFFFF"/>
        </w:rPr>
        <w:t xml:space="preserve">. </w:t>
      </w:r>
      <w:r w:rsidR="00F90342" w:rsidRPr="004A16D3">
        <w:rPr>
          <w:rStyle w:val="bibyear"/>
        </w:rPr>
        <w:t>2022</w:t>
      </w:r>
      <w:r w:rsidR="00F90342" w:rsidRPr="004A16D3">
        <w:t>;</w:t>
      </w:r>
      <w:r w:rsidR="00863DAB" w:rsidRPr="004A16D3">
        <w:rPr>
          <w:rStyle w:val="bibvolume"/>
        </w:rPr>
        <w:t>150</w:t>
      </w:r>
      <w:r w:rsidR="00863DAB" w:rsidRPr="004A16D3">
        <w:rPr>
          <w:color w:val="222222"/>
          <w:shd w:val="clear" w:color="auto" w:fill="FFFFFF"/>
        </w:rPr>
        <w:t>(</w:t>
      </w:r>
      <w:r w:rsidR="00863DAB" w:rsidRPr="004A16D3">
        <w:rPr>
          <w:rStyle w:val="bibissue"/>
        </w:rPr>
        <w:t>1</w:t>
      </w:r>
      <w:r w:rsidR="00863DAB" w:rsidRPr="004A16D3">
        <w:rPr>
          <w:color w:val="222222"/>
          <w:shd w:val="clear" w:color="auto" w:fill="FFFFFF"/>
        </w:rPr>
        <w:t>)</w:t>
      </w:r>
      <w:r w:rsidR="00F90342" w:rsidRPr="004A16D3">
        <w:rPr>
          <w:color w:val="222222"/>
          <w:shd w:val="clear" w:color="auto" w:fill="FFFFFF"/>
        </w:rPr>
        <w:t>:</w:t>
      </w:r>
      <w:r w:rsidR="00863DAB" w:rsidRPr="004A16D3">
        <w:rPr>
          <w:rStyle w:val="bibfpage"/>
        </w:rPr>
        <w:t>e2022057988</w:t>
      </w:r>
      <w:r w:rsidR="00863DAB" w:rsidRPr="004A16D3">
        <w:rPr>
          <w:color w:val="222222"/>
          <w:shd w:val="clear" w:color="auto" w:fill="FFFFFF"/>
        </w:rPr>
        <w:t>.</w:t>
      </w:r>
    </w:p>
    <w:p w:rsidR="00A70A93" w:rsidRPr="004A16D3" w:rsidRDefault="006B0720" w:rsidP="006B0720">
      <w:pPr>
        <w:pStyle w:val="REF-N"/>
        <w:widowControl w:val="0"/>
        <w:autoSpaceDE w:val="0"/>
        <w:autoSpaceDN w:val="0"/>
        <w:adjustRightInd w:val="0"/>
        <w:spacing w:line="480" w:lineRule="auto"/>
        <w:ind w:left="360" w:hanging="360"/>
        <w:rPr>
          <w:shd w:val="clear" w:color="auto" w:fill="FFFFFF"/>
        </w:rPr>
      </w:pPr>
      <w:r w:rsidRPr="004A16D3">
        <w:rPr>
          <w:rStyle w:val="bibnumber"/>
        </w:rPr>
        <w:t>11</w:t>
      </w:r>
      <w:r w:rsidRPr="004A16D3">
        <w:t>.</w:t>
      </w:r>
      <w:r w:rsidRPr="004A16D3">
        <w:tab/>
      </w:r>
      <w:r w:rsidR="00863DAB" w:rsidRPr="004A16D3">
        <w:rPr>
          <w:rStyle w:val="bibsurname"/>
        </w:rPr>
        <w:t>Darmstadt</w:t>
      </w:r>
      <w:r w:rsidR="00863DAB" w:rsidRPr="004A16D3">
        <w:rPr>
          <w:color w:val="222222"/>
          <w:shd w:val="clear" w:color="auto" w:fill="FFFFFF"/>
        </w:rPr>
        <w:t xml:space="preserve"> </w:t>
      </w:r>
      <w:r w:rsidR="00863DAB" w:rsidRPr="004A16D3">
        <w:rPr>
          <w:rStyle w:val="bibfname"/>
        </w:rPr>
        <w:t>GL</w:t>
      </w:r>
      <w:r w:rsidR="00863DAB" w:rsidRPr="004A16D3">
        <w:rPr>
          <w:color w:val="222222"/>
          <w:shd w:val="clear" w:color="auto" w:fill="FFFFFF"/>
        </w:rPr>
        <w:t xml:space="preserve">, </w:t>
      </w:r>
      <w:r w:rsidR="00863DAB" w:rsidRPr="004A16D3">
        <w:rPr>
          <w:rStyle w:val="bibsurname"/>
        </w:rPr>
        <w:t>Al Jaifi</w:t>
      </w:r>
      <w:r w:rsidR="00863DAB" w:rsidRPr="004A16D3">
        <w:rPr>
          <w:color w:val="222222"/>
          <w:shd w:val="clear" w:color="auto" w:fill="FFFFFF"/>
        </w:rPr>
        <w:t xml:space="preserve"> </w:t>
      </w:r>
      <w:r w:rsidR="00863DAB" w:rsidRPr="004A16D3">
        <w:rPr>
          <w:rStyle w:val="bibfname"/>
        </w:rPr>
        <w:t>NH</w:t>
      </w:r>
      <w:r w:rsidR="00863DAB" w:rsidRPr="004A16D3">
        <w:rPr>
          <w:color w:val="222222"/>
          <w:shd w:val="clear" w:color="auto" w:fill="FFFFFF"/>
        </w:rPr>
        <w:t xml:space="preserve">, </w:t>
      </w:r>
      <w:r w:rsidR="00863DAB" w:rsidRPr="004A16D3">
        <w:rPr>
          <w:rStyle w:val="bibsurname"/>
        </w:rPr>
        <w:t>Arif</w:t>
      </w:r>
      <w:r w:rsidR="00863DAB" w:rsidRPr="004A16D3">
        <w:rPr>
          <w:color w:val="222222"/>
          <w:shd w:val="clear" w:color="auto" w:fill="FFFFFF"/>
        </w:rPr>
        <w:t xml:space="preserve"> </w:t>
      </w:r>
      <w:r w:rsidR="00863DAB" w:rsidRPr="004A16D3">
        <w:rPr>
          <w:rStyle w:val="bibfname"/>
        </w:rPr>
        <w:t>S</w:t>
      </w:r>
      <w:r w:rsidR="00863DAB" w:rsidRPr="004A16D3">
        <w:rPr>
          <w:color w:val="222222"/>
          <w:shd w:val="clear" w:color="auto" w:fill="FFFFFF"/>
        </w:rPr>
        <w:t xml:space="preserve">, </w:t>
      </w:r>
      <w:r w:rsidR="00DA6A8B" w:rsidRPr="004A16D3">
        <w:rPr>
          <w:rStyle w:val="bibetal"/>
        </w:rPr>
        <w:t>et al</w:t>
      </w:r>
      <w:r w:rsidR="00DA6A8B" w:rsidRPr="004A16D3">
        <w:rPr>
          <w:color w:val="222222"/>
          <w:shd w:val="clear" w:color="auto" w:fill="FFFFFF"/>
        </w:rPr>
        <w:t>.</w:t>
      </w:r>
      <w:r w:rsidR="00863DAB" w:rsidRPr="004A16D3">
        <w:rPr>
          <w:color w:val="222222"/>
          <w:shd w:val="clear" w:color="auto" w:fill="FFFFFF"/>
        </w:rPr>
        <w:t xml:space="preserve"> </w:t>
      </w:r>
      <w:r w:rsidR="00863DAB" w:rsidRPr="004A16D3">
        <w:rPr>
          <w:rStyle w:val="bibarticle"/>
        </w:rPr>
        <w:t>New World Health Organization recommendations for care of preterm or low birth weight infants: health policy</w:t>
      </w:r>
      <w:r w:rsidR="00863DAB" w:rsidRPr="004A16D3">
        <w:rPr>
          <w:color w:val="222222"/>
          <w:shd w:val="clear" w:color="auto" w:fill="FFFFFF"/>
        </w:rPr>
        <w:t>.</w:t>
      </w:r>
      <w:r w:rsidR="00366ACB" w:rsidRPr="004A16D3">
        <w:rPr>
          <w:color w:val="222222"/>
          <w:shd w:val="clear" w:color="auto" w:fill="FFFFFF"/>
        </w:rPr>
        <w:t xml:space="preserve"> </w:t>
      </w:r>
      <w:r w:rsidR="00863DAB" w:rsidRPr="004A16D3">
        <w:rPr>
          <w:rStyle w:val="bibjournal"/>
          <w:i/>
        </w:rPr>
        <w:t>EClinicalMedicine</w:t>
      </w:r>
      <w:r w:rsidR="00940843" w:rsidRPr="004A16D3">
        <w:rPr>
          <w:color w:val="222222"/>
          <w:shd w:val="clear" w:color="auto" w:fill="FFFFFF"/>
        </w:rPr>
        <w:t xml:space="preserve">. </w:t>
      </w:r>
      <w:r w:rsidR="00256B0F" w:rsidRPr="004A16D3">
        <w:rPr>
          <w:rStyle w:val="bibyear"/>
        </w:rPr>
        <w:t>2023</w:t>
      </w:r>
      <w:r w:rsidR="00256B0F" w:rsidRPr="004A16D3">
        <w:rPr>
          <w:color w:val="222222"/>
          <w:shd w:val="clear" w:color="auto" w:fill="FFFFFF"/>
        </w:rPr>
        <w:t>;</w:t>
      </w:r>
      <w:r w:rsidR="00863DAB" w:rsidRPr="004A16D3">
        <w:rPr>
          <w:rStyle w:val="bibvolume"/>
        </w:rPr>
        <w:t>63</w:t>
      </w:r>
      <w:r w:rsidR="00ED7FCC" w:rsidRPr="004A16D3">
        <w:t>:</w:t>
      </w:r>
      <w:r w:rsidR="00ED7FCC" w:rsidRPr="004A16D3">
        <w:rPr>
          <w:rStyle w:val="bibfpage"/>
        </w:rPr>
        <w:t>102155</w:t>
      </w:r>
      <w:r w:rsidR="00863DAB" w:rsidRPr="004A16D3">
        <w:rPr>
          <w:color w:val="222222"/>
          <w:shd w:val="clear" w:color="auto" w:fill="FFFFFF"/>
        </w:rPr>
        <w:t>.</w:t>
      </w:r>
    </w:p>
    <w:p w:rsidR="00A70A93" w:rsidRPr="004A16D3" w:rsidRDefault="006B0720" w:rsidP="006B0720">
      <w:pPr>
        <w:pStyle w:val="REF-N"/>
        <w:widowControl w:val="0"/>
        <w:autoSpaceDE w:val="0"/>
        <w:autoSpaceDN w:val="0"/>
        <w:adjustRightInd w:val="0"/>
        <w:spacing w:line="480" w:lineRule="auto"/>
        <w:ind w:left="360" w:hanging="360"/>
        <w:rPr>
          <w:color w:val="222222"/>
          <w:shd w:val="clear" w:color="auto" w:fill="FFFFFF"/>
        </w:rPr>
      </w:pPr>
      <w:r w:rsidRPr="004A16D3">
        <w:rPr>
          <w:rStyle w:val="bibnumber"/>
        </w:rPr>
        <w:t>12</w:t>
      </w:r>
      <w:r w:rsidRPr="004A16D3">
        <w:rPr>
          <w:color w:val="222222"/>
        </w:rPr>
        <w:t>.</w:t>
      </w:r>
      <w:r w:rsidRPr="004A16D3">
        <w:rPr>
          <w:color w:val="222222"/>
        </w:rPr>
        <w:tab/>
      </w:r>
      <w:r w:rsidR="00863DAB" w:rsidRPr="004A16D3">
        <w:rPr>
          <w:rStyle w:val="bibsurname"/>
        </w:rPr>
        <w:t>Beggs</w:t>
      </w:r>
      <w:r w:rsidR="00863DAB" w:rsidRPr="004A16D3">
        <w:rPr>
          <w:color w:val="222222"/>
          <w:shd w:val="clear" w:color="auto" w:fill="FFFFFF"/>
        </w:rPr>
        <w:t xml:space="preserve"> </w:t>
      </w:r>
      <w:r w:rsidR="00863DAB" w:rsidRPr="004A16D3">
        <w:rPr>
          <w:rStyle w:val="bibfname"/>
        </w:rPr>
        <w:t>MR</w:t>
      </w:r>
      <w:r w:rsidR="00863DAB" w:rsidRPr="004A16D3">
        <w:rPr>
          <w:color w:val="222222"/>
          <w:shd w:val="clear" w:color="auto" w:fill="FFFFFF"/>
        </w:rPr>
        <w:t xml:space="preserve">, </w:t>
      </w:r>
      <w:r w:rsidR="00863DAB" w:rsidRPr="004A16D3">
        <w:rPr>
          <w:rStyle w:val="bibsurname"/>
        </w:rPr>
        <w:t>Bando</w:t>
      </w:r>
      <w:r w:rsidR="00863DAB" w:rsidRPr="004A16D3">
        <w:rPr>
          <w:color w:val="222222"/>
          <w:shd w:val="clear" w:color="auto" w:fill="FFFFFF"/>
        </w:rPr>
        <w:t xml:space="preserve"> </w:t>
      </w:r>
      <w:r w:rsidR="00863DAB" w:rsidRPr="004A16D3">
        <w:rPr>
          <w:rStyle w:val="bibfname"/>
        </w:rPr>
        <w:t>N</w:t>
      </w:r>
      <w:r w:rsidR="00863DAB" w:rsidRPr="004A16D3">
        <w:rPr>
          <w:color w:val="222222"/>
          <w:shd w:val="clear" w:color="auto" w:fill="FFFFFF"/>
        </w:rPr>
        <w:t xml:space="preserve">, </w:t>
      </w:r>
      <w:r w:rsidR="00863DAB" w:rsidRPr="004A16D3">
        <w:rPr>
          <w:rStyle w:val="bibsurname"/>
        </w:rPr>
        <w:t>Unger</w:t>
      </w:r>
      <w:r w:rsidR="00863DAB" w:rsidRPr="004A16D3">
        <w:rPr>
          <w:color w:val="222222"/>
          <w:shd w:val="clear" w:color="auto" w:fill="FFFFFF"/>
        </w:rPr>
        <w:t xml:space="preserve"> </w:t>
      </w:r>
      <w:r w:rsidR="00863DAB" w:rsidRPr="004A16D3">
        <w:rPr>
          <w:rStyle w:val="bibfname"/>
        </w:rPr>
        <w:t>S</w:t>
      </w:r>
      <w:r w:rsidR="00641E5E" w:rsidRPr="004A16D3">
        <w:rPr>
          <w:rStyle w:val="bibfname"/>
        </w:rPr>
        <w:t>,</w:t>
      </w:r>
      <w:r w:rsidR="00863DAB" w:rsidRPr="004A16D3">
        <w:rPr>
          <w:color w:val="222222"/>
          <w:shd w:val="clear" w:color="auto" w:fill="FFFFFF"/>
        </w:rPr>
        <w:t xml:space="preserve"> </w:t>
      </w:r>
      <w:r w:rsidR="00863DAB" w:rsidRPr="004A16D3">
        <w:rPr>
          <w:rStyle w:val="bibsurname"/>
        </w:rPr>
        <w:t>O</w:t>
      </w:r>
      <w:r w:rsidR="00641E5E" w:rsidRPr="004A16D3">
        <w:rPr>
          <w:rStyle w:val="bibsurname"/>
        </w:rPr>
        <w:t>’</w:t>
      </w:r>
      <w:r w:rsidR="00863DAB" w:rsidRPr="004A16D3">
        <w:rPr>
          <w:rStyle w:val="bibsurname"/>
        </w:rPr>
        <w:t>Connor</w:t>
      </w:r>
      <w:r w:rsidR="00863DAB" w:rsidRPr="004A16D3">
        <w:rPr>
          <w:color w:val="222222"/>
          <w:shd w:val="clear" w:color="auto" w:fill="FFFFFF"/>
        </w:rPr>
        <w:t xml:space="preserve"> </w:t>
      </w:r>
      <w:r w:rsidR="00863DAB" w:rsidRPr="004A16D3">
        <w:rPr>
          <w:rStyle w:val="bibfname"/>
        </w:rPr>
        <w:t>DL</w:t>
      </w:r>
      <w:r w:rsidR="00863DAB" w:rsidRPr="004A16D3">
        <w:t>.</w:t>
      </w:r>
      <w:r w:rsidR="00863DAB" w:rsidRPr="004A16D3">
        <w:rPr>
          <w:color w:val="222222"/>
          <w:shd w:val="clear" w:color="auto" w:fill="FFFFFF"/>
        </w:rPr>
        <w:t xml:space="preserve"> </w:t>
      </w:r>
      <w:r w:rsidR="00863DAB" w:rsidRPr="004A16D3">
        <w:rPr>
          <w:rStyle w:val="bibarticle"/>
        </w:rPr>
        <w:t>State of the evidence from clinical trials on human milk fortification for preterm infants</w:t>
      </w:r>
      <w:r w:rsidR="00863DAB" w:rsidRPr="004A16D3">
        <w:rPr>
          <w:color w:val="222222"/>
          <w:shd w:val="clear" w:color="auto" w:fill="FFFFFF"/>
        </w:rPr>
        <w:t>.</w:t>
      </w:r>
      <w:r w:rsidR="00ED7FCC" w:rsidRPr="004A16D3">
        <w:rPr>
          <w:color w:val="222222"/>
          <w:shd w:val="clear" w:color="auto" w:fill="FFFFFF"/>
        </w:rPr>
        <w:t xml:space="preserve"> </w:t>
      </w:r>
      <w:r w:rsidR="00863DAB" w:rsidRPr="004A16D3">
        <w:rPr>
          <w:rStyle w:val="bibjournal"/>
          <w:i/>
        </w:rPr>
        <w:t>Acta Paediatrica</w:t>
      </w:r>
      <w:r w:rsidR="00641E5E" w:rsidRPr="004A16D3">
        <w:rPr>
          <w:color w:val="222222"/>
          <w:shd w:val="clear" w:color="auto" w:fill="FFFFFF"/>
        </w:rPr>
        <w:t xml:space="preserve">. </w:t>
      </w:r>
      <w:r w:rsidR="00641E5E" w:rsidRPr="004A16D3">
        <w:rPr>
          <w:rStyle w:val="bibyear"/>
        </w:rPr>
        <w:t>2022</w:t>
      </w:r>
      <w:r w:rsidR="00641E5E" w:rsidRPr="004A16D3">
        <w:rPr>
          <w:color w:val="222222"/>
          <w:shd w:val="clear" w:color="auto" w:fill="FFFFFF"/>
        </w:rPr>
        <w:t>;</w:t>
      </w:r>
      <w:r w:rsidR="00863DAB" w:rsidRPr="004A16D3">
        <w:rPr>
          <w:rStyle w:val="bibvolume"/>
        </w:rPr>
        <w:t>111</w:t>
      </w:r>
      <w:r w:rsidR="00863DAB" w:rsidRPr="004A16D3">
        <w:rPr>
          <w:color w:val="222222"/>
          <w:shd w:val="clear" w:color="auto" w:fill="FFFFFF"/>
        </w:rPr>
        <w:t>(</w:t>
      </w:r>
      <w:r w:rsidR="00863DAB" w:rsidRPr="004A16D3">
        <w:rPr>
          <w:rStyle w:val="bibissue"/>
        </w:rPr>
        <w:t>6</w:t>
      </w:r>
      <w:r w:rsidR="00863DAB" w:rsidRPr="004A16D3">
        <w:rPr>
          <w:color w:val="222222"/>
          <w:shd w:val="clear" w:color="auto" w:fill="FFFFFF"/>
        </w:rPr>
        <w:t>)</w:t>
      </w:r>
      <w:r w:rsidR="00641E5E" w:rsidRPr="004A16D3">
        <w:rPr>
          <w:color w:val="222222"/>
          <w:shd w:val="clear" w:color="auto" w:fill="FFFFFF"/>
        </w:rPr>
        <w:t>:</w:t>
      </w:r>
      <w:r w:rsidR="00863DAB" w:rsidRPr="004A16D3">
        <w:rPr>
          <w:rStyle w:val="bibfpage"/>
        </w:rPr>
        <w:t>1115</w:t>
      </w:r>
      <w:r w:rsidR="00863DAB" w:rsidRPr="004A16D3">
        <w:rPr>
          <w:color w:val="222222"/>
          <w:shd w:val="clear" w:color="auto" w:fill="FFFFFF"/>
        </w:rPr>
        <w:t>-</w:t>
      </w:r>
      <w:r w:rsidR="00863DAB" w:rsidRPr="004A16D3">
        <w:rPr>
          <w:rStyle w:val="biblpage"/>
        </w:rPr>
        <w:t>1120</w:t>
      </w:r>
      <w:r w:rsidR="00863DAB" w:rsidRPr="004A16D3">
        <w:rPr>
          <w:color w:val="222222"/>
          <w:shd w:val="clear" w:color="auto" w:fill="FFFFFF"/>
        </w:rPr>
        <w:t>.</w:t>
      </w:r>
    </w:p>
    <w:p w:rsidR="00A70A93" w:rsidRPr="004A16D3" w:rsidRDefault="006B0720" w:rsidP="006B0720">
      <w:pPr>
        <w:pStyle w:val="REF-N"/>
        <w:widowControl w:val="0"/>
        <w:autoSpaceDE w:val="0"/>
        <w:autoSpaceDN w:val="0"/>
        <w:adjustRightInd w:val="0"/>
        <w:spacing w:line="480" w:lineRule="auto"/>
        <w:ind w:left="360" w:hanging="360"/>
        <w:rPr>
          <w:color w:val="222222"/>
          <w:shd w:val="clear" w:color="auto" w:fill="FFFFFF"/>
        </w:rPr>
      </w:pPr>
      <w:r w:rsidRPr="004A16D3">
        <w:rPr>
          <w:rStyle w:val="bibnumber"/>
        </w:rPr>
        <w:t>13</w:t>
      </w:r>
      <w:r w:rsidRPr="004A16D3">
        <w:rPr>
          <w:color w:val="222222"/>
        </w:rPr>
        <w:t>.</w:t>
      </w:r>
      <w:r w:rsidRPr="004A16D3">
        <w:rPr>
          <w:color w:val="222222"/>
        </w:rPr>
        <w:tab/>
      </w:r>
      <w:r w:rsidR="00863DAB" w:rsidRPr="004A16D3">
        <w:rPr>
          <w:rStyle w:val="bibsurname"/>
        </w:rPr>
        <w:t>Robinson</w:t>
      </w:r>
      <w:r w:rsidR="00863DAB" w:rsidRPr="004A16D3">
        <w:rPr>
          <w:color w:val="222222"/>
          <w:shd w:val="clear" w:color="auto" w:fill="FFFFFF"/>
        </w:rPr>
        <w:t xml:space="preserve"> </w:t>
      </w:r>
      <w:r w:rsidR="00863DAB" w:rsidRPr="004A16D3">
        <w:rPr>
          <w:rStyle w:val="bibfname"/>
        </w:rPr>
        <w:t>DT</w:t>
      </w:r>
      <w:r w:rsidR="00863DAB" w:rsidRPr="004A16D3">
        <w:rPr>
          <w:color w:val="222222"/>
          <w:shd w:val="clear" w:color="auto" w:fill="FFFFFF"/>
        </w:rPr>
        <w:t xml:space="preserve">, </w:t>
      </w:r>
      <w:r w:rsidR="00863DAB" w:rsidRPr="004A16D3">
        <w:rPr>
          <w:rStyle w:val="bibsurname"/>
        </w:rPr>
        <w:t>Calkins</w:t>
      </w:r>
      <w:r w:rsidR="00863DAB" w:rsidRPr="004A16D3">
        <w:rPr>
          <w:color w:val="222222"/>
          <w:shd w:val="clear" w:color="auto" w:fill="FFFFFF"/>
        </w:rPr>
        <w:t xml:space="preserve"> </w:t>
      </w:r>
      <w:r w:rsidR="00863DAB" w:rsidRPr="004A16D3">
        <w:rPr>
          <w:rStyle w:val="bibfname"/>
        </w:rPr>
        <w:t>KL</w:t>
      </w:r>
      <w:r w:rsidR="00863DAB" w:rsidRPr="004A16D3">
        <w:rPr>
          <w:color w:val="222222"/>
          <w:shd w:val="clear" w:color="auto" w:fill="FFFFFF"/>
        </w:rPr>
        <w:t xml:space="preserve">, </w:t>
      </w:r>
      <w:r w:rsidR="00863DAB" w:rsidRPr="004A16D3">
        <w:rPr>
          <w:rStyle w:val="bibsurname"/>
        </w:rPr>
        <w:t>Chen</w:t>
      </w:r>
      <w:r w:rsidR="00863DAB" w:rsidRPr="004A16D3">
        <w:rPr>
          <w:color w:val="222222"/>
          <w:shd w:val="clear" w:color="auto" w:fill="FFFFFF"/>
        </w:rPr>
        <w:t xml:space="preserve"> </w:t>
      </w:r>
      <w:r w:rsidR="00863DAB" w:rsidRPr="004A16D3">
        <w:rPr>
          <w:rStyle w:val="bibfname"/>
        </w:rPr>
        <w:t>Y</w:t>
      </w:r>
      <w:r w:rsidR="00863DAB" w:rsidRPr="004A16D3">
        <w:rPr>
          <w:color w:val="222222"/>
          <w:shd w:val="clear" w:color="auto" w:fill="FFFFFF"/>
        </w:rPr>
        <w:t xml:space="preserve">, </w:t>
      </w:r>
      <w:r w:rsidR="00641E5E" w:rsidRPr="004A16D3">
        <w:rPr>
          <w:rStyle w:val="bibetal"/>
        </w:rPr>
        <w:t>et al</w:t>
      </w:r>
      <w:r w:rsidR="00641E5E" w:rsidRPr="004A16D3">
        <w:rPr>
          <w:color w:val="222222"/>
          <w:shd w:val="clear" w:color="auto" w:fill="FFFFFF"/>
        </w:rPr>
        <w:t>.</w:t>
      </w:r>
      <w:r w:rsidR="00863DAB" w:rsidRPr="004A16D3">
        <w:rPr>
          <w:color w:val="222222"/>
          <w:shd w:val="clear" w:color="auto" w:fill="FFFFFF"/>
        </w:rPr>
        <w:t xml:space="preserve"> </w:t>
      </w:r>
      <w:r w:rsidR="00863DAB" w:rsidRPr="004A16D3">
        <w:rPr>
          <w:rStyle w:val="bibarticle"/>
        </w:rPr>
        <w:t xml:space="preserve">Guidelines for parenteral nutrition in preterm infants: </w:t>
      </w:r>
      <w:r w:rsidR="00ED7FCC" w:rsidRPr="004A16D3">
        <w:rPr>
          <w:rStyle w:val="bibarticle"/>
        </w:rPr>
        <w:t>t</w:t>
      </w:r>
      <w:r w:rsidR="00863DAB" w:rsidRPr="004A16D3">
        <w:rPr>
          <w:rStyle w:val="bibarticle"/>
        </w:rPr>
        <w:t>he American Society for Parenteral and Enteral Nutrition</w:t>
      </w:r>
      <w:r w:rsidR="00863DAB" w:rsidRPr="004A16D3">
        <w:rPr>
          <w:color w:val="222222"/>
          <w:shd w:val="clear" w:color="auto" w:fill="FFFFFF"/>
        </w:rPr>
        <w:t>.</w:t>
      </w:r>
      <w:r w:rsidR="00641E5E" w:rsidRPr="004A16D3">
        <w:rPr>
          <w:color w:val="222222"/>
          <w:shd w:val="clear" w:color="auto" w:fill="FFFFFF"/>
        </w:rPr>
        <w:t xml:space="preserve"> </w:t>
      </w:r>
      <w:r w:rsidR="00863DAB" w:rsidRPr="004A16D3">
        <w:rPr>
          <w:rStyle w:val="bibjournal"/>
          <w:i/>
        </w:rPr>
        <w:t>J Parenter Enteral Nutr</w:t>
      </w:r>
      <w:r w:rsidR="00641E5E" w:rsidRPr="004A16D3">
        <w:rPr>
          <w:color w:val="222222"/>
          <w:shd w:val="clear" w:color="auto" w:fill="FFFFFF"/>
        </w:rPr>
        <w:t xml:space="preserve">. </w:t>
      </w:r>
      <w:r w:rsidR="00641E5E" w:rsidRPr="004A16D3">
        <w:rPr>
          <w:rStyle w:val="bibyear"/>
        </w:rPr>
        <w:lastRenderedPageBreak/>
        <w:t>2023</w:t>
      </w:r>
      <w:r w:rsidR="00641E5E" w:rsidRPr="004A16D3">
        <w:rPr>
          <w:color w:val="222222"/>
          <w:shd w:val="clear" w:color="auto" w:fill="FFFFFF"/>
        </w:rPr>
        <w:t>;</w:t>
      </w:r>
      <w:r w:rsidR="00863DAB" w:rsidRPr="004A16D3">
        <w:rPr>
          <w:rStyle w:val="bibvolume"/>
        </w:rPr>
        <w:t>47</w:t>
      </w:r>
      <w:r w:rsidR="00863DAB" w:rsidRPr="004A16D3">
        <w:rPr>
          <w:color w:val="222222"/>
          <w:shd w:val="clear" w:color="auto" w:fill="FFFFFF"/>
        </w:rPr>
        <w:t>(</w:t>
      </w:r>
      <w:r w:rsidR="00863DAB" w:rsidRPr="004A16D3">
        <w:rPr>
          <w:rStyle w:val="bibissue"/>
        </w:rPr>
        <w:t>7</w:t>
      </w:r>
      <w:r w:rsidR="00863DAB" w:rsidRPr="004A16D3">
        <w:rPr>
          <w:color w:val="222222"/>
          <w:shd w:val="clear" w:color="auto" w:fill="FFFFFF"/>
        </w:rPr>
        <w:t>)</w:t>
      </w:r>
      <w:r w:rsidR="00641E5E" w:rsidRPr="004A16D3">
        <w:rPr>
          <w:color w:val="222222"/>
          <w:shd w:val="clear" w:color="auto" w:fill="FFFFFF"/>
        </w:rPr>
        <w:t>:</w:t>
      </w:r>
      <w:r w:rsidR="00863DAB" w:rsidRPr="004A16D3">
        <w:rPr>
          <w:rStyle w:val="bibfpage"/>
        </w:rPr>
        <w:t>830</w:t>
      </w:r>
      <w:r w:rsidR="00863DAB" w:rsidRPr="004A16D3">
        <w:rPr>
          <w:color w:val="222222"/>
          <w:shd w:val="clear" w:color="auto" w:fill="FFFFFF"/>
        </w:rPr>
        <w:t>-</w:t>
      </w:r>
      <w:r w:rsidR="00863DAB" w:rsidRPr="004A16D3">
        <w:rPr>
          <w:rStyle w:val="biblpage"/>
        </w:rPr>
        <w:t>858</w:t>
      </w:r>
      <w:r w:rsidR="00863DAB" w:rsidRPr="004A16D3">
        <w:rPr>
          <w:color w:val="222222"/>
          <w:shd w:val="clear" w:color="auto" w:fill="FFFFFF"/>
        </w:rPr>
        <w:t>.</w:t>
      </w:r>
    </w:p>
    <w:p w:rsidR="00A70A93" w:rsidRPr="004A16D3" w:rsidRDefault="006B0720" w:rsidP="006B0720">
      <w:pPr>
        <w:pStyle w:val="REF-N"/>
        <w:widowControl w:val="0"/>
        <w:autoSpaceDE w:val="0"/>
        <w:autoSpaceDN w:val="0"/>
        <w:adjustRightInd w:val="0"/>
        <w:spacing w:line="480" w:lineRule="auto"/>
        <w:ind w:left="360" w:hanging="360"/>
        <w:rPr>
          <w:color w:val="222222"/>
          <w:shd w:val="clear" w:color="auto" w:fill="FFFFFF"/>
        </w:rPr>
      </w:pPr>
      <w:r w:rsidRPr="004A16D3">
        <w:rPr>
          <w:rStyle w:val="bibnumber"/>
        </w:rPr>
        <w:t>14</w:t>
      </w:r>
      <w:r w:rsidRPr="004A16D3">
        <w:rPr>
          <w:color w:val="222222"/>
        </w:rPr>
        <w:t>.</w:t>
      </w:r>
      <w:r w:rsidRPr="004A16D3">
        <w:rPr>
          <w:color w:val="222222"/>
        </w:rPr>
        <w:tab/>
      </w:r>
      <w:r w:rsidR="00863DAB" w:rsidRPr="004A16D3">
        <w:rPr>
          <w:rStyle w:val="bibsurname"/>
        </w:rPr>
        <w:t>Chan</w:t>
      </w:r>
      <w:r w:rsidR="00863DAB" w:rsidRPr="004A16D3">
        <w:rPr>
          <w:color w:val="222222"/>
          <w:shd w:val="clear" w:color="auto" w:fill="FFFFFF"/>
        </w:rPr>
        <w:t xml:space="preserve"> </w:t>
      </w:r>
      <w:r w:rsidR="00863DAB" w:rsidRPr="004A16D3">
        <w:rPr>
          <w:rStyle w:val="bibfname"/>
        </w:rPr>
        <w:t>AP</w:t>
      </w:r>
      <w:r w:rsidR="00863DAB" w:rsidRPr="004A16D3">
        <w:rPr>
          <w:color w:val="222222"/>
          <w:shd w:val="clear" w:color="auto" w:fill="FFFFFF"/>
        </w:rPr>
        <w:t xml:space="preserve">, </w:t>
      </w:r>
      <w:r w:rsidR="00863DAB" w:rsidRPr="004A16D3">
        <w:rPr>
          <w:rStyle w:val="bibsurname"/>
        </w:rPr>
        <w:t>Robinson</w:t>
      </w:r>
      <w:r w:rsidR="00863DAB" w:rsidRPr="004A16D3">
        <w:rPr>
          <w:color w:val="222222"/>
          <w:shd w:val="clear" w:color="auto" w:fill="FFFFFF"/>
        </w:rPr>
        <w:t xml:space="preserve"> </w:t>
      </w:r>
      <w:r w:rsidR="00863DAB" w:rsidRPr="004A16D3">
        <w:rPr>
          <w:rStyle w:val="bibfname"/>
        </w:rPr>
        <w:t>DT</w:t>
      </w:r>
      <w:r w:rsidR="00641E5E" w:rsidRPr="004A16D3">
        <w:rPr>
          <w:rStyle w:val="bibfname"/>
        </w:rPr>
        <w:t>,</w:t>
      </w:r>
      <w:r w:rsidR="00863DAB" w:rsidRPr="004A16D3">
        <w:rPr>
          <w:color w:val="222222"/>
          <w:shd w:val="clear" w:color="auto" w:fill="FFFFFF"/>
        </w:rPr>
        <w:t xml:space="preserve"> </w:t>
      </w:r>
      <w:r w:rsidR="00863DAB" w:rsidRPr="004A16D3">
        <w:rPr>
          <w:rStyle w:val="bibsurname"/>
        </w:rPr>
        <w:t>Calkins</w:t>
      </w:r>
      <w:r w:rsidR="00863DAB" w:rsidRPr="004A16D3">
        <w:rPr>
          <w:color w:val="222222"/>
          <w:shd w:val="clear" w:color="auto" w:fill="FFFFFF"/>
        </w:rPr>
        <w:t xml:space="preserve"> </w:t>
      </w:r>
      <w:r w:rsidR="00863DAB" w:rsidRPr="004A16D3">
        <w:rPr>
          <w:rStyle w:val="bibfname"/>
        </w:rPr>
        <w:t>KL.</w:t>
      </w:r>
      <w:r w:rsidR="00863DAB" w:rsidRPr="004A16D3">
        <w:rPr>
          <w:color w:val="222222"/>
          <w:shd w:val="clear" w:color="auto" w:fill="FFFFFF"/>
        </w:rPr>
        <w:t xml:space="preserve"> </w:t>
      </w:r>
      <w:r w:rsidR="00863DAB" w:rsidRPr="004A16D3">
        <w:rPr>
          <w:rStyle w:val="bibarticle"/>
        </w:rPr>
        <w:t>Hypertriglyceridemia in preterm infants</w:t>
      </w:r>
      <w:r w:rsidR="00863DAB" w:rsidRPr="004A16D3">
        <w:rPr>
          <w:color w:val="222222"/>
          <w:shd w:val="clear" w:color="auto" w:fill="FFFFFF"/>
        </w:rPr>
        <w:t>.</w:t>
      </w:r>
      <w:r w:rsidR="00641E5E" w:rsidRPr="004A16D3">
        <w:rPr>
          <w:color w:val="222222"/>
          <w:shd w:val="clear" w:color="auto" w:fill="FFFFFF"/>
        </w:rPr>
        <w:t xml:space="preserve"> </w:t>
      </w:r>
      <w:r w:rsidR="00863DAB" w:rsidRPr="004A16D3">
        <w:rPr>
          <w:rStyle w:val="bibjournal"/>
          <w:i/>
        </w:rPr>
        <w:t>NeoReviews</w:t>
      </w:r>
      <w:r w:rsidR="00641E5E" w:rsidRPr="004A16D3">
        <w:rPr>
          <w:color w:val="222222"/>
          <w:shd w:val="clear" w:color="auto" w:fill="FFFFFF"/>
        </w:rPr>
        <w:t xml:space="preserve">. </w:t>
      </w:r>
      <w:r w:rsidR="00641E5E" w:rsidRPr="004A16D3">
        <w:rPr>
          <w:rStyle w:val="bibyear"/>
        </w:rPr>
        <w:t>2022</w:t>
      </w:r>
      <w:r w:rsidR="00641E5E" w:rsidRPr="004A16D3">
        <w:rPr>
          <w:color w:val="222222"/>
          <w:shd w:val="clear" w:color="auto" w:fill="FFFFFF"/>
        </w:rPr>
        <w:t>;</w:t>
      </w:r>
      <w:r w:rsidR="00863DAB" w:rsidRPr="004A16D3">
        <w:rPr>
          <w:rStyle w:val="bibvolume"/>
        </w:rPr>
        <w:t>23</w:t>
      </w:r>
      <w:r w:rsidR="00863DAB" w:rsidRPr="004A16D3">
        <w:rPr>
          <w:color w:val="222222"/>
          <w:shd w:val="clear" w:color="auto" w:fill="FFFFFF"/>
        </w:rPr>
        <w:t>(</w:t>
      </w:r>
      <w:r w:rsidR="00863DAB" w:rsidRPr="004A16D3">
        <w:rPr>
          <w:rStyle w:val="bibissue"/>
        </w:rPr>
        <w:t>8</w:t>
      </w:r>
      <w:r w:rsidR="00863DAB" w:rsidRPr="004A16D3">
        <w:rPr>
          <w:color w:val="222222"/>
          <w:shd w:val="clear" w:color="auto" w:fill="FFFFFF"/>
        </w:rPr>
        <w:t>)</w:t>
      </w:r>
      <w:r w:rsidR="00641E5E" w:rsidRPr="004A16D3">
        <w:rPr>
          <w:color w:val="222222"/>
          <w:shd w:val="clear" w:color="auto" w:fill="FFFFFF"/>
        </w:rPr>
        <w:t>:</w:t>
      </w:r>
      <w:r w:rsidR="00863DAB" w:rsidRPr="004A16D3">
        <w:rPr>
          <w:rStyle w:val="bibfpage"/>
        </w:rPr>
        <w:t>e528</w:t>
      </w:r>
      <w:r w:rsidR="00863DAB" w:rsidRPr="004A16D3">
        <w:rPr>
          <w:color w:val="222222"/>
          <w:shd w:val="clear" w:color="auto" w:fill="FFFFFF"/>
        </w:rPr>
        <w:t>-</w:t>
      </w:r>
      <w:r w:rsidR="00863DAB" w:rsidRPr="004A16D3">
        <w:rPr>
          <w:rStyle w:val="biblpage"/>
        </w:rPr>
        <w:t>e540</w:t>
      </w:r>
      <w:r w:rsidR="00863DAB" w:rsidRPr="004A16D3">
        <w:rPr>
          <w:color w:val="222222"/>
          <w:shd w:val="clear" w:color="auto" w:fill="FFFFFF"/>
        </w:rPr>
        <w:t>.</w:t>
      </w:r>
    </w:p>
    <w:p w:rsidR="00A70A93" w:rsidRPr="004A16D3" w:rsidRDefault="006B0720" w:rsidP="006B0720">
      <w:pPr>
        <w:pStyle w:val="REF-N"/>
        <w:widowControl w:val="0"/>
        <w:autoSpaceDE w:val="0"/>
        <w:autoSpaceDN w:val="0"/>
        <w:adjustRightInd w:val="0"/>
        <w:spacing w:line="480" w:lineRule="auto"/>
        <w:ind w:left="360" w:hanging="360"/>
        <w:rPr>
          <w:color w:val="222222"/>
          <w:shd w:val="clear" w:color="auto" w:fill="FFFFFF"/>
        </w:rPr>
      </w:pPr>
      <w:r w:rsidRPr="004A16D3">
        <w:rPr>
          <w:rStyle w:val="bibnumber"/>
        </w:rPr>
        <w:t>15</w:t>
      </w:r>
      <w:r w:rsidRPr="004A16D3">
        <w:rPr>
          <w:color w:val="222222"/>
        </w:rPr>
        <w:t>.</w:t>
      </w:r>
      <w:r w:rsidRPr="004A16D3">
        <w:rPr>
          <w:color w:val="222222"/>
        </w:rPr>
        <w:tab/>
      </w:r>
      <w:r w:rsidR="00863DAB" w:rsidRPr="004A16D3">
        <w:rPr>
          <w:rStyle w:val="bibsurname"/>
        </w:rPr>
        <w:t>Lucas</w:t>
      </w:r>
      <w:r w:rsidR="00863DAB" w:rsidRPr="004A16D3">
        <w:rPr>
          <w:color w:val="222222"/>
          <w:shd w:val="clear" w:color="auto" w:fill="FFFFFF"/>
        </w:rPr>
        <w:t xml:space="preserve"> </w:t>
      </w:r>
      <w:r w:rsidR="00863DAB" w:rsidRPr="004A16D3">
        <w:rPr>
          <w:rStyle w:val="bibfname"/>
        </w:rPr>
        <w:t>A</w:t>
      </w:r>
      <w:r w:rsidR="00863DAB" w:rsidRPr="004A16D3">
        <w:rPr>
          <w:color w:val="222222"/>
          <w:shd w:val="clear" w:color="auto" w:fill="FFFFFF"/>
        </w:rPr>
        <w:t xml:space="preserve">, </w:t>
      </w:r>
      <w:r w:rsidR="00863DAB" w:rsidRPr="004A16D3">
        <w:rPr>
          <w:rStyle w:val="bibsurname"/>
        </w:rPr>
        <w:t>Sherman</w:t>
      </w:r>
      <w:r w:rsidR="00863DAB" w:rsidRPr="004A16D3">
        <w:rPr>
          <w:color w:val="222222"/>
          <w:shd w:val="clear" w:color="auto" w:fill="FFFFFF"/>
        </w:rPr>
        <w:t xml:space="preserve"> </w:t>
      </w:r>
      <w:r w:rsidR="00863DAB" w:rsidRPr="004A16D3">
        <w:rPr>
          <w:rStyle w:val="bibfname"/>
        </w:rPr>
        <w:t>J</w:t>
      </w:r>
      <w:r w:rsidR="00641E5E" w:rsidRPr="004A16D3">
        <w:rPr>
          <w:rStyle w:val="bibfname"/>
        </w:rPr>
        <w:t>,</w:t>
      </w:r>
      <w:r w:rsidR="00863DAB" w:rsidRPr="004A16D3">
        <w:rPr>
          <w:color w:val="222222"/>
          <w:shd w:val="clear" w:color="auto" w:fill="FFFFFF"/>
        </w:rPr>
        <w:t xml:space="preserve"> </w:t>
      </w:r>
      <w:r w:rsidR="00863DAB" w:rsidRPr="004A16D3">
        <w:rPr>
          <w:rStyle w:val="bibsurname"/>
        </w:rPr>
        <w:t>Fewtrell</w:t>
      </w:r>
      <w:r w:rsidR="00863DAB" w:rsidRPr="004A16D3">
        <w:rPr>
          <w:color w:val="222222"/>
          <w:shd w:val="clear" w:color="auto" w:fill="FFFFFF"/>
        </w:rPr>
        <w:t xml:space="preserve"> </w:t>
      </w:r>
      <w:r w:rsidR="00863DAB" w:rsidRPr="004A16D3">
        <w:rPr>
          <w:rStyle w:val="bibfname"/>
        </w:rPr>
        <w:t>M.</w:t>
      </w:r>
      <w:r w:rsidR="00863DAB" w:rsidRPr="004A16D3">
        <w:rPr>
          <w:color w:val="222222"/>
          <w:shd w:val="clear" w:color="auto" w:fill="FFFFFF"/>
        </w:rPr>
        <w:t xml:space="preserve"> </w:t>
      </w:r>
      <w:r w:rsidR="00863DAB" w:rsidRPr="004A16D3">
        <w:rPr>
          <w:rStyle w:val="bibarticle"/>
        </w:rPr>
        <w:t>Postdischarge nutrition in preterm infants</w:t>
      </w:r>
      <w:r w:rsidR="00863DAB" w:rsidRPr="004A16D3">
        <w:rPr>
          <w:color w:val="222222"/>
          <w:shd w:val="clear" w:color="auto" w:fill="FFFFFF"/>
          <w:lang w:val="de-DE"/>
        </w:rPr>
        <w:t>.</w:t>
      </w:r>
      <w:r w:rsidR="00ED7FCC" w:rsidRPr="004A16D3">
        <w:rPr>
          <w:color w:val="222222"/>
          <w:shd w:val="clear" w:color="auto" w:fill="FFFFFF"/>
          <w:lang w:val="de-DE"/>
        </w:rPr>
        <w:t xml:space="preserve"> </w:t>
      </w:r>
      <w:r w:rsidR="00863DAB" w:rsidRPr="004A16D3">
        <w:rPr>
          <w:rStyle w:val="bibjournal"/>
          <w:i/>
        </w:rPr>
        <w:t>NeoReviews</w:t>
      </w:r>
      <w:r w:rsidR="00641E5E" w:rsidRPr="004A16D3">
        <w:rPr>
          <w:color w:val="222222"/>
          <w:shd w:val="clear" w:color="auto" w:fill="FFFFFF"/>
        </w:rPr>
        <w:t xml:space="preserve">. </w:t>
      </w:r>
      <w:r w:rsidR="00641E5E" w:rsidRPr="004A16D3">
        <w:rPr>
          <w:rStyle w:val="bibyear"/>
        </w:rPr>
        <w:t>2022</w:t>
      </w:r>
      <w:r w:rsidR="00641E5E" w:rsidRPr="004A16D3">
        <w:rPr>
          <w:color w:val="222222"/>
          <w:shd w:val="clear" w:color="auto" w:fill="FFFFFF"/>
        </w:rPr>
        <w:t>;</w:t>
      </w:r>
      <w:r w:rsidR="00863DAB" w:rsidRPr="004A16D3">
        <w:rPr>
          <w:rStyle w:val="bibvolume"/>
        </w:rPr>
        <w:t>23</w:t>
      </w:r>
      <w:r w:rsidR="00863DAB" w:rsidRPr="004A16D3">
        <w:rPr>
          <w:color w:val="222222"/>
          <w:shd w:val="clear" w:color="auto" w:fill="FFFFFF"/>
        </w:rPr>
        <w:t>(</w:t>
      </w:r>
      <w:r w:rsidR="00863DAB" w:rsidRPr="004A16D3">
        <w:rPr>
          <w:rStyle w:val="bibissue"/>
        </w:rPr>
        <w:t>8</w:t>
      </w:r>
      <w:r w:rsidR="00863DAB" w:rsidRPr="004A16D3">
        <w:rPr>
          <w:color w:val="222222"/>
          <w:shd w:val="clear" w:color="auto" w:fill="FFFFFF"/>
        </w:rPr>
        <w:t>)</w:t>
      </w:r>
      <w:r w:rsidR="00641E5E" w:rsidRPr="004A16D3">
        <w:rPr>
          <w:color w:val="222222"/>
          <w:shd w:val="clear" w:color="auto" w:fill="FFFFFF"/>
        </w:rPr>
        <w:t>:</w:t>
      </w:r>
      <w:r w:rsidR="00863DAB" w:rsidRPr="004A16D3">
        <w:rPr>
          <w:rStyle w:val="bibfpage"/>
        </w:rPr>
        <w:t>e541</w:t>
      </w:r>
      <w:r w:rsidR="00863DAB" w:rsidRPr="004A16D3">
        <w:rPr>
          <w:color w:val="222222"/>
          <w:shd w:val="clear" w:color="auto" w:fill="FFFFFF"/>
        </w:rPr>
        <w:t>-</w:t>
      </w:r>
      <w:r w:rsidR="00863DAB" w:rsidRPr="004A16D3">
        <w:rPr>
          <w:rStyle w:val="biblpage"/>
        </w:rPr>
        <w:t>e557</w:t>
      </w:r>
      <w:r w:rsidR="00863DAB" w:rsidRPr="004A16D3">
        <w:rPr>
          <w:color w:val="222222"/>
          <w:shd w:val="clear" w:color="auto" w:fill="FFFFFF"/>
        </w:rPr>
        <w:t>.</w:t>
      </w:r>
    </w:p>
    <w:p w:rsidR="00A70A93" w:rsidRPr="004A16D3" w:rsidRDefault="006B0720" w:rsidP="006B0720">
      <w:pPr>
        <w:pStyle w:val="REF-N"/>
        <w:widowControl w:val="0"/>
        <w:autoSpaceDE w:val="0"/>
        <w:autoSpaceDN w:val="0"/>
        <w:adjustRightInd w:val="0"/>
        <w:spacing w:line="480" w:lineRule="auto"/>
        <w:ind w:left="360" w:hanging="360"/>
        <w:rPr>
          <w:color w:val="222222"/>
          <w:shd w:val="clear" w:color="auto" w:fill="FFFFFF"/>
        </w:rPr>
      </w:pPr>
      <w:r w:rsidRPr="004A16D3">
        <w:rPr>
          <w:rStyle w:val="bibnumber"/>
        </w:rPr>
        <w:t>16</w:t>
      </w:r>
      <w:r w:rsidRPr="004A16D3">
        <w:rPr>
          <w:color w:val="222222"/>
        </w:rPr>
        <w:t>.</w:t>
      </w:r>
      <w:r w:rsidRPr="004A16D3">
        <w:rPr>
          <w:color w:val="222222"/>
        </w:rPr>
        <w:tab/>
      </w:r>
      <w:r w:rsidR="00863DAB" w:rsidRPr="004A16D3">
        <w:rPr>
          <w:rStyle w:val="biborganization"/>
        </w:rPr>
        <w:t>Committee on Fetus and Newborn</w:t>
      </w:r>
      <w:r w:rsidR="00863DAB" w:rsidRPr="004A16D3">
        <w:rPr>
          <w:color w:val="222222"/>
          <w:shd w:val="clear" w:color="auto" w:fill="FFFFFF"/>
        </w:rPr>
        <w:t xml:space="preserve">. </w:t>
      </w:r>
      <w:r w:rsidR="00863DAB" w:rsidRPr="004A16D3">
        <w:rPr>
          <w:rStyle w:val="bibarticle"/>
        </w:rPr>
        <w:t>Hospital discharge of the high-risk neonate</w:t>
      </w:r>
      <w:r w:rsidR="00863DAB" w:rsidRPr="004A16D3">
        <w:rPr>
          <w:color w:val="222222"/>
          <w:shd w:val="clear" w:color="auto" w:fill="FFFFFF"/>
        </w:rPr>
        <w:t>.</w:t>
      </w:r>
      <w:r w:rsidR="00ED7FCC" w:rsidRPr="004A16D3">
        <w:rPr>
          <w:color w:val="222222"/>
          <w:shd w:val="clear" w:color="auto" w:fill="FFFFFF"/>
        </w:rPr>
        <w:t xml:space="preserve"> </w:t>
      </w:r>
      <w:r w:rsidR="00863DAB" w:rsidRPr="004A16D3">
        <w:rPr>
          <w:rStyle w:val="bibjournal"/>
          <w:i/>
        </w:rPr>
        <w:t>Pediatrics</w:t>
      </w:r>
      <w:r w:rsidR="00641E5E" w:rsidRPr="004A16D3">
        <w:rPr>
          <w:color w:val="222222"/>
          <w:shd w:val="clear" w:color="auto" w:fill="FFFFFF"/>
        </w:rPr>
        <w:t xml:space="preserve">. </w:t>
      </w:r>
      <w:r w:rsidR="00641E5E" w:rsidRPr="004A16D3">
        <w:rPr>
          <w:rStyle w:val="bibyear"/>
        </w:rPr>
        <w:t>2008</w:t>
      </w:r>
      <w:r w:rsidR="00641E5E" w:rsidRPr="004A16D3">
        <w:t>;</w:t>
      </w:r>
      <w:r w:rsidR="00863DAB" w:rsidRPr="004A16D3">
        <w:rPr>
          <w:rStyle w:val="bibvolume"/>
        </w:rPr>
        <w:t>122</w:t>
      </w:r>
      <w:r w:rsidR="00863DAB" w:rsidRPr="004A16D3">
        <w:rPr>
          <w:color w:val="222222"/>
          <w:shd w:val="clear" w:color="auto" w:fill="FFFFFF"/>
        </w:rPr>
        <w:t>(</w:t>
      </w:r>
      <w:r w:rsidR="00863DAB" w:rsidRPr="004A16D3">
        <w:rPr>
          <w:rStyle w:val="bibissue"/>
        </w:rPr>
        <w:t>5</w:t>
      </w:r>
      <w:r w:rsidR="00863DAB" w:rsidRPr="004A16D3">
        <w:rPr>
          <w:color w:val="222222"/>
          <w:shd w:val="clear" w:color="auto" w:fill="FFFFFF"/>
        </w:rPr>
        <w:t>)</w:t>
      </w:r>
      <w:r w:rsidR="00641E5E" w:rsidRPr="004A16D3">
        <w:rPr>
          <w:color w:val="222222"/>
          <w:shd w:val="clear" w:color="auto" w:fill="FFFFFF"/>
        </w:rPr>
        <w:t>:</w:t>
      </w:r>
      <w:r w:rsidR="00863DAB" w:rsidRPr="004A16D3">
        <w:rPr>
          <w:rStyle w:val="bibfpage"/>
        </w:rPr>
        <w:t>1119</w:t>
      </w:r>
      <w:r w:rsidR="00863DAB" w:rsidRPr="004A16D3">
        <w:rPr>
          <w:color w:val="222222"/>
          <w:shd w:val="clear" w:color="auto" w:fill="FFFFFF"/>
        </w:rPr>
        <w:t>-</w:t>
      </w:r>
      <w:r w:rsidR="00863DAB" w:rsidRPr="004A16D3">
        <w:rPr>
          <w:rStyle w:val="biblpage"/>
        </w:rPr>
        <w:t>1126</w:t>
      </w:r>
      <w:r w:rsidR="00863DAB" w:rsidRPr="004A16D3">
        <w:rPr>
          <w:color w:val="222222"/>
          <w:shd w:val="clear" w:color="auto" w:fill="FFFFFF"/>
        </w:rPr>
        <w:t>.</w:t>
      </w:r>
    </w:p>
    <w:p w:rsidR="00A70A93" w:rsidRPr="004A16D3" w:rsidRDefault="006B0720" w:rsidP="006B0720">
      <w:pPr>
        <w:pStyle w:val="REF-N"/>
        <w:widowControl w:val="0"/>
        <w:autoSpaceDE w:val="0"/>
        <w:autoSpaceDN w:val="0"/>
        <w:adjustRightInd w:val="0"/>
        <w:spacing w:line="480" w:lineRule="auto"/>
        <w:ind w:left="360" w:hanging="360"/>
        <w:rPr>
          <w:color w:val="222222"/>
          <w:shd w:val="clear" w:color="auto" w:fill="FFFFFF"/>
        </w:rPr>
      </w:pPr>
      <w:r w:rsidRPr="004A16D3">
        <w:rPr>
          <w:rStyle w:val="bibnumber"/>
        </w:rPr>
        <w:t>17</w:t>
      </w:r>
      <w:r w:rsidRPr="004A16D3">
        <w:rPr>
          <w:color w:val="222222"/>
        </w:rPr>
        <w:t>.</w:t>
      </w:r>
      <w:r w:rsidRPr="004A16D3">
        <w:rPr>
          <w:color w:val="222222"/>
        </w:rPr>
        <w:tab/>
      </w:r>
      <w:r w:rsidR="00863DAB" w:rsidRPr="004A16D3">
        <w:rPr>
          <w:rStyle w:val="bibsurname"/>
        </w:rPr>
        <w:t>Seppänen</w:t>
      </w:r>
      <w:r w:rsidR="00863DAB" w:rsidRPr="004A16D3">
        <w:rPr>
          <w:color w:val="222222"/>
          <w:shd w:val="clear" w:color="auto" w:fill="FFFFFF"/>
        </w:rPr>
        <w:t xml:space="preserve"> </w:t>
      </w:r>
      <w:r w:rsidR="00863DAB" w:rsidRPr="004A16D3">
        <w:rPr>
          <w:rStyle w:val="bibfname"/>
        </w:rPr>
        <w:t>AV</w:t>
      </w:r>
      <w:r w:rsidR="00863DAB" w:rsidRPr="004A16D3">
        <w:rPr>
          <w:color w:val="222222"/>
          <w:shd w:val="clear" w:color="auto" w:fill="FFFFFF"/>
        </w:rPr>
        <w:t xml:space="preserve">, </w:t>
      </w:r>
      <w:r w:rsidR="00863DAB" w:rsidRPr="004A16D3">
        <w:rPr>
          <w:rStyle w:val="bibsurname"/>
        </w:rPr>
        <w:t>Barros</w:t>
      </w:r>
      <w:r w:rsidR="00863DAB" w:rsidRPr="004A16D3">
        <w:rPr>
          <w:color w:val="222222"/>
          <w:shd w:val="clear" w:color="auto" w:fill="FFFFFF"/>
        </w:rPr>
        <w:t xml:space="preserve"> </w:t>
      </w:r>
      <w:r w:rsidR="00863DAB" w:rsidRPr="004A16D3">
        <w:rPr>
          <w:rStyle w:val="bibfname"/>
        </w:rPr>
        <w:t>H</w:t>
      </w:r>
      <w:r w:rsidR="00863DAB" w:rsidRPr="004A16D3">
        <w:rPr>
          <w:color w:val="222222"/>
          <w:shd w:val="clear" w:color="auto" w:fill="FFFFFF"/>
        </w:rPr>
        <w:t xml:space="preserve">, </w:t>
      </w:r>
      <w:r w:rsidR="00863DAB" w:rsidRPr="004A16D3">
        <w:rPr>
          <w:rStyle w:val="bibsurname"/>
        </w:rPr>
        <w:t>Draper</w:t>
      </w:r>
      <w:r w:rsidR="00863DAB" w:rsidRPr="004A16D3">
        <w:rPr>
          <w:color w:val="222222"/>
          <w:shd w:val="clear" w:color="auto" w:fill="FFFFFF"/>
        </w:rPr>
        <w:t xml:space="preserve"> </w:t>
      </w:r>
      <w:r w:rsidR="00863DAB" w:rsidRPr="004A16D3">
        <w:rPr>
          <w:rStyle w:val="bibfname"/>
        </w:rPr>
        <w:t>ES</w:t>
      </w:r>
      <w:r w:rsidR="00863DAB" w:rsidRPr="004A16D3">
        <w:rPr>
          <w:color w:val="222222"/>
          <w:shd w:val="clear" w:color="auto" w:fill="FFFFFF"/>
        </w:rPr>
        <w:t xml:space="preserve">, </w:t>
      </w:r>
      <w:r w:rsidR="00641E5E" w:rsidRPr="004A16D3">
        <w:rPr>
          <w:rStyle w:val="bibetal"/>
        </w:rPr>
        <w:t>et al</w:t>
      </w:r>
      <w:r w:rsidR="00641E5E" w:rsidRPr="004A16D3">
        <w:rPr>
          <w:color w:val="222222"/>
          <w:shd w:val="clear" w:color="auto" w:fill="FFFFFF"/>
        </w:rPr>
        <w:t>.</w:t>
      </w:r>
      <w:r w:rsidR="00863DAB" w:rsidRPr="004A16D3">
        <w:rPr>
          <w:color w:val="222222"/>
          <w:shd w:val="clear" w:color="auto" w:fill="FFFFFF"/>
        </w:rPr>
        <w:t xml:space="preserve"> </w:t>
      </w:r>
      <w:r w:rsidR="00863DAB" w:rsidRPr="004A16D3">
        <w:rPr>
          <w:rStyle w:val="bibarticle"/>
        </w:rPr>
        <w:t>Variation in follow-up for children born very preterm in Europe</w:t>
      </w:r>
      <w:r w:rsidR="00863DAB" w:rsidRPr="004A16D3">
        <w:rPr>
          <w:color w:val="222222"/>
          <w:shd w:val="clear" w:color="auto" w:fill="FFFFFF"/>
        </w:rPr>
        <w:t>.</w:t>
      </w:r>
      <w:r w:rsidR="003C2C62" w:rsidRPr="004A16D3">
        <w:rPr>
          <w:color w:val="222222"/>
          <w:shd w:val="clear" w:color="auto" w:fill="FFFFFF"/>
        </w:rPr>
        <w:t xml:space="preserve"> </w:t>
      </w:r>
      <w:r w:rsidR="00863DAB" w:rsidRPr="004A16D3">
        <w:rPr>
          <w:rStyle w:val="bibjournal"/>
          <w:i/>
        </w:rPr>
        <w:t>Eur J Public Health</w:t>
      </w:r>
      <w:r w:rsidR="00E3774D" w:rsidRPr="004A16D3">
        <w:rPr>
          <w:color w:val="222222"/>
          <w:shd w:val="clear" w:color="auto" w:fill="FFFFFF"/>
        </w:rPr>
        <w:t xml:space="preserve">. </w:t>
      </w:r>
      <w:r w:rsidR="00641E5E" w:rsidRPr="004A16D3">
        <w:rPr>
          <w:rStyle w:val="bibyear"/>
        </w:rPr>
        <w:t>2024</w:t>
      </w:r>
      <w:r w:rsidR="00641E5E" w:rsidRPr="004A16D3">
        <w:rPr>
          <w:color w:val="222222"/>
          <w:shd w:val="clear" w:color="auto" w:fill="FFFFFF"/>
        </w:rPr>
        <w:t>;</w:t>
      </w:r>
      <w:r w:rsidR="00863DAB" w:rsidRPr="004A16D3">
        <w:rPr>
          <w:rStyle w:val="bibvolume"/>
        </w:rPr>
        <w:t>34</w:t>
      </w:r>
      <w:r w:rsidR="00863DAB" w:rsidRPr="004A16D3">
        <w:rPr>
          <w:color w:val="222222"/>
          <w:shd w:val="clear" w:color="auto" w:fill="FFFFFF"/>
        </w:rPr>
        <w:t>(</w:t>
      </w:r>
      <w:r w:rsidR="00863DAB" w:rsidRPr="004A16D3">
        <w:rPr>
          <w:rStyle w:val="bibissue"/>
        </w:rPr>
        <w:t>1</w:t>
      </w:r>
      <w:r w:rsidR="00863DAB" w:rsidRPr="004A16D3">
        <w:rPr>
          <w:color w:val="222222"/>
          <w:shd w:val="clear" w:color="auto" w:fill="FFFFFF"/>
        </w:rPr>
        <w:t>)</w:t>
      </w:r>
      <w:r w:rsidR="00E3774D" w:rsidRPr="004A16D3">
        <w:rPr>
          <w:color w:val="222222"/>
          <w:shd w:val="clear" w:color="auto" w:fill="FFFFFF"/>
        </w:rPr>
        <w:t>:</w:t>
      </w:r>
      <w:r w:rsidR="00863DAB" w:rsidRPr="004A16D3">
        <w:rPr>
          <w:rStyle w:val="bibfpage"/>
        </w:rPr>
        <w:t>91</w:t>
      </w:r>
      <w:r w:rsidR="00863DAB" w:rsidRPr="004A16D3">
        <w:rPr>
          <w:color w:val="222222"/>
          <w:shd w:val="clear" w:color="auto" w:fill="FFFFFF"/>
        </w:rPr>
        <w:t>-</w:t>
      </w:r>
      <w:r w:rsidR="00863DAB" w:rsidRPr="004A16D3">
        <w:rPr>
          <w:rStyle w:val="biblpage"/>
        </w:rPr>
        <w:t>100</w:t>
      </w:r>
      <w:r w:rsidR="00863DAB" w:rsidRPr="004A16D3">
        <w:rPr>
          <w:color w:val="222222"/>
          <w:shd w:val="clear" w:color="auto" w:fill="FFFFFF"/>
        </w:rPr>
        <w:t>.</w:t>
      </w:r>
    </w:p>
    <w:p w:rsidR="00A70A93" w:rsidRPr="004A16D3" w:rsidRDefault="006B0720" w:rsidP="006B0720">
      <w:pPr>
        <w:pStyle w:val="REF-N"/>
        <w:widowControl w:val="0"/>
        <w:autoSpaceDE w:val="0"/>
        <w:autoSpaceDN w:val="0"/>
        <w:adjustRightInd w:val="0"/>
        <w:spacing w:line="480" w:lineRule="auto"/>
        <w:ind w:left="360" w:hanging="360"/>
        <w:rPr>
          <w:color w:val="222222"/>
          <w:shd w:val="clear" w:color="auto" w:fill="FFFFFF"/>
        </w:rPr>
      </w:pPr>
      <w:r w:rsidRPr="004A16D3">
        <w:rPr>
          <w:rStyle w:val="bibnumber"/>
        </w:rPr>
        <w:t>18</w:t>
      </w:r>
      <w:r w:rsidRPr="004A16D3">
        <w:rPr>
          <w:color w:val="222222"/>
        </w:rPr>
        <w:t>.</w:t>
      </w:r>
      <w:r w:rsidRPr="004A16D3">
        <w:rPr>
          <w:color w:val="222222"/>
        </w:rPr>
        <w:tab/>
      </w:r>
      <w:r w:rsidR="00863DAB" w:rsidRPr="004A16D3">
        <w:rPr>
          <w:rStyle w:val="bibsurname"/>
        </w:rPr>
        <w:t>Vanek</w:t>
      </w:r>
      <w:r w:rsidR="00863DAB" w:rsidRPr="004A16D3">
        <w:rPr>
          <w:color w:val="222222"/>
          <w:shd w:val="clear" w:color="auto" w:fill="FFFFFF"/>
        </w:rPr>
        <w:t xml:space="preserve"> </w:t>
      </w:r>
      <w:r w:rsidR="00863DAB" w:rsidRPr="004A16D3">
        <w:rPr>
          <w:rStyle w:val="bibfname"/>
        </w:rPr>
        <w:t>VW</w:t>
      </w:r>
      <w:r w:rsidR="00863DAB" w:rsidRPr="004A16D3">
        <w:rPr>
          <w:color w:val="222222"/>
          <w:shd w:val="clear" w:color="auto" w:fill="FFFFFF"/>
        </w:rPr>
        <w:t xml:space="preserve">, </w:t>
      </w:r>
      <w:r w:rsidR="00863DAB" w:rsidRPr="004A16D3">
        <w:rPr>
          <w:rStyle w:val="bibsurname"/>
        </w:rPr>
        <w:t>Borum</w:t>
      </w:r>
      <w:r w:rsidR="00863DAB" w:rsidRPr="004A16D3">
        <w:rPr>
          <w:color w:val="222222"/>
          <w:shd w:val="clear" w:color="auto" w:fill="FFFFFF"/>
        </w:rPr>
        <w:t xml:space="preserve"> </w:t>
      </w:r>
      <w:r w:rsidR="00863DAB" w:rsidRPr="004A16D3">
        <w:rPr>
          <w:rStyle w:val="bibfname"/>
        </w:rPr>
        <w:t>P</w:t>
      </w:r>
      <w:r w:rsidR="00863DAB" w:rsidRPr="004A16D3">
        <w:rPr>
          <w:color w:val="222222"/>
          <w:shd w:val="clear" w:color="auto" w:fill="FFFFFF"/>
        </w:rPr>
        <w:t xml:space="preserve">, </w:t>
      </w:r>
      <w:r w:rsidR="00863DAB" w:rsidRPr="004A16D3">
        <w:rPr>
          <w:rStyle w:val="bibsurname"/>
        </w:rPr>
        <w:t>Buchman</w:t>
      </w:r>
      <w:r w:rsidR="00863DAB" w:rsidRPr="004A16D3">
        <w:rPr>
          <w:color w:val="222222"/>
          <w:shd w:val="clear" w:color="auto" w:fill="FFFFFF"/>
        </w:rPr>
        <w:t xml:space="preserve"> </w:t>
      </w:r>
      <w:r w:rsidR="00863DAB" w:rsidRPr="004A16D3">
        <w:rPr>
          <w:rStyle w:val="bibfname"/>
        </w:rPr>
        <w:t>A</w:t>
      </w:r>
      <w:r w:rsidR="00863DAB" w:rsidRPr="004A16D3">
        <w:rPr>
          <w:color w:val="222222"/>
          <w:shd w:val="clear" w:color="auto" w:fill="FFFFFF"/>
        </w:rPr>
        <w:t xml:space="preserve">, </w:t>
      </w:r>
      <w:r w:rsidR="00E3774D" w:rsidRPr="004A16D3">
        <w:rPr>
          <w:rStyle w:val="bibetal"/>
        </w:rPr>
        <w:t>et al</w:t>
      </w:r>
      <w:r w:rsidR="00863DAB" w:rsidRPr="004A16D3">
        <w:rPr>
          <w:color w:val="222222"/>
          <w:shd w:val="clear" w:color="auto" w:fill="FFFFFF"/>
        </w:rPr>
        <w:t xml:space="preserve">. </w:t>
      </w:r>
      <w:r w:rsidR="00863DAB" w:rsidRPr="004A16D3">
        <w:rPr>
          <w:rStyle w:val="bibarticle"/>
        </w:rPr>
        <w:t>ASPEN position paper: recommendations for changes in commercially available parenteral multivitamin and multi–trace element products</w:t>
      </w:r>
      <w:r w:rsidR="00863DAB" w:rsidRPr="004A16D3">
        <w:rPr>
          <w:color w:val="222222"/>
          <w:shd w:val="clear" w:color="auto" w:fill="FFFFFF"/>
        </w:rPr>
        <w:t>.</w:t>
      </w:r>
      <w:r w:rsidR="003C2C62" w:rsidRPr="004A16D3">
        <w:rPr>
          <w:color w:val="222222"/>
          <w:shd w:val="clear" w:color="auto" w:fill="FFFFFF"/>
        </w:rPr>
        <w:t xml:space="preserve"> </w:t>
      </w:r>
      <w:r w:rsidR="00863DAB" w:rsidRPr="004A16D3">
        <w:rPr>
          <w:rStyle w:val="bibjournal"/>
          <w:i/>
        </w:rPr>
        <w:t>Nutr Clin Pract</w:t>
      </w:r>
      <w:r w:rsidR="00E3774D" w:rsidRPr="004A16D3">
        <w:rPr>
          <w:color w:val="222222"/>
          <w:shd w:val="clear" w:color="auto" w:fill="FFFFFF"/>
        </w:rPr>
        <w:t xml:space="preserve">. </w:t>
      </w:r>
      <w:r w:rsidR="00E3774D" w:rsidRPr="004A16D3">
        <w:rPr>
          <w:rStyle w:val="bibyear"/>
        </w:rPr>
        <w:t>2012</w:t>
      </w:r>
      <w:r w:rsidR="00E3774D" w:rsidRPr="004A16D3">
        <w:rPr>
          <w:color w:val="222222"/>
          <w:shd w:val="clear" w:color="auto" w:fill="FFFFFF"/>
        </w:rPr>
        <w:t>;</w:t>
      </w:r>
      <w:r w:rsidR="00863DAB" w:rsidRPr="004A16D3">
        <w:rPr>
          <w:rStyle w:val="bibvolume"/>
        </w:rPr>
        <w:t>27</w:t>
      </w:r>
      <w:r w:rsidR="00863DAB" w:rsidRPr="004A16D3">
        <w:rPr>
          <w:color w:val="222222"/>
          <w:shd w:val="clear" w:color="auto" w:fill="FFFFFF"/>
        </w:rPr>
        <w:t>(</w:t>
      </w:r>
      <w:r w:rsidR="00863DAB" w:rsidRPr="004A16D3">
        <w:rPr>
          <w:rStyle w:val="bibissue"/>
        </w:rPr>
        <w:t>4</w:t>
      </w:r>
      <w:r w:rsidR="00863DAB" w:rsidRPr="004A16D3">
        <w:rPr>
          <w:color w:val="222222"/>
          <w:shd w:val="clear" w:color="auto" w:fill="FFFFFF"/>
        </w:rPr>
        <w:t>)</w:t>
      </w:r>
      <w:r w:rsidR="00E3774D" w:rsidRPr="004A16D3">
        <w:rPr>
          <w:color w:val="222222"/>
          <w:shd w:val="clear" w:color="auto" w:fill="FFFFFF"/>
        </w:rPr>
        <w:t>:</w:t>
      </w:r>
      <w:r w:rsidR="00863DAB" w:rsidRPr="004A16D3">
        <w:rPr>
          <w:rStyle w:val="bibfpage"/>
        </w:rPr>
        <w:t>440</w:t>
      </w:r>
      <w:r w:rsidR="00863DAB" w:rsidRPr="004A16D3">
        <w:rPr>
          <w:color w:val="222222"/>
          <w:shd w:val="clear" w:color="auto" w:fill="FFFFFF"/>
        </w:rPr>
        <w:t>-</w:t>
      </w:r>
      <w:r w:rsidR="00863DAB" w:rsidRPr="004A16D3">
        <w:rPr>
          <w:rStyle w:val="biblpage"/>
        </w:rPr>
        <w:t>491</w:t>
      </w:r>
      <w:r w:rsidR="00863DAB" w:rsidRPr="004A16D3">
        <w:rPr>
          <w:color w:val="222222"/>
          <w:shd w:val="clear" w:color="auto" w:fill="FFFFFF"/>
        </w:rPr>
        <w:t>.</w:t>
      </w:r>
    </w:p>
    <w:p w:rsidR="00A70A93" w:rsidRPr="004A16D3" w:rsidRDefault="006B0720" w:rsidP="006B0720">
      <w:pPr>
        <w:pStyle w:val="REF-N"/>
        <w:widowControl w:val="0"/>
        <w:autoSpaceDE w:val="0"/>
        <w:autoSpaceDN w:val="0"/>
        <w:adjustRightInd w:val="0"/>
        <w:spacing w:line="480" w:lineRule="auto"/>
        <w:ind w:left="360" w:hanging="360"/>
        <w:rPr>
          <w:shd w:val="clear" w:color="auto" w:fill="FFFFFF"/>
        </w:rPr>
      </w:pPr>
      <w:r w:rsidRPr="004A16D3">
        <w:rPr>
          <w:rStyle w:val="bibnumber"/>
        </w:rPr>
        <w:t>19</w:t>
      </w:r>
      <w:r w:rsidRPr="004A16D3">
        <w:t>.</w:t>
      </w:r>
      <w:r w:rsidRPr="004A16D3">
        <w:tab/>
      </w:r>
      <w:r w:rsidR="00863DAB" w:rsidRPr="004A16D3">
        <w:rPr>
          <w:rStyle w:val="bibsurname"/>
        </w:rPr>
        <w:t>Broekaert</w:t>
      </w:r>
      <w:r w:rsidR="00863DAB" w:rsidRPr="004A16D3">
        <w:rPr>
          <w:color w:val="222222"/>
          <w:shd w:val="clear" w:color="auto" w:fill="FFFFFF"/>
        </w:rPr>
        <w:t xml:space="preserve"> </w:t>
      </w:r>
      <w:r w:rsidR="00863DAB" w:rsidRPr="004A16D3">
        <w:rPr>
          <w:rStyle w:val="bibfname"/>
        </w:rPr>
        <w:t>IJ</w:t>
      </w:r>
      <w:r w:rsidR="00863DAB" w:rsidRPr="004A16D3">
        <w:rPr>
          <w:color w:val="222222"/>
          <w:shd w:val="clear" w:color="auto" w:fill="FFFFFF"/>
        </w:rPr>
        <w:t xml:space="preserve">, </w:t>
      </w:r>
      <w:r w:rsidR="00863DAB" w:rsidRPr="004A16D3">
        <w:rPr>
          <w:rStyle w:val="bibsurname"/>
        </w:rPr>
        <w:t>Falconer</w:t>
      </w:r>
      <w:r w:rsidR="00863DAB" w:rsidRPr="004A16D3">
        <w:rPr>
          <w:color w:val="222222"/>
          <w:shd w:val="clear" w:color="auto" w:fill="FFFFFF"/>
        </w:rPr>
        <w:t xml:space="preserve"> </w:t>
      </w:r>
      <w:r w:rsidR="00863DAB" w:rsidRPr="004A16D3">
        <w:rPr>
          <w:rStyle w:val="bibfname"/>
        </w:rPr>
        <w:t>J</w:t>
      </w:r>
      <w:r w:rsidR="00863DAB" w:rsidRPr="004A16D3">
        <w:rPr>
          <w:color w:val="222222"/>
          <w:shd w:val="clear" w:color="auto" w:fill="FFFFFF"/>
        </w:rPr>
        <w:t xml:space="preserve">, </w:t>
      </w:r>
      <w:r w:rsidR="00863DAB" w:rsidRPr="004A16D3">
        <w:rPr>
          <w:rStyle w:val="bibsurname"/>
        </w:rPr>
        <w:t>Bronsky</w:t>
      </w:r>
      <w:r w:rsidR="00863DAB" w:rsidRPr="004A16D3">
        <w:rPr>
          <w:color w:val="222222"/>
          <w:shd w:val="clear" w:color="auto" w:fill="FFFFFF"/>
        </w:rPr>
        <w:t xml:space="preserve"> </w:t>
      </w:r>
      <w:r w:rsidR="00863DAB" w:rsidRPr="004A16D3">
        <w:rPr>
          <w:rStyle w:val="bibfname"/>
        </w:rPr>
        <w:t>J</w:t>
      </w:r>
      <w:r w:rsidR="00863DAB" w:rsidRPr="004A16D3">
        <w:rPr>
          <w:color w:val="222222"/>
          <w:shd w:val="clear" w:color="auto" w:fill="FFFFFF"/>
        </w:rPr>
        <w:t xml:space="preserve">, </w:t>
      </w:r>
      <w:r w:rsidR="00E3774D" w:rsidRPr="004A16D3">
        <w:rPr>
          <w:rStyle w:val="bibetal"/>
        </w:rPr>
        <w:t>et al</w:t>
      </w:r>
      <w:r w:rsidR="00863DAB" w:rsidRPr="004A16D3">
        <w:t>.</w:t>
      </w:r>
      <w:r w:rsidR="00863DAB" w:rsidRPr="004A16D3">
        <w:rPr>
          <w:color w:val="222222"/>
          <w:shd w:val="clear" w:color="auto" w:fill="FFFFFF"/>
        </w:rPr>
        <w:t xml:space="preserve"> </w:t>
      </w:r>
      <w:r w:rsidR="00863DAB" w:rsidRPr="004A16D3">
        <w:rPr>
          <w:rStyle w:val="bibarticle"/>
        </w:rPr>
        <w:t>The use of jejunal tube feeding in children: a position paper by the Gastroenterology and Nutrition Committees of the European Society for Paediatric Gastroenterology, Hepatology, and Nutrition 2019</w:t>
      </w:r>
      <w:r w:rsidR="00863DAB" w:rsidRPr="004A16D3">
        <w:rPr>
          <w:color w:val="222222"/>
          <w:shd w:val="clear" w:color="auto" w:fill="FFFFFF"/>
        </w:rPr>
        <w:t>.</w:t>
      </w:r>
      <w:r w:rsidR="003C2C62" w:rsidRPr="004A16D3">
        <w:rPr>
          <w:color w:val="222222"/>
          <w:shd w:val="clear" w:color="auto" w:fill="FFFFFF"/>
        </w:rPr>
        <w:t xml:space="preserve"> </w:t>
      </w:r>
      <w:r w:rsidR="00863DAB" w:rsidRPr="004A16D3">
        <w:rPr>
          <w:rStyle w:val="bibjournal"/>
          <w:i/>
        </w:rPr>
        <w:t xml:space="preserve">J </w:t>
      </w:r>
      <w:r w:rsidR="00E3774D" w:rsidRPr="004A16D3">
        <w:rPr>
          <w:rStyle w:val="bibjournal"/>
          <w:i/>
        </w:rPr>
        <w:t>P</w:t>
      </w:r>
      <w:r w:rsidR="00863DAB" w:rsidRPr="004A16D3">
        <w:rPr>
          <w:rStyle w:val="bibjournal"/>
          <w:i/>
        </w:rPr>
        <w:t xml:space="preserve">ediatr </w:t>
      </w:r>
      <w:r w:rsidR="00E3774D" w:rsidRPr="004A16D3">
        <w:rPr>
          <w:rStyle w:val="bibjournal"/>
          <w:i/>
        </w:rPr>
        <w:t>G</w:t>
      </w:r>
      <w:r w:rsidR="00863DAB" w:rsidRPr="004A16D3">
        <w:rPr>
          <w:rStyle w:val="bibjournal"/>
          <w:i/>
        </w:rPr>
        <w:t xml:space="preserve">astroenterol </w:t>
      </w:r>
      <w:r w:rsidR="00E3774D" w:rsidRPr="004A16D3">
        <w:rPr>
          <w:rStyle w:val="bibjournal"/>
          <w:i/>
        </w:rPr>
        <w:t>N</w:t>
      </w:r>
      <w:r w:rsidR="00863DAB" w:rsidRPr="004A16D3">
        <w:rPr>
          <w:rStyle w:val="bibjournal"/>
          <w:i/>
        </w:rPr>
        <w:t>utr</w:t>
      </w:r>
      <w:r w:rsidR="00E3774D" w:rsidRPr="004A16D3">
        <w:rPr>
          <w:color w:val="222222"/>
          <w:shd w:val="clear" w:color="auto" w:fill="FFFFFF"/>
        </w:rPr>
        <w:t xml:space="preserve">. </w:t>
      </w:r>
      <w:r w:rsidR="00E3774D" w:rsidRPr="004A16D3">
        <w:rPr>
          <w:rStyle w:val="bibyear"/>
        </w:rPr>
        <w:t>2019</w:t>
      </w:r>
      <w:r w:rsidR="00E3774D" w:rsidRPr="004A16D3">
        <w:rPr>
          <w:color w:val="222222"/>
          <w:shd w:val="clear" w:color="auto" w:fill="FFFFFF"/>
        </w:rPr>
        <w:t>;</w:t>
      </w:r>
      <w:r w:rsidR="00863DAB" w:rsidRPr="004A16D3">
        <w:rPr>
          <w:rStyle w:val="bibvolume"/>
        </w:rPr>
        <w:t>69</w:t>
      </w:r>
      <w:r w:rsidR="00863DAB" w:rsidRPr="004A16D3">
        <w:rPr>
          <w:color w:val="222222"/>
          <w:shd w:val="clear" w:color="auto" w:fill="FFFFFF"/>
        </w:rPr>
        <w:t>(</w:t>
      </w:r>
      <w:r w:rsidR="00863DAB" w:rsidRPr="004A16D3">
        <w:rPr>
          <w:rStyle w:val="bibissue"/>
        </w:rPr>
        <w:t>2</w:t>
      </w:r>
      <w:r w:rsidR="00863DAB" w:rsidRPr="004A16D3">
        <w:rPr>
          <w:color w:val="222222"/>
          <w:shd w:val="clear" w:color="auto" w:fill="FFFFFF"/>
        </w:rPr>
        <w:t>)</w:t>
      </w:r>
      <w:r w:rsidR="00E3774D" w:rsidRPr="004A16D3">
        <w:rPr>
          <w:color w:val="222222"/>
          <w:shd w:val="clear" w:color="auto" w:fill="FFFFFF"/>
        </w:rPr>
        <w:t>:</w:t>
      </w:r>
      <w:r w:rsidR="00863DAB" w:rsidRPr="004A16D3">
        <w:rPr>
          <w:rStyle w:val="bibfpage"/>
        </w:rPr>
        <w:t>239</w:t>
      </w:r>
      <w:r w:rsidR="00863DAB" w:rsidRPr="004A16D3">
        <w:rPr>
          <w:color w:val="222222"/>
          <w:shd w:val="clear" w:color="auto" w:fill="FFFFFF"/>
        </w:rPr>
        <w:t>-</w:t>
      </w:r>
      <w:r w:rsidR="00863DAB" w:rsidRPr="004A16D3">
        <w:rPr>
          <w:rStyle w:val="biblpage"/>
        </w:rPr>
        <w:t>258</w:t>
      </w:r>
      <w:r w:rsidR="00863DAB" w:rsidRPr="004A16D3">
        <w:rPr>
          <w:color w:val="222222"/>
          <w:shd w:val="clear" w:color="auto" w:fill="FFFFFF"/>
        </w:rPr>
        <w:t>.</w:t>
      </w:r>
    </w:p>
    <w:p w:rsidR="00A70A93" w:rsidRPr="004A16D3" w:rsidRDefault="006B0720" w:rsidP="006B0720">
      <w:pPr>
        <w:pStyle w:val="REF-N"/>
        <w:widowControl w:val="0"/>
        <w:autoSpaceDE w:val="0"/>
        <w:autoSpaceDN w:val="0"/>
        <w:adjustRightInd w:val="0"/>
        <w:spacing w:line="480" w:lineRule="auto"/>
        <w:ind w:left="360" w:hanging="360"/>
        <w:rPr>
          <w:color w:val="222222"/>
          <w:shd w:val="clear" w:color="auto" w:fill="FFFFFF"/>
        </w:rPr>
      </w:pPr>
      <w:r w:rsidRPr="004A16D3">
        <w:rPr>
          <w:rStyle w:val="bibnumber"/>
        </w:rPr>
        <w:t>20</w:t>
      </w:r>
      <w:r w:rsidRPr="004A16D3">
        <w:rPr>
          <w:color w:val="222222"/>
        </w:rPr>
        <w:t>.</w:t>
      </w:r>
      <w:r w:rsidRPr="004A16D3">
        <w:rPr>
          <w:color w:val="222222"/>
        </w:rPr>
        <w:tab/>
      </w:r>
      <w:r w:rsidR="00863DAB" w:rsidRPr="004A16D3">
        <w:rPr>
          <w:rStyle w:val="bibsurname"/>
        </w:rPr>
        <w:t>Thoene</w:t>
      </w:r>
      <w:r w:rsidR="00863DAB" w:rsidRPr="004A16D3">
        <w:rPr>
          <w:color w:val="222222"/>
          <w:shd w:val="clear" w:color="auto" w:fill="FFFFFF"/>
        </w:rPr>
        <w:t xml:space="preserve"> </w:t>
      </w:r>
      <w:r w:rsidR="00863DAB" w:rsidRPr="004A16D3">
        <w:rPr>
          <w:rStyle w:val="bibfname"/>
        </w:rPr>
        <w:t>M</w:t>
      </w:r>
      <w:r w:rsidR="00D825C2" w:rsidRPr="004A16D3">
        <w:rPr>
          <w:rStyle w:val="bibfname"/>
        </w:rPr>
        <w:t>,</w:t>
      </w:r>
      <w:r w:rsidR="00863DAB" w:rsidRPr="004A16D3">
        <w:rPr>
          <w:color w:val="222222"/>
          <w:shd w:val="clear" w:color="auto" w:fill="FFFFFF"/>
        </w:rPr>
        <w:t xml:space="preserve"> </w:t>
      </w:r>
      <w:r w:rsidR="00863DAB" w:rsidRPr="004A16D3">
        <w:rPr>
          <w:rStyle w:val="bibsurname"/>
        </w:rPr>
        <w:t>Anderson-Berry</w:t>
      </w:r>
      <w:r w:rsidR="00863DAB" w:rsidRPr="004A16D3">
        <w:rPr>
          <w:color w:val="222222"/>
          <w:shd w:val="clear" w:color="auto" w:fill="FFFFFF"/>
        </w:rPr>
        <w:t xml:space="preserve"> </w:t>
      </w:r>
      <w:r w:rsidR="00863DAB" w:rsidRPr="004A16D3">
        <w:rPr>
          <w:rStyle w:val="bibfname"/>
        </w:rPr>
        <w:t>A</w:t>
      </w:r>
      <w:r w:rsidR="00863DAB" w:rsidRPr="004A16D3">
        <w:t>.</w:t>
      </w:r>
      <w:r w:rsidR="00863DAB" w:rsidRPr="004A16D3">
        <w:rPr>
          <w:color w:val="222222"/>
          <w:shd w:val="clear" w:color="auto" w:fill="FFFFFF"/>
        </w:rPr>
        <w:t xml:space="preserve"> </w:t>
      </w:r>
      <w:r w:rsidR="00863DAB" w:rsidRPr="004A16D3">
        <w:rPr>
          <w:rStyle w:val="bibarticle"/>
        </w:rPr>
        <w:t>Early enteral feeding in preterm infants: a narrative review of the nutritional, metabolic, and developmental benefits</w:t>
      </w:r>
      <w:r w:rsidR="00863DAB" w:rsidRPr="004A16D3">
        <w:rPr>
          <w:color w:val="222222"/>
          <w:shd w:val="clear" w:color="auto" w:fill="FFFFFF"/>
        </w:rPr>
        <w:t xml:space="preserve">. </w:t>
      </w:r>
      <w:r w:rsidR="00863DAB" w:rsidRPr="004A16D3">
        <w:rPr>
          <w:rStyle w:val="bibjournal"/>
          <w:i/>
        </w:rPr>
        <w:t>Nutrients</w:t>
      </w:r>
      <w:r w:rsidR="00D825C2" w:rsidRPr="004A16D3">
        <w:rPr>
          <w:color w:val="222222"/>
          <w:shd w:val="clear" w:color="auto" w:fill="FFFFFF"/>
        </w:rPr>
        <w:t>.</w:t>
      </w:r>
      <w:r w:rsidR="00863DAB" w:rsidRPr="004A16D3">
        <w:rPr>
          <w:color w:val="222222"/>
          <w:shd w:val="clear" w:color="auto" w:fill="FFFFFF"/>
        </w:rPr>
        <w:t xml:space="preserve"> </w:t>
      </w:r>
      <w:r w:rsidR="00D825C2" w:rsidRPr="004A16D3">
        <w:rPr>
          <w:rStyle w:val="bibyear"/>
        </w:rPr>
        <w:t>2021</w:t>
      </w:r>
      <w:r w:rsidR="00D825C2" w:rsidRPr="004A16D3">
        <w:rPr>
          <w:color w:val="222222"/>
          <w:shd w:val="clear" w:color="auto" w:fill="FFFFFF"/>
        </w:rPr>
        <w:t>;</w:t>
      </w:r>
      <w:r w:rsidR="00863DAB" w:rsidRPr="004A16D3">
        <w:rPr>
          <w:rStyle w:val="bibvolume"/>
        </w:rPr>
        <w:t>13</w:t>
      </w:r>
      <w:r w:rsidR="00863DAB" w:rsidRPr="004A16D3">
        <w:rPr>
          <w:color w:val="222222"/>
          <w:shd w:val="clear" w:color="auto" w:fill="FFFFFF"/>
        </w:rPr>
        <w:t>(</w:t>
      </w:r>
      <w:r w:rsidR="00863DAB" w:rsidRPr="004A16D3">
        <w:rPr>
          <w:rStyle w:val="bibissue"/>
        </w:rPr>
        <w:t>7</w:t>
      </w:r>
      <w:r w:rsidR="00863DAB" w:rsidRPr="004A16D3">
        <w:rPr>
          <w:color w:val="222222"/>
          <w:shd w:val="clear" w:color="auto" w:fill="FFFFFF"/>
        </w:rPr>
        <w:t>)</w:t>
      </w:r>
      <w:r w:rsidR="00D825C2" w:rsidRPr="004A16D3">
        <w:rPr>
          <w:color w:val="222222"/>
          <w:shd w:val="clear" w:color="auto" w:fill="FFFFFF"/>
        </w:rPr>
        <w:t>:</w:t>
      </w:r>
      <w:r w:rsidR="00863DAB" w:rsidRPr="004A16D3">
        <w:rPr>
          <w:rStyle w:val="bibfpage"/>
        </w:rPr>
        <w:t>2289</w:t>
      </w:r>
      <w:r w:rsidR="00D825C2" w:rsidRPr="004A16D3">
        <w:t>.</w:t>
      </w:r>
    </w:p>
    <w:p w:rsidR="00A70A93" w:rsidRDefault="006B0720" w:rsidP="006B0720">
      <w:pPr>
        <w:pStyle w:val="REF-N"/>
        <w:widowControl w:val="0"/>
        <w:autoSpaceDE w:val="0"/>
        <w:autoSpaceDN w:val="0"/>
        <w:adjustRightInd w:val="0"/>
        <w:spacing w:line="480" w:lineRule="auto"/>
        <w:ind w:left="360" w:hanging="360"/>
        <w:rPr>
          <w:color w:val="222222"/>
          <w:shd w:val="clear" w:color="auto" w:fill="FFFFFF"/>
        </w:rPr>
      </w:pPr>
      <w:r w:rsidRPr="004A16D3">
        <w:rPr>
          <w:rStyle w:val="bibnumber"/>
        </w:rPr>
        <w:t>21</w:t>
      </w:r>
      <w:r w:rsidRPr="004A16D3">
        <w:rPr>
          <w:color w:val="222222"/>
        </w:rPr>
        <w:t>.</w:t>
      </w:r>
      <w:r w:rsidRPr="004A16D3">
        <w:rPr>
          <w:color w:val="222222"/>
        </w:rPr>
        <w:tab/>
      </w:r>
      <w:r w:rsidR="00863DAB" w:rsidRPr="004A16D3">
        <w:rPr>
          <w:rStyle w:val="bibsurname"/>
        </w:rPr>
        <w:t>Oddie</w:t>
      </w:r>
      <w:r w:rsidR="00863DAB" w:rsidRPr="004A16D3">
        <w:rPr>
          <w:color w:val="222222"/>
          <w:shd w:val="clear" w:color="auto" w:fill="FFFFFF"/>
        </w:rPr>
        <w:t xml:space="preserve"> </w:t>
      </w:r>
      <w:r w:rsidR="00863DAB" w:rsidRPr="004A16D3">
        <w:rPr>
          <w:rStyle w:val="bibfname"/>
        </w:rPr>
        <w:t>SJ</w:t>
      </w:r>
      <w:r w:rsidR="00863DAB" w:rsidRPr="004A16D3">
        <w:rPr>
          <w:color w:val="222222"/>
          <w:shd w:val="clear" w:color="auto" w:fill="FFFFFF"/>
        </w:rPr>
        <w:t xml:space="preserve">, </w:t>
      </w:r>
      <w:r w:rsidR="00863DAB" w:rsidRPr="004A16D3">
        <w:rPr>
          <w:rStyle w:val="bibsurname"/>
        </w:rPr>
        <w:t>Young</w:t>
      </w:r>
      <w:r w:rsidR="00863DAB" w:rsidRPr="004A16D3">
        <w:rPr>
          <w:color w:val="222222"/>
          <w:shd w:val="clear" w:color="auto" w:fill="FFFFFF"/>
        </w:rPr>
        <w:t xml:space="preserve"> </w:t>
      </w:r>
      <w:r w:rsidR="00863DAB" w:rsidRPr="004A16D3">
        <w:rPr>
          <w:rStyle w:val="bibfname"/>
        </w:rPr>
        <w:t>L</w:t>
      </w:r>
      <w:r w:rsidR="00D825C2" w:rsidRPr="004A16D3">
        <w:rPr>
          <w:rStyle w:val="bibfname"/>
        </w:rPr>
        <w:t>,</w:t>
      </w:r>
      <w:r w:rsidR="00863DAB" w:rsidRPr="004A16D3">
        <w:rPr>
          <w:color w:val="222222"/>
          <w:shd w:val="clear" w:color="auto" w:fill="FFFFFF"/>
        </w:rPr>
        <w:t xml:space="preserve"> </w:t>
      </w:r>
      <w:r w:rsidR="00863DAB" w:rsidRPr="004A16D3">
        <w:rPr>
          <w:rStyle w:val="bibsurname"/>
        </w:rPr>
        <w:t>McGuire</w:t>
      </w:r>
      <w:r w:rsidR="00863DAB" w:rsidRPr="004A16D3">
        <w:rPr>
          <w:color w:val="222222"/>
          <w:shd w:val="clear" w:color="auto" w:fill="FFFFFF"/>
        </w:rPr>
        <w:t xml:space="preserve"> </w:t>
      </w:r>
      <w:r w:rsidR="00863DAB" w:rsidRPr="004A16D3">
        <w:rPr>
          <w:rStyle w:val="bibfname"/>
        </w:rPr>
        <w:t>W</w:t>
      </w:r>
      <w:r w:rsidR="00863DAB" w:rsidRPr="004A16D3">
        <w:t>.</w:t>
      </w:r>
      <w:r w:rsidR="00863DAB" w:rsidRPr="004A16D3">
        <w:rPr>
          <w:color w:val="222222"/>
          <w:shd w:val="clear" w:color="auto" w:fill="FFFFFF"/>
        </w:rPr>
        <w:t xml:space="preserve"> </w:t>
      </w:r>
      <w:r w:rsidR="00863DAB" w:rsidRPr="004A16D3">
        <w:rPr>
          <w:rStyle w:val="bibarticle"/>
        </w:rPr>
        <w:t>Slow advancement of enteral feed volumes to prevent necrotising enterocolitis in very low birth weight infants</w:t>
      </w:r>
      <w:r w:rsidR="00863DAB" w:rsidRPr="004A16D3">
        <w:rPr>
          <w:color w:val="222222"/>
          <w:shd w:val="clear" w:color="auto" w:fill="FFFFFF"/>
        </w:rPr>
        <w:t xml:space="preserve">. </w:t>
      </w:r>
      <w:r w:rsidR="00863DAB" w:rsidRPr="004A16D3">
        <w:rPr>
          <w:rStyle w:val="bibjournal"/>
          <w:i/>
        </w:rPr>
        <w:t xml:space="preserve">Cochrane </w:t>
      </w:r>
      <w:r w:rsidR="00D825C2" w:rsidRPr="004A16D3">
        <w:rPr>
          <w:rStyle w:val="bibjournal"/>
          <w:i/>
        </w:rPr>
        <w:t>D</w:t>
      </w:r>
      <w:r w:rsidR="00863DAB" w:rsidRPr="004A16D3">
        <w:rPr>
          <w:rStyle w:val="bibjournal"/>
          <w:i/>
        </w:rPr>
        <w:t xml:space="preserve">atabase </w:t>
      </w:r>
      <w:r w:rsidR="00D825C2" w:rsidRPr="004A16D3">
        <w:rPr>
          <w:rStyle w:val="bibjournal"/>
          <w:i/>
        </w:rPr>
        <w:t>S</w:t>
      </w:r>
      <w:r w:rsidR="00863DAB" w:rsidRPr="004A16D3">
        <w:rPr>
          <w:rStyle w:val="bibjournal"/>
          <w:i/>
        </w:rPr>
        <w:t xml:space="preserve">yst </w:t>
      </w:r>
      <w:r w:rsidR="00D825C2" w:rsidRPr="004A16D3">
        <w:rPr>
          <w:rStyle w:val="bibjournal"/>
          <w:i/>
        </w:rPr>
        <w:t>R</w:t>
      </w:r>
      <w:r w:rsidR="00863DAB" w:rsidRPr="004A16D3">
        <w:rPr>
          <w:rStyle w:val="bibjournal"/>
          <w:i/>
        </w:rPr>
        <w:t>ev</w:t>
      </w:r>
      <w:r w:rsidR="00D825C2" w:rsidRPr="004A16D3">
        <w:t xml:space="preserve">. </w:t>
      </w:r>
      <w:r w:rsidR="00D825C2" w:rsidRPr="004A16D3">
        <w:rPr>
          <w:rStyle w:val="bibyear"/>
        </w:rPr>
        <w:t>2021</w:t>
      </w:r>
      <w:r w:rsidR="00621F92" w:rsidRPr="004A16D3">
        <w:t>;</w:t>
      </w:r>
      <w:r w:rsidR="00621F92" w:rsidRPr="004A16D3">
        <w:rPr>
          <w:rStyle w:val="bibvolume"/>
        </w:rPr>
        <w:t>8</w:t>
      </w:r>
      <w:r w:rsidR="00621F92" w:rsidRPr="004A16D3">
        <w:t>(</w:t>
      </w:r>
      <w:r w:rsidR="00621F92" w:rsidRPr="004A16D3">
        <w:rPr>
          <w:rStyle w:val="bibissue"/>
        </w:rPr>
        <w:t>8</w:t>
      </w:r>
      <w:r w:rsidR="00621F92" w:rsidRPr="004A16D3">
        <w:t>):</w:t>
      </w:r>
      <w:r w:rsidR="00621F92" w:rsidRPr="004A16D3">
        <w:rPr>
          <w:rStyle w:val="bibfpage"/>
        </w:rPr>
        <w:t>CD001241</w:t>
      </w:r>
      <w:r w:rsidR="00D825C2" w:rsidRPr="004A16D3">
        <w:rPr>
          <w:color w:val="222222"/>
          <w:shd w:val="clear" w:color="auto" w:fill="FFFFFF"/>
        </w:rPr>
        <w:t>.</w:t>
      </w:r>
    </w:p>
    <w:p w:rsidR="008B510C" w:rsidRPr="004A16D3" w:rsidRDefault="008B510C" w:rsidP="008B510C">
      <w:pPr>
        <w:rPr>
          <w:shd w:val="clear" w:color="auto" w:fill="FFFFFF"/>
        </w:rPr>
      </w:pPr>
      <w:r>
        <w:rPr>
          <w:shd w:val="clear" w:color="auto" w:fill="FFFFFF"/>
        </w:rPr>
        <w:t>&lt;Ref-Close&gt;</w:t>
      </w:r>
    </w:p>
    <w:p w:rsidR="00A70A93" w:rsidRPr="004A16D3" w:rsidRDefault="00395C34">
      <w:pPr>
        <w:pStyle w:val="T1"/>
        <w:widowControl w:val="0"/>
        <w:autoSpaceDE w:val="0"/>
        <w:autoSpaceDN w:val="0"/>
        <w:adjustRightInd w:val="0"/>
        <w:spacing w:line="480" w:lineRule="auto"/>
        <w:rPr>
          <w:rFonts w:ascii="Times" w:hAnsi="Times" w:cs="Times"/>
          <w:b/>
          <w:bCs/>
        </w:rPr>
      </w:pPr>
      <w:r w:rsidRPr="004A16D3">
        <w:rPr>
          <w:rStyle w:val="TN"/>
          <w:rFonts w:ascii="Times" w:hAnsi="Times" w:cs="Times"/>
          <w:b/>
          <w:bCs/>
        </w:rPr>
        <w:t>TABLE 35.1</w:t>
      </w:r>
      <w:r w:rsidRPr="004A16D3">
        <w:rPr>
          <w:rFonts w:ascii="Times" w:hAnsi="Times" w:cs="Times"/>
          <w:b/>
          <w:bCs/>
        </w:rPr>
        <w:t xml:space="preserve"> NUTRITIONAL RISK FACTORS IN PREMATURITY</w:t>
      </w:r>
    </w:p>
    <w:tbl>
      <w:tblPr>
        <w:tblW w:w="0" w:type="auto"/>
        <w:tblBorders>
          <w:top w:val="single" w:sz="6" w:space="0" w:color="000000"/>
          <w:left w:val="single" w:sz="6" w:space="0" w:color="000000"/>
          <w:bottom w:val="single" w:sz="6" w:space="0" w:color="000000"/>
          <w:right w:val="single" w:sz="6" w:space="0" w:color="000000"/>
          <w:insideH w:val="single" w:sz="6" w:space="0" w:color="000000"/>
        </w:tblBorders>
        <w:tblLook w:val="01E0" w:firstRow="1" w:lastRow="1" w:firstColumn="1" w:lastColumn="1" w:noHBand="0" w:noVBand="0"/>
      </w:tblPr>
      <w:tblGrid>
        <w:gridCol w:w="8856"/>
      </w:tblGrid>
      <w:tr w:rsidR="00A70A93" w:rsidRPr="004A16D3">
        <w:trPr>
          <w:trHeight w:val="1491"/>
        </w:trPr>
        <w:tc>
          <w:tcPr>
            <w:tcW w:w="8856" w:type="dxa"/>
            <w:tcBorders>
              <w:top w:val="single" w:sz="12" w:space="0" w:color="auto"/>
              <w:bottom w:val="single" w:sz="12" w:space="0" w:color="auto"/>
            </w:tcBorders>
          </w:tcPr>
          <w:p w:rsidR="00A70A93" w:rsidRPr="004A16D3" w:rsidRDefault="00863DAB" w:rsidP="00863DAB">
            <w:pPr>
              <w:pStyle w:val="T4"/>
              <w:rPr>
                <w:rFonts w:cs="Arial"/>
              </w:rPr>
            </w:pPr>
            <w:r w:rsidRPr="004A16D3">
              <w:rPr>
                <w:rFonts w:ascii="Times" w:hAnsi="Times" w:cs="Times"/>
              </w:rPr>
              <w:lastRenderedPageBreak/>
              <w:t>Increased nutritional demands</w:t>
            </w:r>
          </w:p>
          <w:p w:rsidR="00A70A93" w:rsidRPr="004A16D3" w:rsidRDefault="00863DAB">
            <w:pPr>
              <w:pStyle w:val="TBL-MID"/>
              <w:widowControl w:val="0"/>
              <w:autoSpaceDE w:val="0"/>
              <w:autoSpaceDN w:val="0"/>
              <w:adjustRightInd w:val="0"/>
              <w:spacing w:line="480" w:lineRule="auto"/>
              <w:rPr>
                <w:rFonts w:ascii="Times" w:hAnsi="Times" w:cs="Times"/>
                <w:bCs/>
                <w:strike/>
              </w:rPr>
            </w:pPr>
            <w:r w:rsidRPr="004A16D3">
              <w:rPr>
                <w:rStyle w:val="BulletManualBodyList"/>
                <w:rFonts w:ascii="Times" w:hAnsi="Times" w:cs="Times"/>
              </w:rPr>
              <w:t>•</w:t>
            </w:r>
            <w:r w:rsidRPr="004A16D3">
              <w:rPr>
                <w:rFonts w:ascii="Times" w:hAnsi="Times" w:cs="Times"/>
              </w:rPr>
              <w:t xml:space="preserve"> Rapid growth phase</w:t>
            </w:r>
          </w:p>
          <w:p w:rsidR="00A70A93" w:rsidRPr="004A16D3" w:rsidRDefault="00863DAB">
            <w:pPr>
              <w:pStyle w:val="TBL-MID"/>
              <w:widowControl w:val="0"/>
              <w:autoSpaceDE w:val="0"/>
              <w:autoSpaceDN w:val="0"/>
              <w:adjustRightInd w:val="0"/>
              <w:spacing w:line="480" w:lineRule="auto"/>
              <w:rPr>
                <w:rFonts w:ascii="Times" w:hAnsi="Times" w:cs="Times"/>
                <w:bCs/>
              </w:rPr>
            </w:pPr>
            <w:r w:rsidRPr="004A16D3">
              <w:rPr>
                <w:rStyle w:val="BulletManualBodyList"/>
                <w:rFonts w:ascii="Times" w:hAnsi="Times" w:cs="Times"/>
              </w:rPr>
              <w:t>•</w:t>
            </w:r>
            <w:r w:rsidRPr="004A16D3">
              <w:rPr>
                <w:rFonts w:ascii="Times" w:hAnsi="Times" w:cs="Times"/>
              </w:rPr>
              <w:t xml:space="preserve"> Metabolic stresses of medical/surgical course</w:t>
            </w:r>
          </w:p>
          <w:p w:rsidR="00A70A93" w:rsidRPr="004A16D3" w:rsidRDefault="00863DAB">
            <w:pPr>
              <w:pStyle w:val="TBL-MID"/>
              <w:widowControl w:val="0"/>
              <w:autoSpaceDE w:val="0"/>
              <w:autoSpaceDN w:val="0"/>
              <w:adjustRightInd w:val="0"/>
              <w:spacing w:line="480" w:lineRule="auto"/>
              <w:rPr>
                <w:rFonts w:ascii="Times" w:hAnsi="Times" w:cs="Times"/>
                <w:bCs/>
              </w:rPr>
            </w:pPr>
            <w:r w:rsidRPr="004A16D3">
              <w:rPr>
                <w:rStyle w:val="BulletManualBodyList"/>
                <w:rFonts w:ascii="Times" w:hAnsi="Times" w:cs="Times"/>
              </w:rPr>
              <w:t>•</w:t>
            </w:r>
            <w:r w:rsidRPr="004A16D3">
              <w:rPr>
                <w:rFonts w:ascii="Times" w:hAnsi="Times" w:cs="Times"/>
              </w:rPr>
              <w:t xml:space="preserve"> Cold stress/energy demand of thermoregulation</w:t>
            </w:r>
          </w:p>
          <w:p w:rsidR="00A70A93" w:rsidRPr="004A16D3" w:rsidRDefault="00863DAB">
            <w:pPr>
              <w:pStyle w:val="TBL-MID"/>
              <w:widowControl w:val="0"/>
              <w:autoSpaceDE w:val="0"/>
              <w:autoSpaceDN w:val="0"/>
              <w:adjustRightInd w:val="0"/>
              <w:spacing w:line="480" w:lineRule="auto"/>
              <w:rPr>
                <w:rFonts w:ascii="Times" w:hAnsi="Times" w:cs="Times"/>
              </w:rPr>
            </w:pPr>
            <w:r w:rsidRPr="004A16D3">
              <w:rPr>
                <w:rStyle w:val="BulletManualBodyList"/>
                <w:rFonts w:ascii="Times" w:hAnsi="Times" w:cs="Times"/>
              </w:rPr>
              <w:t>•</w:t>
            </w:r>
            <w:r w:rsidRPr="004A16D3">
              <w:rPr>
                <w:rFonts w:ascii="Times" w:hAnsi="Times" w:cs="Times"/>
              </w:rPr>
              <w:t xml:space="preserve"> Lower bioavailability of enteral nutrients compared to direct placental transport</w:t>
            </w:r>
          </w:p>
        </w:tc>
      </w:tr>
      <w:tr w:rsidR="00A70A93" w:rsidRPr="004A16D3">
        <w:trPr>
          <w:trHeight w:val="1761"/>
        </w:trPr>
        <w:tc>
          <w:tcPr>
            <w:tcW w:w="8856" w:type="dxa"/>
            <w:tcBorders>
              <w:top w:val="single" w:sz="12" w:space="0" w:color="auto"/>
              <w:bottom w:val="single" w:sz="12" w:space="0" w:color="auto"/>
            </w:tcBorders>
          </w:tcPr>
          <w:p w:rsidR="00A70A93" w:rsidRPr="004A16D3" w:rsidRDefault="00863DAB" w:rsidP="00863DAB">
            <w:pPr>
              <w:pStyle w:val="T4"/>
              <w:rPr>
                <w:rFonts w:ascii="Times" w:hAnsi="Times" w:cs="Times"/>
                <w:bCs/>
              </w:rPr>
            </w:pPr>
            <w:r w:rsidRPr="004A16D3">
              <w:rPr>
                <w:rFonts w:ascii="Times" w:hAnsi="Times" w:cs="Times"/>
              </w:rPr>
              <w:t>Immature organ function</w:t>
            </w:r>
          </w:p>
          <w:p w:rsidR="00A70A93" w:rsidRPr="004A16D3" w:rsidRDefault="00863DAB">
            <w:pPr>
              <w:pStyle w:val="TBL-MID"/>
              <w:widowControl w:val="0"/>
              <w:autoSpaceDE w:val="0"/>
              <w:autoSpaceDN w:val="0"/>
              <w:adjustRightInd w:val="0"/>
              <w:spacing w:line="480" w:lineRule="auto"/>
              <w:rPr>
                <w:rFonts w:ascii="Times" w:hAnsi="Times" w:cs="Times"/>
                <w:bCs/>
              </w:rPr>
            </w:pPr>
            <w:r w:rsidRPr="004A16D3">
              <w:rPr>
                <w:rStyle w:val="BulletManualBodyList"/>
                <w:rFonts w:ascii="Times" w:hAnsi="Times" w:cs="Times"/>
              </w:rPr>
              <w:t>•</w:t>
            </w:r>
            <w:r w:rsidRPr="004A16D3">
              <w:rPr>
                <w:rFonts w:ascii="Times" w:hAnsi="Times" w:cs="Times"/>
              </w:rPr>
              <w:t xml:space="preserve"> GI immaturity</w:t>
            </w:r>
            <w:r w:rsidR="00621F92" w:rsidRPr="004A16D3">
              <w:rPr>
                <w:rStyle w:val="BulletManualBodyList"/>
                <w:rFonts w:ascii="Times" w:hAnsi="Times" w:cs="Times"/>
              </w:rPr>
              <w:t>—</w:t>
            </w:r>
            <w:r w:rsidRPr="004A16D3">
              <w:rPr>
                <w:rFonts w:ascii="Times" w:hAnsi="Times" w:cs="Times"/>
              </w:rPr>
              <w:t>intestinal hypomotility and reduced digestive enzyme activity impairs feeding tolerance and nutrient absorption</w:t>
            </w:r>
          </w:p>
          <w:p w:rsidR="00A70A93" w:rsidRPr="004A16D3" w:rsidRDefault="00863DAB">
            <w:pPr>
              <w:pStyle w:val="TBL-MID"/>
              <w:widowControl w:val="0"/>
              <w:autoSpaceDE w:val="0"/>
              <w:autoSpaceDN w:val="0"/>
              <w:adjustRightInd w:val="0"/>
              <w:spacing w:line="480" w:lineRule="auto"/>
              <w:rPr>
                <w:rFonts w:ascii="Times" w:hAnsi="Times" w:cs="Times"/>
                <w:bCs/>
              </w:rPr>
            </w:pPr>
            <w:r w:rsidRPr="004A16D3">
              <w:rPr>
                <w:rStyle w:val="BulletManualBodyList"/>
                <w:rFonts w:ascii="Times" w:hAnsi="Times" w:cs="Times"/>
              </w:rPr>
              <w:t>•</w:t>
            </w:r>
            <w:r w:rsidRPr="004A16D3">
              <w:rPr>
                <w:rFonts w:ascii="Times" w:hAnsi="Times" w:cs="Times"/>
              </w:rPr>
              <w:t xml:space="preserve"> Liver immaturity</w:t>
            </w:r>
            <w:r w:rsidR="00621F92" w:rsidRPr="004A16D3">
              <w:rPr>
                <w:rFonts w:ascii="Times" w:hAnsi="Times" w:cs="Times"/>
              </w:rPr>
              <w:t>—</w:t>
            </w:r>
            <w:r w:rsidRPr="004A16D3">
              <w:rPr>
                <w:rFonts w:ascii="Times" w:hAnsi="Times" w:cs="Times"/>
              </w:rPr>
              <w:t>risk for hypoglycemia and cholestasis</w:t>
            </w:r>
          </w:p>
          <w:p w:rsidR="00A70A93" w:rsidRPr="004A16D3" w:rsidRDefault="00863DAB">
            <w:pPr>
              <w:pStyle w:val="TBL-MID"/>
              <w:widowControl w:val="0"/>
              <w:autoSpaceDE w:val="0"/>
              <w:autoSpaceDN w:val="0"/>
              <w:adjustRightInd w:val="0"/>
              <w:spacing w:line="480" w:lineRule="auto"/>
              <w:rPr>
                <w:rFonts w:ascii="Times" w:hAnsi="Times" w:cs="Times"/>
              </w:rPr>
            </w:pPr>
            <w:r w:rsidRPr="004A16D3">
              <w:rPr>
                <w:rStyle w:val="BulletManualBodyList"/>
                <w:rFonts w:ascii="Times" w:hAnsi="Times" w:cs="Times"/>
              </w:rPr>
              <w:t>•</w:t>
            </w:r>
            <w:r w:rsidRPr="004A16D3">
              <w:rPr>
                <w:rFonts w:ascii="Times" w:hAnsi="Times" w:cs="Times"/>
              </w:rPr>
              <w:t xml:space="preserve"> Renal immaturity</w:t>
            </w:r>
            <w:r w:rsidR="00621F92" w:rsidRPr="004A16D3">
              <w:rPr>
                <w:rFonts w:ascii="Times" w:hAnsi="Times" w:cs="Times"/>
              </w:rPr>
              <w:t>—</w:t>
            </w:r>
            <w:r w:rsidRPr="004A16D3">
              <w:rPr>
                <w:rFonts w:ascii="Times" w:hAnsi="Times" w:cs="Times"/>
              </w:rPr>
              <w:t>urinary loss of electrolytes and bicarbonate</w:t>
            </w:r>
          </w:p>
          <w:p w:rsidR="00A70A93" w:rsidRPr="004A16D3" w:rsidRDefault="00863DAB">
            <w:pPr>
              <w:pStyle w:val="TBL-MID"/>
              <w:widowControl w:val="0"/>
              <w:autoSpaceDE w:val="0"/>
              <w:autoSpaceDN w:val="0"/>
              <w:adjustRightInd w:val="0"/>
              <w:spacing w:line="480" w:lineRule="auto"/>
              <w:rPr>
                <w:rFonts w:ascii="Times" w:hAnsi="Times" w:cs="Times"/>
              </w:rPr>
            </w:pPr>
            <w:r w:rsidRPr="004A16D3">
              <w:rPr>
                <w:rStyle w:val="BulletManualBodyList"/>
                <w:rFonts w:ascii="Times" w:hAnsi="Times" w:cs="Times"/>
              </w:rPr>
              <w:t>•</w:t>
            </w:r>
            <w:r w:rsidRPr="004A16D3">
              <w:rPr>
                <w:rFonts w:ascii="Times" w:hAnsi="Times" w:cs="Times"/>
              </w:rPr>
              <w:t xml:space="preserve"> Bone marrow immaturity</w:t>
            </w:r>
            <w:r w:rsidR="00621F92" w:rsidRPr="004A16D3">
              <w:rPr>
                <w:rFonts w:ascii="Times" w:hAnsi="Times" w:cs="Times"/>
              </w:rPr>
              <w:t>—</w:t>
            </w:r>
            <w:r w:rsidRPr="004A16D3">
              <w:rPr>
                <w:rFonts w:ascii="Times" w:hAnsi="Times" w:cs="Times"/>
              </w:rPr>
              <w:t>lower erythropoietic responsiveness to hypoxia</w:t>
            </w:r>
          </w:p>
          <w:p w:rsidR="00A70A93" w:rsidRPr="004A16D3" w:rsidRDefault="00863DAB">
            <w:pPr>
              <w:pStyle w:val="TBL-MID"/>
              <w:widowControl w:val="0"/>
              <w:autoSpaceDE w:val="0"/>
              <w:autoSpaceDN w:val="0"/>
              <w:adjustRightInd w:val="0"/>
              <w:spacing w:line="480" w:lineRule="auto"/>
              <w:rPr>
                <w:rFonts w:ascii="Times" w:hAnsi="Times" w:cs="Times"/>
              </w:rPr>
            </w:pPr>
            <w:r w:rsidRPr="004A16D3">
              <w:rPr>
                <w:rStyle w:val="BulletManualBodyList"/>
                <w:rFonts w:ascii="Times" w:hAnsi="Times" w:cs="Times"/>
              </w:rPr>
              <w:t>•</w:t>
            </w:r>
            <w:r w:rsidRPr="004A16D3">
              <w:rPr>
                <w:rFonts w:ascii="Times" w:hAnsi="Times" w:cs="Times"/>
              </w:rPr>
              <w:t xml:space="preserve"> Integumentary immaturity</w:t>
            </w:r>
            <w:r w:rsidR="00621F92" w:rsidRPr="004A16D3">
              <w:rPr>
                <w:rFonts w:ascii="Times" w:hAnsi="Times" w:cs="Times"/>
              </w:rPr>
              <w:t>—</w:t>
            </w:r>
            <w:r w:rsidRPr="004A16D3">
              <w:rPr>
                <w:rFonts w:ascii="Times" w:hAnsi="Times" w:cs="Times"/>
              </w:rPr>
              <w:t>thin skin may result in higher insensible fluid losses</w:t>
            </w:r>
          </w:p>
        </w:tc>
      </w:tr>
      <w:tr w:rsidR="00A70A93" w:rsidRPr="004A16D3">
        <w:trPr>
          <w:trHeight w:val="1860"/>
        </w:trPr>
        <w:tc>
          <w:tcPr>
            <w:tcW w:w="8856" w:type="dxa"/>
            <w:tcBorders>
              <w:top w:val="single" w:sz="12" w:space="0" w:color="auto"/>
              <w:bottom w:val="single" w:sz="12" w:space="0" w:color="auto"/>
            </w:tcBorders>
          </w:tcPr>
          <w:p w:rsidR="00A70A93" w:rsidRPr="004A16D3" w:rsidRDefault="00863DAB" w:rsidP="00863DAB">
            <w:pPr>
              <w:pStyle w:val="T4"/>
              <w:rPr>
                <w:rFonts w:ascii="Times" w:hAnsi="Times" w:cs="Times"/>
                <w:bCs/>
              </w:rPr>
            </w:pPr>
            <w:r w:rsidRPr="004A16D3">
              <w:rPr>
                <w:rFonts w:ascii="Times" w:hAnsi="Times" w:cs="Times"/>
              </w:rPr>
              <w:t>Inadequate nutrient stores</w:t>
            </w:r>
          </w:p>
          <w:p w:rsidR="00A70A93" w:rsidRPr="004A16D3" w:rsidRDefault="00863DAB">
            <w:pPr>
              <w:pStyle w:val="TBL-MID"/>
              <w:widowControl w:val="0"/>
              <w:autoSpaceDE w:val="0"/>
              <w:autoSpaceDN w:val="0"/>
              <w:adjustRightInd w:val="0"/>
              <w:spacing w:line="480" w:lineRule="auto"/>
              <w:rPr>
                <w:rFonts w:ascii="Times" w:hAnsi="Times" w:cs="Times"/>
              </w:rPr>
            </w:pPr>
            <w:r w:rsidRPr="004A16D3">
              <w:rPr>
                <w:rStyle w:val="BulletManualBodyList"/>
                <w:rFonts w:ascii="Times" w:hAnsi="Times" w:cs="Times"/>
              </w:rPr>
              <w:t>•</w:t>
            </w:r>
            <w:r w:rsidRPr="004A16D3">
              <w:rPr>
                <w:rFonts w:ascii="Times" w:hAnsi="Times" w:cs="Times"/>
              </w:rPr>
              <w:t xml:space="preserve"> Cessation of placental nourishment interrupts fetal accretion</w:t>
            </w:r>
          </w:p>
          <w:p w:rsidR="00A70A93" w:rsidRPr="004A16D3" w:rsidRDefault="00863DAB">
            <w:pPr>
              <w:pStyle w:val="TBL-MID"/>
              <w:widowControl w:val="0"/>
              <w:autoSpaceDE w:val="0"/>
              <w:autoSpaceDN w:val="0"/>
              <w:adjustRightInd w:val="0"/>
              <w:spacing w:line="480" w:lineRule="auto"/>
              <w:rPr>
                <w:rFonts w:ascii="Times" w:hAnsi="Times" w:cs="Times"/>
              </w:rPr>
            </w:pPr>
            <w:r w:rsidRPr="004A16D3">
              <w:rPr>
                <w:rStyle w:val="BulletManualBodyList"/>
                <w:rFonts w:ascii="Times" w:hAnsi="Times" w:cs="Times"/>
              </w:rPr>
              <w:t>•</w:t>
            </w:r>
            <w:r w:rsidRPr="004A16D3">
              <w:rPr>
                <w:rFonts w:ascii="Times" w:hAnsi="Times" w:cs="Times"/>
              </w:rPr>
              <w:t xml:space="preserve"> Lower fat, muscle, and glycogen stores</w:t>
            </w:r>
          </w:p>
          <w:p w:rsidR="00A70A93" w:rsidRPr="004A16D3" w:rsidRDefault="00863DAB">
            <w:pPr>
              <w:pStyle w:val="TBL-MID"/>
              <w:widowControl w:val="0"/>
              <w:autoSpaceDE w:val="0"/>
              <w:autoSpaceDN w:val="0"/>
              <w:adjustRightInd w:val="0"/>
              <w:spacing w:line="480" w:lineRule="auto"/>
              <w:rPr>
                <w:rFonts w:ascii="Times" w:hAnsi="Times" w:cs="Times"/>
              </w:rPr>
            </w:pPr>
            <w:r w:rsidRPr="004A16D3">
              <w:rPr>
                <w:rStyle w:val="BulletManualBodyList"/>
                <w:rFonts w:ascii="Times" w:hAnsi="Times" w:cs="Times"/>
              </w:rPr>
              <w:t>•</w:t>
            </w:r>
            <w:r w:rsidRPr="004A16D3">
              <w:rPr>
                <w:rFonts w:ascii="Times" w:hAnsi="Times" w:cs="Times"/>
              </w:rPr>
              <w:t xml:space="preserve"> Iatrogenic nutrient deficits</w:t>
            </w:r>
          </w:p>
          <w:p w:rsidR="00A70A93" w:rsidRPr="004A16D3" w:rsidRDefault="006B0720" w:rsidP="00863DAB">
            <w:pPr>
              <w:pStyle w:val="TBL2-MID"/>
            </w:pPr>
            <w:r w:rsidRPr="004A16D3">
              <w:rPr>
                <w:rFonts w:ascii="Symbol" w:hAnsi="Symbol" w:cs="Times"/>
              </w:rPr>
              <w:t></w:t>
            </w:r>
            <w:r w:rsidRPr="004A16D3">
              <w:rPr>
                <w:rFonts w:ascii="Symbol" w:hAnsi="Symbol" w:cs="Times"/>
              </w:rPr>
              <w:tab/>
            </w:r>
            <w:r w:rsidR="00863DAB" w:rsidRPr="004A16D3">
              <w:rPr>
                <w:rFonts w:ascii="Times" w:hAnsi="Times" w:cs="Times"/>
              </w:rPr>
              <w:t>feeds held for procedures, NEC, clinical instability, blood transfusions</w:t>
            </w:r>
          </w:p>
          <w:p w:rsidR="00A70A93" w:rsidRPr="004A16D3" w:rsidRDefault="006B0720" w:rsidP="00863DAB">
            <w:pPr>
              <w:pStyle w:val="TBL2-MID"/>
              <w:rPr>
                <w:rFonts w:ascii="Times" w:hAnsi="Times" w:cs="Times"/>
              </w:rPr>
            </w:pPr>
            <w:r w:rsidRPr="004A16D3">
              <w:rPr>
                <w:rFonts w:ascii="Symbol" w:hAnsi="Symbol" w:cs="Times"/>
              </w:rPr>
              <w:t></w:t>
            </w:r>
            <w:r w:rsidRPr="004A16D3">
              <w:rPr>
                <w:rFonts w:ascii="Symbol" w:hAnsi="Symbol" w:cs="Times"/>
              </w:rPr>
              <w:tab/>
            </w:r>
            <w:r w:rsidR="00863DAB" w:rsidRPr="004A16D3">
              <w:rPr>
                <w:rFonts w:ascii="Times" w:hAnsi="Times" w:cs="Times"/>
              </w:rPr>
              <w:t>incomplete nutrient delivery during PN/enteral feeding advancement</w:t>
            </w:r>
          </w:p>
          <w:p w:rsidR="00A70A93" w:rsidRPr="004A16D3" w:rsidRDefault="006B0720" w:rsidP="00863DAB">
            <w:pPr>
              <w:pStyle w:val="TBL2-MID"/>
              <w:rPr>
                <w:rFonts w:ascii="Times" w:hAnsi="Times" w:cs="Times"/>
              </w:rPr>
            </w:pPr>
            <w:r w:rsidRPr="004A16D3">
              <w:rPr>
                <w:rFonts w:ascii="Symbol" w:hAnsi="Symbol" w:cs="Times"/>
              </w:rPr>
              <w:t></w:t>
            </w:r>
            <w:r w:rsidRPr="004A16D3">
              <w:rPr>
                <w:rFonts w:ascii="Symbol" w:hAnsi="Symbol" w:cs="Times"/>
              </w:rPr>
              <w:tab/>
            </w:r>
            <w:r w:rsidR="00863DAB" w:rsidRPr="004A16D3">
              <w:rPr>
                <w:rFonts w:ascii="Times" w:hAnsi="Times" w:cs="Times"/>
              </w:rPr>
              <w:t>medication-related nutrient losses</w:t>
            </w:r>
          </w:p>
        </w:tc>
      </w:tr>
    </w:tbl>
    <w:p w:rsidR="00A70A93" w:rsidRPr="004A16D3" w:rsidRDefault="00863DAB">
      <w:pPr>
        <w:pStyle w:val="TFN"/>
        <w:widowControl w:val="0"/>
        <w:autoSpaceDE w:val="0"/>
        <w:autoSpaceDN w:val="0"/>
        <w:adjustRightInd w:val="0"/>
        <w:spacing w:line="480" w:lineRule="auto"/>
        <w:rPr>
          <w:rFonts w:ascii="Times" w:hAnsi="Times" w:cs="Times"/>
        </w:rPr>
      </w:pPr>
      <w:r w:rsidRPr="004A16D3">
        <w:rPr>
          <w:rFonts w:ascii="Times" w:hAnsi="Times" w:cs="Times"/>
        </w:rPr>
        <w:t>GI</w:t>
      </w:r>
      <w:r w:rsidR="00681139" w:rsidRPr="004A16D3">
        <w:rPr>
          <w:rFonts w:ascii="Times" w:hAnsi="Times" w:cs="Times"/>
        </w:rPr>
        <w:t xml:space="preserve">, </w:t>
      </w:r>
      <w:r w:rsidRPr="004A16D3">
        <w:rPr>
          <w:rFonts w:ascii="Times" w:hAnsi="Times" w:cs="Times"/>
        </w:rPr>
        <w:t>gastrointestinal; NEC</w:t>
      </w:r>
      <w:r w:rsidR="00681139" w:rsidRPr="004A16D3">
        <w:rPr>
          <w:rFonts w:ascii="Times" w:hAnsi="Times" w:cs="Times"/>
        </w:rPr>
        <w:t xml:space="preserve">, </w:t>
      </w:r>
      <w:r w:rsidRPr="004A16D3">
        <w:rPr>
          <w:rFonts w:ascii="Times" w:hAnsi="Times" w:cs="Times"/>
        </w:rPr>
        <w:t>necrotizing enterocolitis; PN</w:t>
      </w:r>
      <w:r w:rsidR="00681139" w:rsidRPr="004A16D3">
        <w:rPr>
          <w:rFonts w:ascii="Times" w:hAnsi="Times" w:cs="Times"/>
        </w:rPr>
        <w:t xml:space="preserve">, </w:t>
      </w:r>
      <w:r w:rsidRPr="004A16D3">
        <w:rPr>
          <w:rFonts w:ascii="Times" w:hAnsi="Times" w:cs="Times"/>
        </w:rPr>
        <w:t>Parenteral Nutrition</w:t>
      </w:r>
      <w:r w:rsidR="00293C07" w:rsidRPr="004A16D3">
        <w:rPr>
          <w:rFonts w:ascii="Times" w:hAnsi="Times" w:cs="Times"/>
        </w:rPr>
        <w:t>.</w:t>
      </w:r>
    </w:p>
    <w:p w:rsidR="00A70A93" w:rsidRPr="004A16D3" w:rsidRDefault="00863DAB">
      <w:pPr>
        <w:widowControl w:val="0"/>
        <w:autoSpaceDE w:val="0"/>
        <w:autoSpaceDN w:val="0"/>
        <w:adjustRightInd w:val="0"/>
        <w:spacing w:line="480" w:lineRule="auto"/>
        <w:rPr>
          <w:rFonts w:ascii="Times" w:hAnsi="Times" w:cs="Times"/>
        </w:rPr>
      </w:pPr>
      <w:r w:rsidRPr="004A16D3">
        <w:rPr>
          <w:rFonts w:ascii="Times" w:hAnsi="Times" w:cs="Times"/>
        </w:rPr>
        <w:br w:type="page"/>
      </w:r>
    </w:p>
    <w:p w:rsidR="00A70A93" w:rsidRPr="004A16D3" w:rsidRDefault="00293C07">
      <w:pPr>
        <w:pStyle w:val="T1"/>
        <w:widowControl w:val="0"/>
        <w:autoSpaceDE w:val="0"/>
        <w:autoSpaceDN w:val="0"/>
        <w:adjustRightInd w:val="0"/>
        <w:spacing w:line="480" w:lineRule="auto"/>
        <w:rPr>
          <w:rFonts w:ascii="Times" w:hAnsi="Times" w:cs="Times"/>
        </w:rPr>
      </w:pPr>
      <w:r w:rsidRPr="004A16D3">
        <w:rPr>
          <w:rStyle w:val="TN"/>
          <w:rFonts w:ascii="Times" w:hAnsi="Times" w:cs="Times"/>
          <w:b/>
          <w:bCs/>
        </w:rPr>
        <w:t>TABLE 35.2</w:t>
      </w:r>
      <w:r w:rsidRPr="004A16D3">
        <w:rPr>
          <w:rFonts w:ascii="Times" w:hAnsi="Times" w:cs="Times"/>
          <w:b/>
          <w:bCs/>
        </w:rPr>
        <w:t xml:space="preserve"> MEDICAL RISK FACTORS OF PREMATURITY AND THEIR NUTRITIONAL IMPLICATIONS</w:t>
      </w:r>
    </w:p>
    <w:tbl>
      <w:tblPr>
        <w:tblW w:w="0" w:type="auto"/>
        <w:tblBorders>
          <w:top w:val="single" w:sz="6" w:space="0" w:color="000000"/>
          <w:left w:val="single" w:sz="6" w:space="0" w:color="000000"/>
          <w:bottom w:val="single" w:sz="6" w:space="0" w:color="000000"/>
          <w:right w:val="single" w:sz="6" w:space="0" w:color="000000"/>
          <w:insideH w:val="single" w:sz="6" w:space="0" w:color="000000"/>
        </w:tblBorders>
        <w:tblLook w:val="01E0" w:firstRow="1" w:lastRow="1" w:firstColumn="1" w:lastColumn="1" w:noHBand="0" w:noVBand="0"/>
      </w:tblPr>
      <w:tblGrid>
        <w:gridCol w:w="8856"/>
      </w:tblGrid>
      <w:tr w:rsidR="00A70A93" w:rsidRPr="004A16D3">
        <w:trPr>
          <w:trHeight w:val="1311"/>
        </w:trPr>
        <w:tc>
          <w:tcPr>
            <w:tcW w:w="8856" w:type="dxa"/>
            <w:tcBorders>
              <w:top w:val="single" w:sz="12" w:space="0" w:color="auto"/>
              <w:bottom w:val="single" w:sz="12" w:space="0" w:color="auto"/>
            </w:tcBorders>
          </w:tcPr>
          <w:p w:rsidR="00A70A93" w:rsidRPr="004A16D3" w:rsidRDefault="00863DAB" w:rsidP="00863DAB">
            <w:pPr>
              <w:pStyle w:val="T4"/>
              <w:rPr>
                <w:rFonts w:cs="Arial"/>
              </w:rPr>
            </w:pPr>
            <w:r w:rsidRPr="004A16D3">
              <w:rPr>
                <w:rFonts w:ascii="Times" w:hAnsi="Times" w:cs="Times"/>
              </w:rPr>
              <w:t>Necrotizing Enterocolitis (NEC)</w:t>
            </w:r>
          </w:p>
          <w:p w:rsidR="00A70A93" w:rsidRPr="004A16D3" w:rsidRDefault="00863DAB">
            <w:pPr>
              <w:pStyle w:val="T2"/>
              <w:widowControl w:val="0"/>
              <w:autoSpaceDE w:val="0"/>
              <w:autoSpaceDN w:val="0"/>
              <w:adjustRightInd w:val="0"/>
              <w:spacing w:line="480" w:lineRule="auto"/>
              <w:rPr>
                <w:rFonts w:ascii="Times" w:hAnsi="Times" w:cs="Times"/>
                <w:bCs/>
              </w:rPr>
            </w:pPr>
            <w:r w:rsidRPr="004A16D3">
              <w:rPr>
                <w:rFonts w:ascii="Times" w:hAnsi="Times" w:cs="Times"/>
              </w:rPr>
              <w:t>• Acquired infectious/ischemic GI disease of undetermined etiology, most common in</w:t>
            </w:r>
            <w:r w:rsidR="0087179F" w:rsidRPr="004A16D3">
              <w:rPr>
                <w:rFonts w:ascii="Times" w:hAnsi="Times" w:cs="Times"/>
              </w:rPr>
              <w:t xml:space="preserve"> </w:t>
            </w:r>
            <w:r w:rsidRPr="004A16D3">
              <w:rPr>
                <w:rFonts w:ascii="Times" w:hAnsi="Times" w:cs="Times"/>
              </w:rPr>
              <w:t>preterm infants</w:t>
            </w:r>
          </w:p>
          <w:p w:rsidR="00A70A93" w:rsidRPr="004A16D3" w:rsidRDefault="00863DAB">
            <w:pPr>
              <w:pStyle w:val="TBL-MID"/>
              <w:widowControl w:val="0"/>
              <w:autoSpaceDE w:val="0"/>
              <w:autoSpaceDN w:val="0"/>
              <w:adjustRightInd w:val="0"/>
              <w:spacing w:line="480" w:lineRule="auto"/>
              <w:rPr>
                <w:rFonts w:ascii="Times" w:hAnsi="Times" w:cs="Times"/>
                <w:bCs/>
              </w:rPr>
            </w:pPr>
            <w:r w:rsidRPr="004A16D3">
              <w:rPr>
                <w:rStyle w:val="BulletManualBodyList"/>
                <w:rFonts w:ascii="Times" w:hAnsi="Times" w:cs="Times"/>
              </w:rPr>
              <w:t>•</w:t>
            </w:r>
            <w:r w:rsidRPr="004A16D3">
              <w:rPr>
                <w:rFonts w:ascii="Times" w:hAnsi="Times" w:cs="Times"/>
              </w:rPr>
              <w:t xml:space="preserve"> Ranges from mild feeding intolerance to pneumatosis intestinalis to necrotic bowel with perforation</w:t>
            </w:r>
          </w:p>
          <w:p w:rsidR="00A70A93" w:rsidRPr="004A16D3" w:rsidRDefault="00863DAB">
            <w:pPr>
              <w:pStyle w:val="TBL-LAST"/>
              <w:widowControl w:val="0"/>
              <w:autoSpaceDE w:val="0"/>
              <w:autoSpaceDN w:val="0"/>
              <w:adjustRightInd w:val="0"/>
              <w:spacing w:line="480" w:lineRule="auto"/>
              <w:rPr>
                <w:rFonts w:ascii="Times" w:hAnsi="Times" w:cs="Times"/>
              </w:rPr>
            </w:pPr>
            <w:r w:rsidRPr="004A16D3">
              <w:rPr>
                <w:rStyle w:val="BulletManualBodyList"/>
                <w:rFonts w:ascii="Times" w:hAnsi="Times" w:cs="Times"/>
              </w:rPr>
              <w:t>•</w:t>
            </w:r>
            <w:r w:rsidRPr="004A16D3">
              <w:rPr>
                <w:rFonts w:ascii="Times" w:hAnsi="Times" w:cs="Times"/>
              </w:rPr>
              <w:t xml:space="preserve"> Treatment includes NPO, IV antibiotics, PN, gradual re-introduction of feeds</w:t>
            </w:r>
          </w:p>
        </w:tc>
      </w:tr>
      <w:tr w:rsidR="00A70A93" w:rsidRPr="004A16D3">
        <w:trPr>
          <w:trHeight w:val="2850"/>
        </w:trPr>
        <w:tc>
          <w:tcPr>
            <w:tcW w:w="8856" w:type="dxa"/>
            <w:tcBorders>
              <w:top w:val="single" w:sz="12" w:space="0" w:color="auto"/>
              <w:bottom w:val="single" w:sz="12" w:space="0" w:color="auto"/>
            </w:tcBorders>
          </w:tcPr>
          <w:p w:rsidR="00A70A93" w:rsidRPr="004A16D3" w:rsidRDefault="00863DAB" w:rsidP="00863DAB">
            <w:pPr>
              <w:pStyle w:val="T4"/>
              <w:rPr>
                <w:rFonts w:ascii="Times" w:hAnsi="Times" w:cs="Times"/>
                <w:bCs/>
              </w:rPr>
            </w:pPr>
            <w:r w:rsidRPr="004A16D3">
              <w:rPr>
                <w:rFonts w:ascii="Times" w:hAnsi="Times" w:cs="Times"/>
              </w:rPr>
              <w:t>Respiratory Distress Syndrome (RDS)/Bronchopulmonary Dysplasia (BPD)</w:t>
            </w:r>
          </w:p>
          <w:p w:rsidR="00A70A93" w:rsidRPr="004A16D3" w:rsidRDefault="00863DAB">
            <w:pPr>
              <w:pStyle w:val="TBL-MID"/>
              <w:widowControl w:val="0"/>
              <w:autoSpaceDE w:val="0"/>
              <w:autoSpaceDN w:val="0"/>
              <w:adjustRightInd w:val="0"/>
              <w:spacing w:line="480" w:lineRule="auto"/>
              <w:rPr>
                <w:rFonts w:ascii="Times" w:hAnsi="Times" w:cs="Times"/>
                <w:bCs/>
              </w:rPr>
            </w:pPr>
            <w:r w:rsidRPr="004A16D3">
              <w:rPr>
                <w:rStyle w:val="BulletManualBodyList"/>
                <w:rFonts w:ascii="Times" w:hAnsi="Times" w:cs="Times"/>
              </w:rPr>
              <w:t>•</w:t>
            </w:r>
            <w:r w:rsidRPr="004A16D3">
              <w:rPr>
                <w:rFonts w:ascii="Times" w:hAnsi="Times" w:cs="Times"/>
              </w:rPr>
              <w:t xml:space="preserve"> Chronic lung disease secondary to reduced surfactant, extended mechanical ventilation and/or O</w:t>
            </w:r>
            <w:r w:rsidRPr="004A16D3">
              <w:rPr>
                <w:rFonts w:ascii="Times" w:hAnsi="Times" w:cs="Times"/>
                <w:vertAlign w:val="subscript"/>
              </w:rPr>
              <w:t>2</w:t>
            </w:r>
            <w:r w:rsidRPr="004A16D3">
              <w:rPr>
                <w:rFonts w:ascii="Times" w:hAnsi="Times" w:cs="Times"/>
              </w:rPr>
              <w:t xml:space="preserve"> support</w:t>
            </w:r>
          </w:p>
          <w:p w:rsidR="00A70A93" w:rsidRPr="004A16D3" w:rsidRDefault="00863DAB">
            <w:pPr>
              <w:pStyle w:val="TBL-MID"/>
              <w:widowControl w:val="0"/>
              <w:autoSpaceDE w:val="0"/>
              <w:autoSpaceDN w:val="0"/>
              <w:adjustRightInd w:val="0"/>
              <w:spacing w:line="480" w:lineRule="auto"/>
              <w:rPr>
                <w:rFonts w:ascii="Times" w:hAnsi="Times" w:cs="Times"/>
                <w:bCs/>
              </w:rPr>
            </w:pPr>
            <w:r w:rsidRPr="004A16D3">
              <w:rPr>
                <w:rStyle w:val="BulletManualBodyList"/>
                <w:rFonts w:ascii="Times" w:hAnsi="Times" w:cs="Times"/>
              </w:rPr>
              <w:t>•</w:t>
            </w:r>
            <w:r w:rsidRPr="004A16D3">
              <w:rPr>
                <w:rFonts w:ascii="Times" w:hAnsi="Times" w:cs="Times"/>
              </w:rPr>
              <w:t xml:space="preserve"> Can increase energy demands (especially in acute phase).</w:t>
            </w:r>
          </w:p>
          <w:p w:rsidR="00A70A93" w:rsidRPr="004A16D3" w:rsidRDefault="00863DAB">
            <w:pPr>
              <w:pStyle w:val="TBL-MID"/>
              <w:widowControl w:val="0"/>
              <w:autoSpaceDE w:val="0"/>
              <w:autoSpaceDN w:val="0"/>
              <w:adjustRightInd w:val="0"/>
              <w:spacing w:line="480" w:lineRule="auto"/>
              <w:rPr>
                <w:rFonts w:ascii="Times" w:hAnsi="Times" w:cs="Times"/>
                <w:bCs/>
              </w:rPr>
            </w:pPr>
            <w:r w:rsidRPr="004A16D3">
              <w:rPr>
                <w:rStyle w:val="BulletManualBodyList"/>
                <w:rFonts w:ascii="Times" w:hAnsi="Times" w:cs="Times"/>
              </w:rPr>
              <w:t>•</w:t>
            </w:r>
            <w:r w:rsidRPr="004A16D3">
              <w:rPr>
                <w:rFonts w:ascii="Times" w:hAnsi="Times" w:cs="Times"/>
              </w:rPr>
              <w:t xml:space="preserve"> May require fluid restriction and subsequent increase in energy density of feedings</w:t>
            </w:r>
          </w:p>
          <w:p w:rsidR="00A70A93" w:rsidRPr="004A16D3" w:rsidRDefault="00863DAB">
            <w:pPr>
              <w:pStyle w:val="TBL-MID"/>
              <w:widowControl w:val="0"/>
              <w:autoSpaceDE w:val="0"/>
              <w:autoSpaceDN w:val="0"/>
              <w:adjustRightInd w:val="0"/>
              <w:spacing w:line="480" w:lineRule="auto"/>
              <w:rPr>
                <w:rFonts w:ascii="Times" w:hAnsi="Times" w:cs="Times"/>
                <w:bCs/>
              </w:rPr>
            </w:pPr>
            <w:r w:rsidRPr="004A16D3">
              <w:rPr>
                <w:rStyle w:val="BulletManualBodyList"/>
                <w:rFonts w:ascii="Times" w:hAnsi="Times" w:cs="Times"/>
              </w:rPr>
              <w:t>•</w:t>
            </w:r>
            <w:r w:rsidRPr="004A16D3">
              <w:rPr>
                <w:rFonts w:ascii="Times" w:hAnsi="Times" w:cs="Times"/>
              </w:rPr>
              <w:t xml:space="preserve"> Steroids used in treatment may impede growth</w:t>
            </w:r>
          </w:p>
          <w:p w:rsidR="00A70A93" w:rsidRPr="004A16D3" w:rsidRDefault="00863DAB">
            <w:pPr>
              <w:pStyle w:val="TBL-MID"/>
              <w:widowControl w:val="0"/>
              <w:autoSpaceDE w:val="0"/>
              <w:autoSpaceDN w:val="0"/>
              <w:adjustRightInd w:val="0"/>
              <w:spacing w:line="480" w:lineRule="auto"/>
              <w:rPr>
                <w:rFonts w:ascii="Times" w:hAnsi="Times" w:cs="Times"/>
                <w:bCs/>
              </w:rPr>
            </w:pPr>
            <w:r w:rsidRPr="004A16D3">
              <w:rPr>
                <w:rStyle w:val="BulletManualBodyList"/>
                <w:rFonts w:ascii="Times" w:hAnsi="Times" w:cs="Times"/>
              </w:rPr>
              <w:t>•</w:t>
            </w:r>
            <w:r w:rsidRPr="004A16D3">
              <w:rPr>
                <w:rFonts w:ascii="Times" w:hAnsi="Times" w:cs="Times"/>
              </w:rPr>
              <w:t xml:space="preserve"> Increased risk of osteopenia (mineral wasting from steroids and diuretics)</w:t>
            </w:r>
          </w:p>
          <w:p w:rsidR="00A70A93" w:rsidRPr="004A16D3" w:rsidRDefault="00863DAB">
            <w:pPr>
              <w:pStyle w:val="TBL-MID"/>
              <w:widowControl w:val="0"/>
              <w:autoSpaceDE w:val="0"/>
              <w:autoSpaceDN w:val="0"/>
              <w:adjustRightInd w:val="0"/>
              <w:spacing w:line="480" w:lineRule="auto"/>
              <w:rPr>
                <w:rFonts w:ascii="Times" w:hAnsi="Times" w:cs="Times"/>
              </w:rPr>
            </w:pPr>
            <w:r w:rsidRPr="004A16D3">
              <w:rPr>
                <w:rStyle w:val="BulletManualBodyList"/>
                <w:rFonts w:ascii="Times" w:hAnsi="Times" w:cs="Times"/>
              </w:rPr>
              <w:t>•</w:t>
            </w:r>
            <w:r w:rsidRPr="004A16D3">
              <w:rPr>
                <w:rFonts w:ascii="Times" w:hAnsi="Times" w:cs="Times"/>
              </w:rPr>
              <w:t xml:space="preserve"> Severe/chronic disease may result in altered body composition (poor linear growth, excess adipose tissue)</w:t>
            </w:r>
          </w:p>
          <w:p w:rsidR="00A70A93" w:rsidRPr="004A16D3" w:rsidRDefault="00863DAB">
            <w:pPr>
              <w:pStyle w:val="TBL-LAST"/>
              <w:widowControl w:val="0"/>
              <w:autoSpaceDE w:val="0"/>
              <w:autoSpaceDN w:val="0"/>
              <w:adjustRightInd w:val="0"/>
              <w:spacing w:line="480" w:lineRule="auto"/>
              <w:rPr>
                <w:rFonts w:ascii="Times" w:hAnsi="Times" w:cs="Times"/>
              </w:rPr>
            </w:pPr>
            <w:r w:rsidRPr="004A16D3">
              <w:rPr>
                <w:rStyle w:val="BulletManualBodyList"/>
                <w:rFonts w:ascii="Times" w:hAnsi="Times" w:cs="Times"/>
              </w:rPr>
              <w:t>•</w:t>
            </w:r>
            <w:r w:rsidRPr="004A16D3">
              <w:rPr>
                <w:rFonts w:ascii="Times" w:hAnsi="Times" w:cs="Times"/>
              </w:rPr>
              <w:t xml:space="preserve"> May require long-term enteral access (poor oral feeding with increased work of breathing, oral aversion with prolonged intubation)</w:t>
            </w:r>
          </w:p>
        </w:tc>
      </w:tr>
      <w:tr w:rsidR="00A70A93" w:rsidRPr="004A16D3">
        <w:trPr>
          <w:trHeight w:val="1527"/>
        </w:trPr>
        <w:tc>
          <w:tcPr>
            <w:tcW w:w="8856" w:type="dxa"/>
            <w:tcBorders>
              <w:top w:val="single" w:sz="12" w:space="0" w:color="auto"/>
              <w:bottom w:val="single" w:sz="12" w:space="0" w:color="auto"/>
            </w:tcBorders>
          </w:tcPr>
          <w:p w:rsidR="00A70A93" w:rsidRPr="004A16D3" w:rsidRDefault="00863DAB" w:rsidP="00863DAB">
            <w:pPr>
              <w:pStyle w:val="T4"/>
              <w:rPr>
                <w:rFonts w:ascii="Times" w:hAnsi="Times" w:cs="Times"/>
                <w:bCs/>
              </w:rPr>
            </w:pPr>
            <w:r w:rsidRPr="004A16D3">
              <w:rPr>
                <w:rFonts w:ascii="Times" w:hAnsi="Times" w:cs="Times"/>
              </w:rPr>
              <w:t>Patent Ductus Arteriosus (PDA)</w:t>
            </w:r>
          </w:p>
          <w:p w:rsidR="00A70A93" w:rsidRPr="004A16D3" w:rsidRDefault="00863DAB">
            <w:pPr>
              <w:pStyle w:val="TBL-MID"/>
              <w:widowControl w:val="0"/>
              <w:autoSpaceDE w:val="0"/>
              <w:autoSpaceDN w:val="0"/>
              <w:adjustRightInd w:val="0"/>
              <w:spacing w:line="480" w:lineRule="auto"/>
              <w:rPr>
                <w:rFonts w:ascii="Times" w:hAnsi="Times" w:cs="Times"/>
              </w:rPr>
            </w:pPr>
            <w:r w:rsidRPr="004A16D3">
              <w:rPr>
                <w:rStyle w:val="BulletManualBodyList"/>
                <w:rFonts w:ascii="Times" w:hAnsi="Times" w:cs="Times"/>
              </w:rPr>
              <w:t>•</w:t>
            </w:r>
            <w:r w:rsidRPr="004A16D3">
              <w:rPr>
                <w:rFonts w:ascii="Times" w:hAnsi="Times" w:cs="Times"/>
              </w:rPr>
              <w:t xml:space="preserve"> Connection between pulmonary artery and aorta fails to close within 72 h of birth</w:t>
            </w:r>
          </w:p>
          <w:p w:rsidR="00A70A93" w:rsidRPr="004A16D3" w:rsidRDefault="00863DAB">
            <w:pPr>
              <w:pStyle w:val="TBL-MID"/>
              <w:widowControl w:val="0"/>
              <w:autoSpaceDE w:val="0"/>
              <w:autoSpaceDN w:val="0"/>
              <w:adjustRightInd w:val="0"/>
              <w:spacing w:line="480" w:lineRule="auto"/>
              <w:rPr>
                <w:rFonts w:ascii="Times" w:hAnsi="Times" w:cs="Times"/>
              </w:rPr>
            </w:pPr>
            <w:r w:rsidRPr="004A16D3">
              <w:rPr>
                <w:rStyle w:val="BulletManualBodyList"/>
                <w:rFonts w:ascii="Times" w:hAnsi="Times" w:cs="Times"/>
              </w:rPr>
              <w:lastRenderedPageBreak/>
              <w:t>•</w:t>
            </w:r>
            <w:r w:rsidRPr="004A16D3">
              <w:rPr>
                <w:rFonts w:ascii="Times" w:hAnsi="Times" w:cs="Times"/>
              </w:rPr>
              <w:t xml:space="preserve"> May lead to reversed flow of oxygenated blood resulting in inadequate intestinal perfusion and pulmonary edema</w:t>
            </w:r>
          </w:p>
          <w:p w:rsidR="00A70A93" w:rsidRPr="004A16D3" w:rsidRDefault="00863DAB">
            <w:pPr>
              <w:pStyle w:val="TBL-MID"/>
              <w:widowControl w:val="0"/>
              <w:autoSpaceDE w:val="0"/>
              <w:autoSpaceDN w:val="0"/>
              <w:adjustRightInd w:val="0"/>
              <w:spacing w:line="480" w:lineRule="auto"/>
              <w:rPr>
                <w:rFonts w:ascii="Times" w:hAnsi="Times" w:cs="Times"/>
              </w:rPr>
            </w:pPr>
            <w:r w:rsidRPr="004A16D3">
              <w:rPr>
                <w:rStyle w:val="BulletManualBodyList"/>
                <w:rFonts w:ascii="Times" w:hAnsi="Times" w:cs="Times"/>
              </w:rPr>
              <w:t>•</w:t>
            </w:r>
            <w:r w:rsidRPr="004A16D3">
              <w:rPr>
                <w:rFonts w:ascii="Times" w:hAnsi="Times" w:cs="Times"/>
              </w:rPr>
              <w:t xml:space="preserve"> Treatment ranges from monitoring to medications to transcatheter/surgical closure</w:t>
            </w:r>
          </w:p>
          <w:p w:rsidR="00A70A93" w:rsidRPr="004A16D3" w:rsidRDefault="00863DAB">
            <w:pPr>
              <w:pStyle w:val="TBL-LAST"/>
              <w:widowControl w:val="0"/>
              <w:autoSpaceDE w:val="0"/>
              <w:autoSpaceDN w:val="0"/>
              <w:adjustRightInd w:val="0"/>
              <w:spacing w:line="480" w:lineRule="auto"/>
              <w:rPr>
                <w:rFonts w:ascii="Times" w:hAnsi="Times" w:cs="Times"/>
              </w:rPr>
            </w:pPr>
            <w:r w:rsidRPr="004A16D3">
              <w:rPr>
                <w:rStyle w:val="BulletManualBodyList"/>
                <w:rFonts w:ascii="Times" w:hAnsi="Times" w:cs="Times"/>
              </w:rPr>
              <w:t>•</w:t>
            </w:r>
            <w:r w:rsidRPr="004A16D3">
              <w:rPr>
                <w:rFonts w:ascii="Times" w:hAnsi="Times" w:cs="Times"/>
              </w:rPr>
              <w:t xml:space="preserve"> May require fluid restriction and subsequent increase in energy density of feedings or even NPO and PN if hemodynamically unstable</w:t>
            </w:r>
          </w:p>
        </w:tc>
      </w:tr>
      <w:tr w:rsidR="00A70A93" w:rsidRPr="004A16D3">
        <w:trPr>
          <w:trHeight w:val="2301"/>
        </w:trPr>
        <w:tc>
          <w:tcPr>
            <w:tcW w:w="8856" w:type="dxa"/>
            <w:tcBorders>
              <w:top w:val="single" w:sz="12" w:space="0" w:color="auto"/>
              <w:bottom w:val="single" w:sz="12" w:space="0" w:color="auto"/>
            </w:tcBorders>
          </w:tcPr>
          <w:p w:rsidR="00A70A93" w:rsidRPr="004A16D3" w:rsidRDefault="00863DAB" w:rsidP="00863DAB">
            <w:pPr>
              <w:pStyle w:val="T4"/>
              <w:rPr>
                <w:rFonts w:ascii="Times" w:hAnsi="Times" w:cs="Times"/>
                <w:bCs/>
              </w:rPr>
            </w:pPr>
            <w:r w:rsidRPr="004A16D3">
              <w:rPr>
                <w:rFonts w:ascii="Times" w:hAnsi="Times" w:cs="Times"/>
              </w:rPr>
              <w:lastRenderedPageBreak/>
              <w:t>Osteopenia of Prematurity</w:t>
            </w:r>
          </w:p>
          <w:p w:rsidR="00A70A93" w:rsidRPr="004A16D3" w:rsidRDefault="00863DAB">
            <w:pPr>
              <w:pStyle w:val="TBL-MID"/>
              <w:widowControl w:val="0"/>
              <w:autoSpaceDE w:val="0"/>
              <w:autoSpaceDN w:val="0"/>
              <w:adjustRightInd w:val="0"/>
              <w:spacing w:line="480" w:lineRule="auto"/>
              <w:rPr>
                <w:rFonts w:ascii="Times" w:hAnsi="Times" w:cs="Times"/>
              </w:rPr>
            </w:pPr>
            <w:r w:rsidRPr="004A16D3">
              <w:rPr>
                <w:rStyle w:val="BulletManualBodyList"/>
                <w:rFonts w:ascii="Times" w:hAnsi="Times" w:cs="Times"/>
              </w:rPr>
              <w:t>•</w:t>
            </w:r>
            <w:r w:rsidRPr="004A16D3">
              <w:rPr>
                <w:rFonts w:ascii="Times" w:hAnsi="Times" w:cs="Times"/>
              </w:rPr>
              <w:t xml:space="preserve"> Ranges from mild bone demineralization to non-traumatic fractures</w:t>
            </w:r>
          </w:p>
          <w:p w:rsidR="00A70A93" w:rsidRPr="004A16D3" w:rsidRDefault="00863DAB">
            <w:pPr>
              <w:pStyle w:val="TBL-MID"/>
              <w:widowControl w:val="0"/>
              <w:autoSpaceDE w:val="0"/>
              <w:autoSpaceDN w:val="0"/>
              <w:adjustRightInd w:val="0"/>
              <w:spacing w:line="480" w:lineRule="auto"/>
              <w:rPr>
                <w:rFonts w:ascii="Times" w:hAnsi="Times" w:cs="Times"/>
              </w:rPr>
            </w:pPr>
            <w:r w:rsidRPr="004A16D3">
              <w:rPr>
                <w:rStyle w:val="BulletManualBodyList"/>
                <w:rFonts w:ascii="Times" w:hAnsi="Times" w:cs="Times"/>
              </w:rPr>
              <w:t>•</w:t>
            </w:r>
            <w:r w:rsidRPr="004A16D3">
              <w:rPr>
                <w:rFonts w:ascii="Times" w:hAnsi="Times" w:cs="Times"/>
              </w:rPr>
              <w:t xml:space="preserve"> Due to interrupted transplacental mineral transport, inadequate provision of mineral substrate, reduced mechanical bone stimulation in the extrauterine environment</w:t>
            </w:r>
          </w:p>
          <w:p w:rsidR="00A70A93" w:rsidRPr="004A16D3" w:rsidRDefault="00863DAB">
            <w:pPr>
              <w:pStyle w:val="TBL-MID"/>
              <w:widowControl w:val="0"/>
              <w:autoSpaceDE w:val="0"/>
              <w:autoSpaceDN w:val="0"/>
              <w:adjustRightInd w:val="0"/>
              <w:spacing w:line="480" w:lineRule="auto"/>
              <w:rPr>
                <w:rFonts w:ascii="Times" w:hAnsi="Times" w:cs="Times"/>
                <w:bCs/>
              </w:rPr>
            </w:pPr>
            <w:r w:rsidRPr="004A16D3">
              <w:rPr>
                <w:rStyle w:val="BulletManualBodyList"/>
                <w:rFonts w:ascii="Times" w:hAnsi="Times" w:cs="Times"/>
              </w:rPr>
              <w:t>•</w:t>
            </w:r>
            <w:r w:rsidRPr="004A16D3">
              <w:rPr>
                <w:rFonts w:ascii="Times" w:hAnsi="Times" w:cs="Times"/>
              </w:rPr>
              <w:t xml:space="preserve"> May impair linear growth</w:t>
            </w:r>
          </w:p>
          <w:p w:rsidR="00A70A93" w:rsidRPr="004A16D3" w:rsidRDefault="00863DAB">
            <w:pPr>
              <w:pStyle w:val="TBL-MID"/>
              <w:widowControl w:val="0"/>
              <w:autoSpaceDE w:val="0"/>
              <w:autoSpaceDN w:val="0"/>
              <w:adjustRightInd w:val="0"/>
              <w:spacing w:line="480" w:lineRule="auto"/>
              <w:rPr>
                <w:rFonts w:ascii="Times" w:hAnsi="Times" w:cs="Times"/>
              </w:rPr>
            </w:pPr>
            <w:r w:rsidRPr="004A16D3">
              <w:rPr>
                <w:rStyle w:val="BulletManualBodyList"/>
                <w:rFonts w:ascii="Times" w:hAnsi="Times" w:cs="Times"/>
              </w:rPr>
              <w:t>•</w:t>
            </w:r>
            <w:r w:rsidRPr="004A16D3">
              <w:rPr>
                <w:rFonts w:ascii="Times" w:hAnsi="Times" w:cs="Times"/>
              </w:rPr>
              <w:t xml:space="preserve"> Increased risk with immobility, medications that cause mineral excretion (diuretics, steroids), long term PN (due to limited calcium/phosphorus solubility of solution and inherent aluminum content)</w:t>
            </w:r>
          </w:p>
          <w:p w:rsidR="00A70A93" w:rsidRPr="004A16D3" w:rsidRDefault="00863DAB">
            <w:pPr>
              <w:pStyle w:val="TBL-LAST"/>
              <w:widowControl w:val="0"/>
              <w:autoSpaceDE w:val="0"/>
              <w:autoSpaceDN w:val="0"/>
              <w:adjustRightInd w:val="0"/>
              <w:spacing w:line="480" w:lineRule="auto"/>
              <w:rPr>
                <w:rFonts w:ascii="Times" w:hAnsi="Times" w:cs="Times"/>
              </w:rPr>
            </w:pPr>
            <w:r w:rsidRPr="004A16D3">
              <w:rPr>
                <w:rStyle w:val="BulletManualBodyList"/>
                <w:rFonts w:ascii="Times" w:hAnsi="Times" w:cs="Times"/>
              </w:rPr>
              <w:t>•</w:t>
            </w:r>
            <w:r w:rsidRPr="004A16D3">
              <w:rPr>
                <w:rFonts w:ascii="Times" w:hAnsi="Times" w:cs="Times"/>
              </w:rPr>
              <w:t xml:space="preserve"> May require vitamin D, calcium, and/or phosphorus supplementation</w:t>
            </w:r>
          </w:p>
        </w:tc>
      </w:tr>
      <w:tr w:rsidR="00A70A93" w:rsidRPr="004A16D3">
        <w:trPr>
          <w:trHeight w:val="1545"/>
        </w:trPr>
        <w:tc>
          <w:tcPr>
            <w:tcW w:w="8856" w:type="dxa"/>
            <w:tcBorders>
              <w:top w:val="single" w:sz="12" w:space="0" w:color="auto"/>
              <w:bottom w:val="single" w:sz="12" w:space="0" w:color="auto"/>
            </w:tcBorders>
          </w:tcPr>
          <w:p w:rsidR="00A70A93" w:rsidRPr="004A16D3" w:rsidRDefault="00863DAB">
            <w:pPr>
              <w:pStyle w:val="T0"/>
              <w:widowControl w:val="0"/>
              <w:autoSpaceDE w:val="0"/>
              <w:autoSpaceDN w:val="0"/>
              <w:adjustRightInd w:val="0"/>
              <w:spacing w:line="480" w:lineRule="auto"/>
              <w:rPr>
                <w:rFonts w:ascii="Times" w:hAnsi="Times" w:cs="Times"/>
              </w:rPr>
            </w:pPr>
            <w:r w:rsidRPr="004A16D3">
              <w:rPr>
                <w:rFonts w:ascii="Times" w:hAnsi="Times" w:cs="Times"/>
              </w:rPr>
              <w:t>Anemia of Prematurity</w:t>
            </w:r>
          </w:p>
          <w:p w:rsidR="00A70A93" w:rsidRPr="004A16D3" w:rsidRDefault="00863DAB">
            <w:pPr>
              <w:pStyle w:val="TBL-MID"/>
              <w:widowControl w:val="0"/>
              <w:autoSpaceDE w:val="0"/>
              <w:autoSpaceDN w:val="0"/>
              <w:adjustRightInd w:val="0"/>
              <w:spacing w:line="480" w:lineRule="auto"/>
              <w:rPr>
                <w:rFonts w:ascii="Times" w:hAnsi="Times" w:cs="Times"/>
              </w:rPr>
            </w:pPr>
            <w:r w:rsidRPr="004A16D3">
              <w:rPr>
                <w:rStyle w:val="BulletManualBodyList"/>
                <w:rFonts w:ascii="Times" w:hAnsi="Times" w:cs="Times"/>
              </w:rPr>
              <w:t>•</w:t>
            </w:r>
            <w:r w:rsidRPr="004A16D3">
              <w:rPr>
                <w:rFonts w:ascii="Times" w:hAnsi="Times" w:cs="Times"/>
              </w:rPr>
              <w:t xml:space="preserve"> Low number of red blood cells that can result in inadequate tissue oxygenation</w:t>
            </w:r>
          </w:p>
          <w:p w:rsidR="00A70A93" w:rsidRPr="004A16D3" w:rsidRDefault="00863DAB">
            <w:pPr>
              <w:pStyle w:val="TBL-MID"/>
              <w:widowControl w:val="0"/>
              <w:autoSpaceDE w:val="0"/>
              <w:autoSpaceDN w:val="0"/>
              <w:adjustRightInd w:val="0"/>
              <w:spacing w:line="480" w:lineRule="auto"/>
              <w:rPr>
                <w:rFonts w:ascii="Times" w:hAnsi="Times" w:cs="Times"/>
              </w:rPr>
            </w:pPr>
            <w:r w:rsidRPr="004A16D3">
              <w:rPr>
                <w:rStyle w:val="BulletManualBodyList"/>
                <w:rFonts w:ascii="Times" w:hAnsi="Times" w:cs="Times"/>
              </w:rPr>
              <w:t>•</w:t>
            </w:r>
            <w:r w:rsidRPr="004A16D3">
              <w:rPr>
                <w:rFonts w:ascii="Times" w:hAnsi="Times" w:cs="Times"/>
              </w:rPr>
              <w:t xml:space="preserve"> Due to interrupted transplacental iron transport, inadequate iron stores, iatrogenic</w:t>
            </w:r>
          </w:p>
          <w:p w:rsidR="00A70A93" w:rsidRPr="004A16D3" w:rsidRDefault="00863DAB">
            <w:pPr>
              <w:pStyle w:val="T0"/>
              <w:widowControl w:val="0"/>
              <w:autoSpaceDE w:val="0"/>
              <w:autoSpaceDN w:val="0"/>
              <w:adjustRightInd w:val="0"/>
              <w:spacing w:line="480" w:lineRule="auto"/>
              <w:rPr>
                <w:rFonts w:ascii="Times" w:hAnsi="Times" w:cs="Times"/>
              </w:rPr>
            </w:pPr>
            <w:r w:rsidRPr="004A16D3">
              <w:rPr>
                <w:rFonts w:ascii="Times" w:hAnsi="Times" w:cs="Times"/>
              </w:rPr>
              <w:t>phlebotomy, shorter lifespan of fetal hemoglobin, reduced EPO responsiveness</w:t>
            </w:r>
          </w:p>
          <w:p w:rsidR="00A70A93" w:rsidRPr="004A16D3" w:rsidRDefault="00863DAB">
            <w:pPr>
              <w:pStyle w:val="T0"/>
              <w:widowControl w:val="0"/>
              <w:autoSpaceDE w:val="0"/>
              <w:autoSpaceDN w:val="0"/>
              <w:adjustRightInd w:val="0"/>
              <w:spacing w:line="480" w:lineRule="auto"/>
              <w:rPr>
                <w:rFonts w:ascii="Times" w:hAnsi="Times" w:cs="Times"/>
              </w:rPr>
            </w:pPr>
            <w:r w:rsidRPr="004A16D3">
              <w:rPr>
                <w:rFonts w:ascii="Times" w:hAnsi="Times" w:cs="Times"/>
              </w:rPr>
              <w:t>• Treatment involves PRBCs, iron supplementation, minimizing phlebotomy as able</w:t>
            </w:r>
          </w:p>
        </w:tc>
      </w:tr>
      <w:tr w:rsidR="00A70A93" w:rsidRPr="004A16D3">
        <w:trPr>
          <w:trHeight w:val="1248"/>
        </w:trPr>
        <w:tc>
          <w:tcPr>
            <w:tcW w:w="8856" w:type="dxa"/>
            <w:tcBorders>
              <w:top w:val="single" w:sz="12" w:space="0" w:color="auto"/>
              <w:bottom w:val="single" w:sz="12" w:space="0" w:color="auto"/>
            </w:tcBorders>
          </w:tcPr>
          <w:p w:rsidR="00A70A93" w:rsidRPr="004A16D3" w:rsidRDefault="00863DAB" w:rsidP="00863DAB">
            <w:pPr>
              <w:pStyle w:val="T4"/>
              <w:rPr>
                <w:rFonts w:ascii="Times" w:hAnsi="Times" w:cs="Times"/>
              </w:rPr>
            </w:pPr>
            <w:r w:rsidRPr="004A16D3">
              <w:rPr>
                <w:rFonts w:ascii="Times" w:hAnsi="Times" w:cs="Times"/>
              </w:rPr>
              <w:t>Developmental Delay</w:t>
            </w:r>
          </w:p>
          <w:p w:rsidR="00A70A93" w:rsidRPr="004A16D3" w:rsidRDefault="00863DAB">
            <w:pPr>
              <w:pStyle w:val="TBL-MID"/>
              <w:widowControl w:val="0"/>
              <w:autoSpaceDE w:val="0"/>
              <w:autoSpaceDN w:val="0"/>
              <w:adjustRightInd w:val="0"/>
              <w:spacing w:line="480" w:lineRule="auto"/>
              <w:rPr>
                <w:rFonts w:ascii="Times" w:hAnsi="Times" w:cs="Times"/>
                <w:bCs/>
              </w:rPr>
            </w:pPr>
            <w:r w:rsidRPr="004A16D3">
              <w:rPr>
                <w:rStyle w:val="BulletManualBodyList"/>
                <w:rFonts w:ascii="Times" w:hAnsi="Times" w:cs="Times"/>
              </w:rPr>
              <w:t>•</w:t>
            </w:r>
            <w:r w:rsidRPr="004A16D3">
              <w:rPr>
                <w:rFonts w:ascii="Times" w:hAnsi="Times" w:cs="Times"/>
              </w:rPr>
              <w:t xml:space="preserve"> Multifactorial etiology: genetic, intraventricular hemorrhage, medications, long term hospitalization, inadequate nutrition provision/growth faltering</w:t>
            </w:r>
          </w:p>
          <w:p w:rsidR="00A70A93" w:rsidRPr="004A16D3" w:rsidRDefault="00863DAB">
            <w:pPr>
              <w:pStyle w:val="TBL-MID"/>
              <w:widowControl w:val="0"/>
              <w:autoSpaceDE w:val="0"/>
              <w:autoSpaceDN w:val="0"/>
              <w:adjustRightInd w:val="0"/>
              <w:spacing w:line="480" w:lineRule="auto"/>
              <w:rPr>
                <w:rFonts w:ascii="Times" w:hAnsi="Times" w:cs="Times"/>
              </w:rPr>
            </w:pPr>
            <w:r w:rsidRPr="004A16D3">
              <w:rPr>
                <w:rStyle w:val="BulletManualBodyList"/>
                <w:rFonts w:ascii="Times" w:hAnsi="Times" w:cs="Times"/>
              </w:rPr>
              <w:t>•</w:t>
            </w:r>
            <w:r w:rsidRPr="004A16D3">
              <w:rPr>
                <w:rFonts w:ascii="Times" w:hAnsi="Times" w:cs="Times"/>
              </w:rPr>
              <w:t xml:space="preserve"> Can impair oral intake, long term enteral access may be needed</w:t>
            </w:r>
          </w:p>
        </w:tc>
      </w:tr>
    </w:tbl>
    <w:p w:rsidR="00A70A93" w:rsidRPr="004A16D3" w:rsidRDefault="004F1A69">
      <w:pPr>
        <w:pStyle w:val="TFN"/>
        <w:widowControl w:val="0"/>
        <w:autoSpaceDE w:val="0"/>
        <w:autoSpaceDN w:val="0"/>
        <w:adjustRightInd w:val="0"/>
        <w:spacing w:line="480" w:lineRule="auto"/>
        <w:rPr>
          <w:rFonts w:ascii="Times" w:hAnsi="Times" w:cs="Times"/>
        </w:rPr>
      </w:pPr>
      <w:r w:rsidRPr="004A16D3">
        <w:rPr>
          <w:rFonts w:ascii="Times" w:hAnsi="Times" w:cs="Times"/>
        </w:rPr>
        <w:lastRenderedPageBreak/>
        <w:t>EPO</w:t>
      </w:r>
      <w:r w:rsidR="00681139" w:rsidRPr="004A16D3">
        <w:rPr>
          <w:rFonts w:ascii="Times" w:hAnsi="Times" w:cs="Times"/>
        </w:rPr>
        <w:t xml:space="preserve">, </w:t>
      </w:r>
      <w:r w:rsidRPr="004A16D3">
        <w:rPr>
          <w:rFonts w:ascii="Times" w:hAnsi="Times" w:cs="Times"/>
        </w:rPr>
        <w:t xml:space="preserve">erythropoietin; </w:t>
      </w:r>
      <w:r w:rsidR="00863DAB" w:rsidRPr="004A16D3">
        <w:rPr>
          <w:rFonts w:ascii="Times" w:hAnsi="Times" w:cs="Times"/>
        </w:rPr>
        <w:t>GI</w:t>
      </w:r>
      <w:r w:rsidR="00681139" w:rsidRPr="004A16D3">
        <w:rPr>
          <w:rFonts w:ascii="Times" w:hAnsi="Times" w:cs="Times"/>
        </w:rPr>
        <w:t xml:space="preserve">, </w:t>
      </w:r>
      <w:r w:rsidR="00863DAB" w:rsidRPr="004A16D3">
        <w:rPr>
          <w:rFonts w:ascii="Times" w:hAnsi="Times" w:cs="Times"/>
        </w:rPr>
        <w:t xml:space="preserve">gastrointestinal; </w:t>
      </w:r>
      <w:r w:rsidRPr="004A16D3">
        <w:rPr>
          <w:rFonts w:ascii="Times" w:hAnsi="Times" w:cs="Times"/>
        </w:rPr>
        <w:t>IV</w:t>
      </w:r>
      <w:r w:rsidR="00681139" w:rsidRPr="004A16D3">
        <w:rPr>
          <w:rFonts w:ascii="Times" w:hAnsi="Times" w:cs="Times"/>
        </w:rPr>
        <w:t xml:space="preserve">, </w:t>
      </w:r>
      <w:r w:rsidRPr="004A16D3">
        <w:rPr>
          <w:rFonts w:ascii="Times" w:hAnsi="Times" w:cs="Times"/>
        </w:rPr>
        <w:t xml:space="preserve">intravenous; </w:t>
      </w:r>
      <w:r w:rsidR="00863DAB" w:rsidRPr="004A16D3">
        <w:rPr>
          <w:rFonts w:ascii="Times" w:hAnsi="Times" w:cs="Times"/>
        </w:rPr>
        <w:t>NPO</w:t>
      </w:r>
      <w:r w:rsidR="00681139" w:rsidRPr="004A16D3">
        <w:rPr>
          <w:rFonts w:ascii="Times" w:hAnsi="Times" w:cs="Times"/>
        </w:rPr>
        <w:t xml:space="preserve">, </w:t>
      </w:r>
      <w:r w:rsidR="00863DAB" w:rsidRPr="004A16D3">
        <w:rPr>
          <w:rFonts w:ascii="Times" w:hAnsi="Times" w:cs="Times"/>
        </w:rPr>
        <w:t xml:space="preserve">nil per os; </w:t>
      </w:r>
      <w:r w:rsidRPr="004A16D3">
        <w:rPr>
          <w:rFonts w:ascii="Times" w:hAnsi="Times" w:cs="Times"/>
        </w:rPr>
        <w:t>O</w:t>
      </w:r>
      <w:r w:rsidRPr="004A16D3">
        <w:rPr>
          <w:rFonts w:ascii="Times" w:hAnsi="Times" w:cs="Times"/>
          <w:vertAlign w:val="subscript"/>
        </w:rPr>
        <w:t>2</w:t>
      </w:r>
      <w:r w:rsidR="00681139" w:rsidRPr="004A16D3">
        <w:rPr>
          <w:rFonts w:ascii="Times" w:hAnsi="Times" w:cs="Times"/>
        </w:rPr>
        <w:t xml:space="preserve">, </w:t>
      </w:r>
      <w:r w:rsidRPr="004A16D3">
        <w:rPr>
          <w:rFonts w:ascii="Times" w:hAnsi="Times" w:cs="Times"/>
        </w:rPr>
        <w:t xml:space="preserve">oxygen; </w:t>
      </w:r>
      <w:r w:rsidR="00863DAB" w:rsidRPr="004A16D3">
        <w:rPr>
          <w:rFonts w:ascii="Times" w:hAnsi="Times" w:cs="Times"/>
        </w:rPr>
        <w:t>PN</w:t>
      </w:r>
      <w:r w:rsidR="00681139" w:rsidRPr="004A16D3">
        <w:rPr>
          <w:rFonts w:ascii="Times" w:hAnsi="Times" w:cs="Times"/>
        </w:rPr>
        <w:t xml:space="preserve">, </w:t>
      </w:r>
      <w:r w:rsidR="00863DAB" w:rsidRPr="004A16D3">
        <w:rPr>
          <w:rFonts w:ascii="Times" w:hAnsi="Times" w:cs="Times"/>
        </w:rPr>
        <w:t>parenteral nutrition; PRBC</w:t>
      </w:r>
      <w:r w:rsidR="00681139" w:rsidRPr="004A16D3">
        <w:rPr>
          <w:rFonts w:ascii="Times" w:hAnsi="Times" w:cs="Times"/>
        </w:rPr>
        <w:t xml:space="preserve">, </w:t>
      </w:r>
      <w:r w:rsidR="00863DAB" w:rsidRPr="004A16D3">
        <w:rPr>
          <w:rFonts w:ascii="Times" w:hAnsi="Times" w:cs="Times"/>
        </w:rPr>
        <w:t>packed red blood cell</w:t>
      </w:r>
      <w:r w:rsidRPr="004A16D3">
        <w:rPr>
          <w:rFonts w:ascii="Times" w:hAnsi="Times" w:cs="Times"/>
        </w:rPr>
        <w:t>.</w:t>
      </w:r>
    </w:p>
    <w:p w:rsidR="00A70A93" w:rsidRPr="004A16D3" w:rsidRDefault="00863DAB">
      <w:pPr>
        <w:pStyle w:val="T1"/>
        <w:widowControl w:val="0"/>
        <w:autoSpaceDE w:val="0"/>
        <w:autoSpaceDN w:val="0"/>
        <w:adjustRightInd w:val="0"/>
        <w:spacing w:line="480" w:lineRule="auto"/>
        <w:rPr>
          <w:rFonts w:ascii="Times" w:hAnsi="Times" w:cs="Times"/>
        </w:rPr>
      </w:pPr>
      <w:r w:rsidRPr="004A16D3">
        <w:rPr>
          <w:rFonts w:ascii="Times" w:hAnsi="Times" w:cs="Times"/>
        </w:rPr>
        <w:br w:type="page"/>
      </w:r>
      <w:r w:rsidR="004F1A69" w:rsidRPr="004A16D3">
        <w:rPr>
          <w:rStyle w:val="TN"/>
          <w:rFonts w:ascii="Times" w:hAnsi="Times" w:cs="Times"/>
          <w:b/>
          <w:bCs/>
        </w:rPr>
        <w:lastRenderedPageBreak/>
        <w:t>TABLE 35.3</w:t>
      </w:r>
      <w:r w:rsidR="004F1A69" w:rsidRPr="004A16D3">
        <w:rPr>
          <w:rFonts w:ascii="Times" w:hAnsi="Times" w:cs="Times"/>
          <w:b/>
          <w:bCs/>
        </w:rPr>
        <w:t xml:space="preserve"> PREMATURITY AND BIRTH WEIGHT CLASSIFICATIONS</w:t>
      </w:r>
    </w:p>
    <w:tbl>
      <w:tblPr>
        <w:tblW w:w="0" w:type="auto"/>
        <w:tblBorders>
          <w:top w:val="single" w:sz="6" w:space="0" w:color="000000"/>
          <w:left w:val="single" w:sz="6" w:space="0" w:color="000000"/>
          <w:bottom w:val="single" w:sz="6" w:space="0" w:color="000000"/>
          <w:right w:val="single" w:sz="6" w:space="0" w:color="000000"/>
          <w:insideH w:val="single" w:sz="6" w:space="0" w:color="000000"/>
        </w:tblBorders>
        <w:tblLook w:val="01E0" w:firstRow="1" w:lastRow="1" w:firstColumn="1" w:lastColumn="1" w:noHBand="0" w:noVBand="0"/>
      </w:tblPr>
      <w:tblGrid>
        <w:gridCol w:w="8856"/>
      </w:tblGrid>
      <w:tr w:rsidR="00A70A93" w:rsidRPr="004A16D3">
        <w:trPr>
          <w:trHeight w:val="1761"/>
        </w:trPr>
        <w:tc>
          <w:tcPr>
            <w:tcW w:w="8856" w:type="dxa"/>
            <w:tcBorders>
              <w:top w:val="single" w:sz="12" w:space="0" w:color="auto"/>
              <w:bottom w:val="single" w:sz="12" w:space="0" w:color="auto"/>
            </w:tcBorders>
          </w:tcPr>
          <w:p w:rsidR="00A70A93" w:rsidRPr="004A16D3" w:rsidRDefault="00863DAB" w:rsidP="00863DAB">
            <w:pPr>
              <w:pStyle w:val="T4"/>
              <w:rPr>
                <w:rFonts w:ascii="Times" w:hAnsi="Times" w:cs="Times"/>
                <w:bCs/>
              </w:rPr>
            </w:pPr>
            <w:r w:rsidRPr="004A16D3">
              <w:rPr>
                <w:rFonts w:ascii="Times" w:hAnsi="Times" w:cs="Times"/>
              </w:rPr>
              <w:t>Maturity by Gestational Age (GA)</w:t>
            </w:r>
          </w:p>
          <w:p w:rsidR="00A70A93" w:rsidRPr="004A16D3" w:rsidRDefault="00863DAB">
            <w:pPr>
              <w:pStyle w:val="TBL-MID"/>
              <w:widowControl w:val="0"/>
              <w:autoSpaceDE w:val="0"/>
              <w:autoSpaceDN w:val="0"/>
              <w:adjustRightInd w:val="0"/>
              <w:spacing w:line="480" w:lineRule="auto"/>
              <w:rPr>
                <w:rFonts w:ascii="Times" w:hAnsi="Times" w:cs="Times"/>
              </w:rPr>
            </w:pPr>
            <w:r w:rsidRPr="004A16D3">
              <w:rPr>
                <w:rStyle w:val="BulletManualBodyList"/>
                <w:rFonts w:ascii="Times" w:hAnsi="Times" w:cs="Times"/>
              </w:rPr>
              <w:t>•</w:t>
            </w:r>
            <w:r w:rsidRPr="004A16D3">
              <w:rPr>
                <w:rFonts w:ascii="Times" w:hAnsi="Times" w:cs="Times"/>
              </w:rPr>
              <w:t xml:space="preserve"> Preterm: &lt;37 wk</w:t>
            </w:r>
          </w:p>
          <w:p w:rsidR="00A70A93" w:rsidRPr="004A16D3" w:rsidRDefault="00863DAB" w:rsidP="00863DAB">
            <w:pPr>
              <w:pStyle w:val="TBL2-MID"/>
            </w:pPr>
            <w:r w:rsidRPr="004A16D3">
              <w:rPr>
                <w:rStyle w:val="BulletManualBodyList"/>
                <w:rFonts w:ascii="Times" w:hAnsi="Times" w:cs="Times"/>
              </w:rPr>
              <w:t>•</w:t>
            </w:r>
            <w:r w:rsidRPr="004A16D3">
              <w:rPr>
                <w:rFonts w:ascii="Times" w:hAnsi="Times" w:cs="Times"/>
              </w:rPr>
              <w:t xml:space="preserve"> Extremely</w:t>
            </w:r>
            <w:r w:rsidR="00621F92" w:rsidRPr="004A16D3">
              <w:rPr>
                <w:rFonts w:ascii="Times" w:hAnsi="Times" w:cs="Times"/>
              </w:rPr>
              <w:t>—</w:t>
            </w:r>
            <w:r w:rsidRPr="004A16D3">
              <w:rPr>
                <w:rFonts w:ascii="Times" w:hAnsi="Times" w:cs="Times"/>
              </w:rPr>
              <w:t>moderately preterm: &lt;34 0/7 wk</w:t>
            </w:r>
          </w:p>
          <w:p w:rsidR="00A70A93" w:rsidRPr="004A16D3" w:rsidRDefault="00863DAB" w:rsidP="00863DAB">
            <w:pPr>
              <w:pStyle w:val="TBL2-MID"/>
              <w:rPr>
                <w:rFonts w:ascii="Times" w:hAnsi="Times" w:cs="Times"/>
              </w:rPr>
            </w:pPr>
            <w:r w:rsidRPr="004A16D3">
              <w:rPr>
                <w:rStyle w:val="BulletManualBodyList"/>
                <w:rFonts w:ascii="Times" w:hAnsi="Times" w:cs="Times"/>
              </w:rPr>
              <w:t>•</w:t>
            </w:r>
            <w:r w:rsidRPr="004A16D3">
              <w:rPr>
                <w:rFonts w:ascii="Times" w:hAnsi="Times" w:cs="Times"/>
              </w:rPr>
              <w:t xml:space="preserve"> Late preterm: 34 0/7-36 6/7 wk</w:t>
            </w:r>
          </w:p>
          <w:p w:rsidR="00A70A93" w:rsidRPr="004A16D3" w:rsidRDefault="00863DAB">
            <w:pPr>
              <w:pStyle w:val="TBL-MID"/>
              <w:widowControl w:val="0"/>
              <w:autoSpaceDE w:val="0"/>
              <w:autoSpaceDN w:val="0"/>
              <w:adjustRightInd w:val="0"/>
              <w:spacing w:line="480" w:lineRule="auto"/>
              <w:rPr>
                <w:rFonts w:ascii="Times" w:hAnsi="Times" w:cs="Times"/>
                <w:bCs/>
              </w:rPr>
            </w:pPr>
            <w:r w:rsidRPr="004A16D3">
              <w:rPr>
                <w:rStyle w:val="BulletManualBodyList"/>
                <w:rFonts w:ascii="Times" w:hAnsi="Times" w:cs="Times"/>
              </w:rPr>
              <w:t>•</w:t>
            </w:r>
            <w:r w:rsidRPr="004A16D3">
              <w:rPr>
                <w:rFonts w:ascii="Times" w:hAnsi="Times" w:cs="Times"/>
              </w:rPr>
              <w:t xml:space="preserve"> Term: 37 0/7</w:t>
            </w:r>
            <w:r w:rsidR="004F1A69" w:rsidRPr="004A16D3">
              <w:rPr>
                <w:rStyle w:val="BulletManualBodyList"/>
              </w:rPr>
              <w:t>-</w:t>
            </w:r>
            <w:r w:rsidRPr="004A16D3">
              <w:rPr>
                <w:rFonts w:ascii="Times" w:hAnsi="Times" w:cs="Times"/>
              </w:rPr>
              <w:t>41 6/7 wk</w:t>
            </w:r>
          </w:p>
          <w:p w:rsidR="00A70A93" w:rsidRPr="004A16D3" w:rsidRDefault="00863DAB">
            <w:pPr>
              <w:pStyle w:val="TBL-MID"/>
              <w:widowControl w:val="0"/>
              <w:autoSpaceDE w:val="0"/>
              <w:autoSpaceDN w:val="0"/>
              <w:adjustRightInd w:val="0"/>
              <w:spacing w:line="480" w:lineRule="auto"/>
              <w:rPr>
                <w:rFonts w:ascii="Times" w:hAnsi="Times" w:cs="Times"/>
              </w:rPr>
            </w:pPr>
            <w:r w:rsidRPr="004A16D3">
              <w:rPr>
                <w:rStyle w:val="BulletManualBodyList"/>
                <w:rFonts w:ascii="Times" w:hAnsi="Times" w:cs="Times"/>
              </w:rPr>
              <w:t>•</w:t>
            </w:r>
            <w:r w:rsidRPr="004A16D3">
              <w:rPr>
                <w:rFonts w:ascii="Times" w:hAnsi="Times" w:cs="Times"/>
              </w:rPr>
              <w:t xml:space="preserve"> Post-term: </w:t>
            </w:r>
            <w:r w:rsidRPr="004A16D3">
              <w:rPr>
                <w:rFonts w:ascii="Times" w:hAnsi="Times" w:cs="Times"/>
                <w:u w:val="single"/>
              </w:rPr>
              <w:t>&gt;</w:t>
            </w:r>
            <w:r w:rsidRPr="004A16D3">
              <w:rPr>
                <w:rFonts w:ascii="Times" w:hAnsi="Times" w:cs="Times"/>
              </w:rPr>
              <w:t>42 0/7 wk</w:t>
            </w:r>
          </w:p>
        </w:tc>
      </w:tr>
      <w:tr w:rsidR="00A70A93" w:rsidRPr="004A16D3">
        <w:trPr>
          <w:trHeight w:val="1170"/>
        </w:trPr>
        <w:tc>
          <w:tcPr>
            <w:tcW w:w="8856" w:type="dxa"/>
            <w:tcBorders>
              <w:top w:val="single" w:sz="12" w:space="0" w:color="auto"/>
              <w:bottom w:val="single" w:sz="12" w:space="0" w:color="auto"/>
            </w:tcBorders>
          </w:tcPr>
          <w:p w:rsidR="00A70A93" w:rsidRPr="004A16D3" w:rsidRDefault="00863DAB" w:rsidP="00863DAB">
            <w:pPr>
              <w:pStyle w:val="T4"/>
              <w:rPr>
                <w:rFonts w:ascii="Times" w:hAnsi="Times" w:cs="Times"/>
                <w:bCs/>
              </w:rPr>
            </w:pPr>
            <w:r w:rsidRPr="004A16D3">
              <w:rPr>
                <w:rFonts w:ascii="Times" w:hAnsi="Times" w:cs="Times"/>
              </w:rPr>
              <w:t>Birth Weight</w:t>
            </w:r>
          </w:p>
          <w:p w:rsidR="00A70A93" w:rsidRPr="004A16D3" w:rsidRDefault="00863DAB">
            <w:pPr>
              <w:pStyle w:val="TBL-MID"/>
              <w:widowControl w:val="0"/>
              <w:autoSpaceDE w:val="0"/>
              <w:autoSpaceDN w:val="0"/>
              <w:adjustRightInd w:val="0"/>
              <w:spacing w:line="480" w:lineRule="auto"/>
              <w:rPr>
                <w:rFonts w:ascii="Times" w:hAnsi="Times" w:cs="Times"/>
                <w:bCs/>
              </w:rPr>
            </w:pPr>
            <w:r w:rsidRPr="004A16D3">
              <w:rPr>
                <w:rStyle w:val="BulletManualBodyList"/>
                <w:rFonts w:ascii="Times" w:hAnsi="Times" w:cs="Times"/>
              </w:rPr>
              <w:t>•</w:t>
            </w:r>
            <w:r w:rsidRPr="004A16D3">
              <w:rPr>
                <w:rFonts w:ascii="Times" w:hAnsi="Times" w:cs="Times"/>
              </w:rPr>
              <w:t xml:space="preserve"> Low Birth Weight (LBW): &lt;2500 g</w:t>
            </w:r>
          </w:p>
          <w:p w:rsidR="00A70A93" w:rsidRPr="004A16D3" w:rsidRDefault="00863DAB">
            <w:pPr>
              <w:pStyle w:val="TBL-MID"/>
              <w:widowControl w:val="0"/>
              <w:autoSpaceDE w:val="0"/>
              <w:autoSpaceDN w:val="0"/>
              <w:adjustRightInd w:val="0"/>
              <w:spacing w:line="480" w:lineRule="auto"/>
              <w:rPr>
                <w:rFonts w:ascii="Times" w:hAnsi="Times" w:cs="Times"/>
                <w:bCs/>
              </w:rPr>
            </w:pPr>
            <w:r w:rsidRPr="004A16D3">
              <w:rPr>
                <w:rStyle w:val="BulletManualBodyList"/>
                <w:rFonts w:ascii="Times" w:hAnsi="Times" w:cs="Times"/>
              </w:rPr>
              <w:t>•</w:t>
            </w:r>
            <w:r w:rsidRPr="004A16D3">
              <w:rPr>
                <w:rFonts w:ascii="Times" w:hAnsi="Times" w:cs="Times"/>
              </w:rPr>
              <w:t xml:space="preserve"> Very Low Birth Weight (VLBW): &lt;1500 g</w:t>
            </w:r>
          </w:p>
          <w:p w:rsidR="00A70A93" w:rsidRPr="004A16D3" w:rsidRDefault="00863DAB">
            <w:pPr>
              <w:pStyle w:val="TBL-MID"/>
              <w:widowControl w:val="0"/>
              <w:autoSpaceDE w:val="0"/>
              <w:autoSpaceDN w:val="0"/>
              <w:adjustRightInd w:val="0"/>
              <w:spacing w:line="480" w:lineRule="auto"/>
              <w:rPr>
                <w:rFonts w:ascii="Times" w:hAnsi="Times" w:cs="Times"/>
              </w:rPr>
            </w:pPr>
            <w:r w:rsidRPr="004A16D3">
              <w:rPr>
                <w:rStyle w:val="BulletManualBodyList"/>
                <w:rFonts w:ascii="Times" w:hAnsi="Times" w:cs="Times"/>
              </w:rPr>
              <w:t>•</w:t>
            </w:r>
            <w:r w:rsidRPr="004A16D3">
              <w:rPr>
                <w:rFonts w:ascii="Times" w:hAnsi="Times" w:cs="Times"/>
              </w:rPr>
              <w:t xml:space="preserve"> Extremely Low Birth Weight (ELBW): &lt;1000 g</w:t>
            </w:r>
          </w:p>
        </w:tc>
      </w:tr>
      <w:tr w:rsidR="00A70A93" w:rsidRPr="004A16D3">
        <w:trPr>
          <w:trHeight w:val="1203"/>
        </w:trPr>
        <w:tc>
          <w:tcPr>
            <w:tcW w:w="8856" w:type="dxa"/>
            <w:tcBorders>
              <w:top w:val="single" w:sz="12" w:space="0" w:color="auto"/>
              <w:bottom w:val="single" w:sz="12" w:space="0" w:color="auto"/>
            </w:tcBorders>
          </w:tcPr>
          <w:p w:rsidR="00A70A93" w:rsidRPr="004A16D3" w:rsidRDefault="00863DAB" w:rsidP="00863DAB">
            <w:pPr>
              <w:pStyle w:val="T4"/>
              <w:rPr>
                <w:rFonts w:ascii="Times" w:hAnsi="Times" w:cs="Times"/>
              </w:rPr>
            </w:pPr>
            <w:r w:rsidRPr="004A16D3">
              <w:rPr>
                <w:rFonts w:ascii="Times" w:hAnsi="Times" w:cs="Times"/>
              </w:rPr>
              <w:t>Birth Weight for Gestational Age</w:t>
            </w:r>
          </w:p>
          <w:p w:rsidR="00A70A93" w:rsidRPr="004A16D3" w:rsidRDefault="00863DAB">
            <w:pPr>
              <w:pStyle w:val="TBL-MID"/>
              <w:widowControl w:val="0"/>
              <w:autoSpaceDE w:val="0"/>
              <w:autoSpaceDN w:val="0"/>
              <w:adjustRightInd w:val="0"/>
              <w:spacing w:line="480" w:lineRule="auto"/>
              <w:rPr>
                <w:rFonts w:ascii="Times" w:hAnsi="Times" w:cs="Times"/>
                <w:bCs/>
              </w:rPr>
            </w:pPr>
            <w:r w:rsidRPr="004A16D3">
              <w:rPr>
                <w:rStyle w:val="BulletManualBodyList"/>
                <w:rFonts w:ascii="Times" w:hAnsi="Times" w:cs="Times"/>
              </w:rPr>
              <w:t>•</w:t>
            </w:r>
            <w:r w:rsidRPr="004A16D3">
              <w:rPr>
                <w:rFonts w:ascii="Times" w:hAnsi="Times" w:cs="Times"/>
              </w:rPr>
              <w:t xml:space="preserve"> Small for gestational age (SGA): &lt;10th percentile</w:t>
            </w:r>
          </w:p>
          <w:p w:rsidR="00A70A93" w:rsidRPr="004A16D3" w:rsidRDefault="00863DAB">
            <w:pPr>
              <w:pStyle w:val="TBL-MID"/>
              <w:widowControl w:val="0"/>
              <w:autoSpaceDE w:val="0"/>
              <w:autoSpaceDN w:val="0"/>
              <w:adjustRightInd w:val="0"/>
              <w:spacing w:line="480" w:lineRule="auto"/>
              <w:rPr>
                <w:rFonts w:ascii="Times" w:hAnsi="Times" w:cs="Times"/>
              </w:rPr>
            </w:pPr>
            <w:r w:rsidRPr="004A16D3">
              <w:rPr>
                <w:rStyle w:val="BulletManualBodyList"/>
                <w:rFonts w:ascii="Times" w:hAnsi="Times" w:cs="Times"/>
              </w:rPr>
              <w:t>•</w:t>
            </w:r>
            <w:r w:rsidRPr="004A16D3">
              <w:rPr>
                <w:rFonts w:ascii="Times" w:hAnsi="Times" w:cs="Times"/>
              </w:rPr>
              <w:t xml:space="preserve"> Appropriate for gestational age (AGA): 10th</w:t>
            </w:r>
            <w:r w:rsidR="00E51912" w:rsidRPr="004A16D3">
              <w:rPr>
                <w:rStyle w:val="BulletManualBodyList"/>
              </w:rPr>
              <w:t>-</w:t>
            </w:r>
            <w:r w:rsidRPr="004A16D3">
              <w:rPr>
                <w:rFonts w:ascii="Times" w:hAnsi="Times" w:cs="Times"/>
              </w:rPr>
              <w:t>90th percentile</w:t>
            </w:r>
          </w:p>
          <w:p w:rsidR="00A70A93" w:rsidRPr="004A16D3" w:rsidRDefault="00863DAB">
            <w:pPr>
              <w:pStyle w:val="TBL-MID"/>
              <w:widowControl w:val="0"/>
              <w:autoSpaceDE w:val="0"/>
              <w:autoSpaceDN w:val="0"/>
              <w:adjustRightInd w:val="0"/>
              <w:spacing w:line="480" w:lineRule="auto"/>
              <w:rPr>
                <w:rFonts w:ascii="Times" w:hAnsi="Times" w:cs="Times"/>
              </w:rPr>
            </w:pPr>
            <w:r w:rsidRPr="004A16D3">
              <w:rPr>
                <w:rStyle w:val="BulletManualBodyList"/>
                <w:rFonts w:ascii="Times" w:hAnsi="Times" w:cs="Times"/>
              </w:rPr>
              <w:t>•</w:t>
            </w:r>
            <w:r w:rsidRPr="004A16D3">
              <w:rPr>
                <w:rFonts w:ascii="Times" w:hAnsi="Times" w:cs="Times"/>
              </w:rPr>
              <w:t xml:space="preserve"> Large for gestational age (LGA): &gt;90th percentile</w:t>
            </w:r>
          </w:p>
        </w:tc>
      </w:tr>
    </w:tbl>
    <w:p w:rsidR="00A70A93" w:rsidRPr="004A16D3" w:rsidRDefault="00863DAB">
      <w:pPr>
        <w:pStyle w:val="T1"/>
        <w:widowControl w:val="0"/>
        <w:autoSpaceDE w:val="0"/>
        <w:autoSpaceDN w:val="0"/>
        <w:adjustRightInd w:val="0"/>
        <w:spacing w:line="480" w:lineRule="auto"/>
        <w:rPr>
          <w:rFonts w:ascii="Times" w:hAnsi="Times" w:cs="Times"/>
        </w:rPr>
      </w:pPr>
      <w:r w:rsidRPr="004A16D3">
        <w:rPr>
          <w:rFonts w:ascii="Times" w:hAnsi="Times" w:cs="Times"/>
          <w:b/>
          <w:bCs/>
        </w:rPr>
        <w:br w:type="page"/>
      </w:r>
      <w:r w:rsidR="00E51912" w:rsidRPr="004A16D3">
        <w:rPr>
          <w:rStyle w:val="TN"/>
          <w:rFonts w:ascii="Times" w:hAnsi="Times" w:cs="Times"/>
          <w:b/>
          <w:bCs/>
        </w:rPr>
        <w:lastRenderedPageBreak/>
        <w:t>TABLE 35.4</w:t>
      </w:r>
      <w:r w:rsidR="00E51912" w:rsidRPr="004A16D3">
        <w:rPr>
          <w:rFonts w:ascii="Times" w:hAnsi="Times" w:cs="Times"/>
          <w:b/>
          <w:bCs/>
        </w:rPr>
        <w:t xml:space="preserve"> GROWTH VELOCITY TARGETS (AFTER INITIAL DIURESIS)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38"/>
        <w:gridCol w:w="270"/>
        <w:gridCol w:w="2520"/>
        <w:gridCol w:w="2340"/>
        <w:gridCol w:w="2304"/>
      </w:tblGrid>
      <w:tr w:rsidR="00A70A93" w:rsidRPr="004A16D3" w:rsidTr="00863DAB">
        <w:trPr>
          <w:trHeight w:val="1311"/>
        </w:trPr>
        <w:tc>
          <w:tcPr>
            <w:tcW w:w="1638" w:type="dxa"/>
          </w:tcPr>
          <w:p w:rsidR="00A70A93" w:rsidRPr="004A16D3" w:rsidRDefault="00863DAB">
            <w:pPr>
              <w:pStyle w:val="T2"/>
              <w:widowControl w:val="0"/>
              <w:autoSpaceDE w:val="0"/>
              <w:autoSpaceDN w:val="0"/>
              <w:adjustRightInd w:val="0"/>
              <w:spacing w:line="480" w:lineRule="auto"/>
              <w:rPr>
                <w:rFonts w:ascii="Times" w:hAnsi="Times" w:cs="Times"/>
              </w:rPr>
            </w:pPr>
            <w:r w:rsidRPr="004A16D3">
              <w:rPr>
                <w:rFonts w:ascii="Times" w:hAnsi="Times" w:cs="Times"/>
              </w:rPr>
              <w:t>Weight</w:t>
            </w:r>
          </w:p>
          <w:p w:rsidR="00A70A93" w:rsidRPr="004A16D3" w:rsidRDefault="00863DAB" w:rsidP="00863DAB">
            <w:pPr>
              <w:pStyle w:val="T4"/>
              <w:rPr>
                <w:rFonts w:cs="Arial"/>
              </w:rPr>
            </w:pPr>
            <w:r w:rsidRPr="004A16D3">
              <w:rPr>
                <w:rFonts w:cs="Arial"/>
              </w:rPr>
              <w:t>&lt;2000 g</w:t>
            </w:r>
          </w:p>
          <w:p w:rsidR="00A70A93" w:rsidRPr="004A16D3" w:rsidRDefault="00863DAB" w:rsidP="00863DAB">
            <w:pPr>
              <w:pStyle w:val="T4"/>
              <w:rPr>
                <w:rFonts w:cs="Arial"/>
              </w:rPr>
            </w:pPr>
            <w:r w:rsidRPr="004A16D3">
              <w:rPr>
                <w:rFonts w:cs="Arial"/>
              </w:rPr>
              <w:t>2000</w:t>
            </w:r>
            <w:r w:rsidR="00E51912" w:rsidRPr="004A16D3">
              <w:rPr>
                <w:rFonts w:cs="Arial"/>
              </w:rPr>
              <w:t>-</w:t>
            </w:r>
            <w:r w:rsidRPr="004A16D3">
              <w:rPr>
                <w:rFonts w:cs="Arial"/>
              </w:rPr>
              <w:t>2500 g</w:t>
            </w:r>
          </w:p>
          <w:p w:rsidR="00A70A93" w:rsidRPr="004A16D3" w:rsidRDefault="00863DAB" w:rsidP="00863DAB">
            <w:pPr>
              <w:pStyle w:val="T4"/>
              <w:rPr>
                <w:rFonts w:cs="Arial"/>
              </w:rPr>
            </w:pPr>
            <w:r w:rsidRPr="004A16D3">
              <w:rPr>
                <w:rFonts w:cs="Arial"/>
              </w:rPr>
              <w:t>&gt; 2500 g</w:t>
            </w:r>
            <w:r w:rsidRPr="004A16D3">
              <w:rPr>
                <w:rFonts w:cs="Arial"/>
                <w:u w:val="single"/>
              </w:rPr>
              <w:t xml:space="preserve"> </w:t>
            </w:r>
          </w:p>
        </w:tc>
        <w:tc>
          <w:tcPr>
            <w:tcW w:w="270" w:type="dxa"/>
          </w:tcPr>
          <w:p w:rsidR="00A70A93" w:rsidRPr="004A16D3" w:rsidRDefault="00A70A93">
            <w:pPr>
              <w:pStyle w:val="T2"/>
              <w:widowControl w:val="0"/>
              <w:autoSpaceDE w:val="0"/>
              <w:autoSpaceDN w:val="0"/>
              <w:adjustRightInd w:val="0"/>
              <w:spacing w:line="480" w:lineRule="auto"/>
              <w:rPr>
                <w:rFonts w:ascii="Times" w:hAnsi="Times" w:cs="Times"/>
                <w:u w:val="single"/>
              </w:rPr>
            </w:pPr>
          </w:p>
        </w:tc>
        <w:tc>
          <w:tcPr>
            <w:tcW w:w="2520" w:type="dxa"/>
          </w:tcPr>
          <w:p w:rsidR="00A70A93" w:rsidRPr="004A16D3" w:rsidRDefault="00863DAB">
            <w:pPr>
              <w:pStyle w:val="T2"/>
              <w:widowControl w:val="0"/>
              <w:autoSpaceDE w:val="0"/>
              <w:autoSpaceDN w:val="0"/>
              <w:adjustRightInd w:val="0"/>
              <w:spacing w:line="480" w:lineRule="auto"/>
              <w:rPr>
                <w:rFonts w:ascii="Times" w:hAnsi="Times" w:cs="Times"/>
              </w:rPr>
            </w:pPr>
            <w:r w:rsidRPr="004A16D3">
              <w:rPr>
                <w:rFonts w:ascii="Times" w:hAnsi="Times" w:cs="Times"/>
              </w:rPr>
              <w:t>Target Weight Gain</w:t>
            </w:r>
          </w:p>
          <w:p w:rsidR="00A70A93" w:rsidRPr="004A16D3" w:rsidRDefault="00863DAB" w:rsidP="00863DAB">
            <w:pPr>
              <w:pStyle w:val="T4"/>
              <w:rPr>
                <w:rFonts w:cs="Arial"/>
              </w:rPr>
            </w:pPr>
            <w:r w:rsidRPr="004A16D3">
              <w:rPr>
                <w:rFonts w:cs="Arial"/>
              </w:rPr>
              <w:t>18-22 g/kg/d</w:t>
            </w:r>
          </w:p>
          <w:p w:rsidR="00A70A93" w:rsidRPr="004A16D3" w:rsidRDefault="00863DAB" w:rsidP="00863DAB">
            <w:pPr>
              <w:pStyle w:val="T4"/>
              <w:rPr>
                <w:rFonts w:cs="Arial"/>
              </w:rPr>
            </w:pPr>
            <w:r w:rsidRPr="004A16D3">
              <w:rPr>
                <w:rFonts w:cs="Arial"/>
              </w:rPr>
              <w:t>30-35 g/d</w:t>
            </w:r>
          </w:p>
          <w:p w:rsidR="00A70A93" w:rsidRPr="004A16D3" w:rsidRDefault="00863DAB" w:rsidP="00863DAB">
            <w:pPr>
              <w:pStyle w:val="T4"/>
              <w:rPr>
                <w:rFonts w:ascii="Times" w:hAnsi="Times" w:cs="Times"/>
              </w:rPr>
            </w:pPr>
            <w:r w:rsidRPr="004A16D3">
              <w:rPr>
                <w:rFonts w:cs="Arial"/>
              </w:rPr>
              <w:t>30-35 g/d</w:t>
            </w:r>
          </w:p>
        </w:tc>
        <w:tc>
          <w:tcPr>
            <w:tcW w:w="2340" w:type="dxa"/>
          </w:tcPr>
          <w:p w:rsidR="00A70A93" w:rsidRPr="004A16D3" w:rsidRDefault="00863DAB">
            <w:pPr>
              <w:pStyle w:val="T2"/>
              <w:widowControl w:val="0"/>
              <w:autoSpaceDE w:val="0"/>
              <w:autoSpaceDN w:val="0"/>
              <w:adjustRightInd w:val="0"/>
              <w:spacing w:line="480" w:lineRule="auto"/>
              <w:rPr>
                <w:rFonts w:ascii="Times" w:hAnsi="Times" w:cs="Times"/>
              </w:rPr>
            </w:pPr>
            <w:r w:rsidRPr="004A16D3">
              <w:rPr>
                <w:rFonts w:ascii="Times" w:hAnsi="Times" w:cs="Times"/>
              </w:rPr>
              <w:t>Target Length Gain</w:t>
            </w:r>
          </w:p>
          <w:p w:rsidR="00A70A93" w:rsidRPr="004A16D3" w:rsidRDefault="00863DAB" w:rsidP="00863DAB">
            <w:pPr>
              <w:pStyle w:val="T4"/>
              <w:rPr>
                <w:rFonts w:cs="Arial"/>
              </w:rPr>
            </w:pPr>
            <w:r w:rsidRPr="004A16D3">
              <w:rPr>
                <w:rFonts w:cs="Arial"/>
              </w:rPr>
              <w:t>1.2-1.4 cm/wk</w:t>
            </w:r>
          </w:p>
          <w:p w:rsidR="00A70A93" w:rsidRPr="004A16D3" w:rsidRDefault="00863DAB" w:rsidP="00863DAB">
            <w:pPr>
              <w:pStyle w:val="T4"/>
              <w:rPr>
                <w:rFonts w:cs="Arial"/>
              </w:rPr>
            </w:pPr>
            <w:r w:rsidRPr="004A16D3">
              <w:rPr>
                <w:rFonts w:cs="Arial"/>
              </w:rPr>
              <w:t>1.2-1.4 cm/wk</w:t>
            </w:r>
          </w:p>
          <w:p w:rsidR="00A70A93" w:rsidRPr="004A16D3" w:rsidRDefault="00863DAB" w:rsidP="00863DAB">
            <w:pPr>
              <w:pStyle w:val="T4"/>
              <w:rPr>
                <w:rFonts w:ascii="Times" w:hAnsi="Times" w:cs="Times"/>
              </w:rPr>
            </w:pPr>
            <w:r w:rsidRPr="004A16D3">
              <w:rPr>
                <w:rFonts w:cs="Arial"/>
              </w:rPr>
              <w:t>1.0-1.3 cm/wk</w:t>
            </w:r>
          </w:p>
        </w:tc>
        <w:tc>
          <w:tcPr>
            <w:tcW w:w="2304" w:type="dxa"/>
          </w:tcPr>
          <w:p w:rsidR="00A70A93" w:rsidRPr="004A16D3" w:rsidRDefault="00863DAB">
            <w:pPr>
              <w:pStyle w:val="T2"/>
              <w:widowControl w:val="0"/>
              <w:autoSpaceDE w:val="0"/>
              <w:autoSpaceDN w:val="0"/>
              <w:adjustRightInd w:val="0"/>
              <w:spacing w:line="480" w:lineRule="auto"/>
              <w:rPr>
                <w:rFonts w:ascii="Times" w:hAnsi="Times" w:cs="Times"/>
              </w:rPr>
            </w:pPr>
            <w:r w:rsidRPr="004A16D3">
              <w:rPr>
                <w:rFonts w:ascii="Times" w:hAnsi="Times" w:cs="Times"/>
              </w:rPr>
              <w:t>Target HC Gain</w:t>
            </w:r>
          </w:p>
          <w:p w:rsidR="00A70A93" w:rsidRPr="004A16D3" w:rsidRDefault="00863DAB" w:rsidP="00863DAB">
            <w:pPr>
              <w:pStyle w:val="T4"/>
              <w:rPr>
                <w:rFonts w:cs="Arial"/>
              </w:rPr>
            </w:pPr>
            <w:r w:rsidRPr="004A16D3">
              <w:rPr>
                <w:rFonts w:cs="Arial"/>
              </w:rPr>
              <w:t>0.9-1 cm/wk</w:t>
            </w:r>
          </w:p>
          <w:p w:rsidR="00A70A93" w:rsidRPr="004A16D3" w:rsidRDefault="00863DAB" w:rsidP="00863DAB">
            <w:pPr>
              <w:pStyle w:val="T4"/>
              <w:rPr>
                <w:rFonts w:cs="Arial"/>
              </w:rPr>
            </w:pPr>
            <w:r w:rsidRPr="004A16D3">
              <w:rPr>
                <w:rFonts w:cs="Arial"/>
              </w:rPr>
              <w:t>0.7-0.9 cm/wk</w:t>
            </w:r>
          </w:p>
          <w:p w:rsidR="00A70A93" w:rsidRPr="004A16D3" w:rsidRDefault="00863DAB" w:rsidP="00863DAB">
            <w:pPr>
              <w:pStyle w:val="T4"/>
              <w:rPr>
                <w:rFonts w:ascii="Times" w:hAnsi="Times" w:cs="Times"/>
              </w:rPr>
            </w:pPr>
            <w:r w:rsidRPr="004A16D3">
              <w:rPr>
                <w:rFonts w:cs="Arial"/>
              </w:rPr>
              <w:t>0.5-0.8 cm/wk</w:t>
            </w:r>
          </w:p>
        </w:tc>
      </w:tr>
    </w:tbl>
    <w:p w:rsidR="00863DAB" w:rsidRPr="004A16D3" w:rsidRDefault="00863DAB" w:rsidP="00863DAB">
      <w:pPr>
        <w:pStyle w:val="TFN0"/>
      </w:pPr>
      <w:r w:rsidRPr="004A16D3">
        <w:t>After PMA of 40 weeks</w:t>
      </w:r>
      <w:r w:rsidR="00621F92" w:rsidRPr="004A16D3">
        <w:t>—</w:t>
      </w:r>
      <w:r w:rsidRPr="004A16D3">
        <w:t>weight gain may be similar to that of FT infant.</w:t>
      </w:r>
    </w:p>
    <w:p w:rsidR="00863DAB" w:rsidRPr="004A16D3" w:rsidRDefault="00E51912" w:rsidP="00863DAB">
      <w:pPr>
        <w:pStyle w:val="TFN0"/>
        <w:rPr>
          <w:b/>
          <w:bCs/>
        </w:rPr>
      </w:pPr>
      <w:r w:rsidRPr="004A16D3">
        <w:t>FT</w:t>
      </w:r>
      <w:r w:rsidR="00681139" w:rsidRPr="004A16D3">
        <w:t xml:space="preserve">, </w:t>
      </w:r>
      <w:r w:rsidRPr="004A16D3">
        <w:t xml:space="preserve">full term; </w:t>
      </w:r>
      <w:r w:rsidR="00863DAB" w:rsidRPr="004A16D3">
        <w:t>HC</w:t>
      </w:r>
      <w:r w:rsidR="00681139" w:rsidRPr="004A16D3">
        <w:t xml:space="preserve">, </w:t>
      </w:r>
      <w:r w:rsidR="00863DAB" w:rsidRPr="004A16D3">
        <w:t>head circumference; PMA</w:t>
      </w:r>
      <w:r w:rsidR="00681139" w:rsidRPr="004A16D3">
        <w:t xml:space="preserve">, </w:t>
      </w:r>
      <w:r w:rsidR="00863DAB" w:rsidRPr="004A16D3">
        <w:t>postmenstrual age.</w:t>
      </w:r>
    </w:p>
    <w:p w:rsidR="00A70A93" w:rsidRPr="004A16D3" w:rsidRDefault="00863DAB" w:rsidP="004A16D3">
      <w:pPr>
        <w:pStyle w:val="T1"/>
        <w:widowControl w:val="0"/>
        <w:autoSpaceDE w:val="0"/>
        <w:autoSpaceDN w:val="0"/>
        <w:adjustRightInd w:val="0"/>
        <w:spacing w:line="480" w:lineRule="auto"/>
        <w:rPr>
          <w:rFonts w:ascii="Times" w:hAnsi="Times" w:cs="Times"/>
        </w:rPr>
      </w:pPr>
      <w:r w:rsidRPr="004A16D3">
        <w:rPr>
          <w:rFonts w:ascii="Times" w:hAnsi="Times" w:cs="Times"/>
          <w:b/>
          <w:bCs/>
        </w:rPr>
        <w:br w:type="page"/>
      </w:r>
    </w:p>
    <w:p w:rsidR="00A70A93" w:rsidRPr="004A16D3" w:rsidRDefault="00863DAB">
      <w:pPr>
        <w:pStyle w:val="T1"/>
        <w:widowControl w:val="0"/>
        <w:autoSpaceDE w:val="0"/>
        <w:autoSpaceDN w:val="0"/>
        <w:adjustRightInd w:val="0"/>
        <w:spacing w:line="480" w:lineRule="auto"/>
        <w:rPr>
          <w:rFonts w:ascii="Times" w:hAnsi="Times" w:cs="Times"/>
          <w:b/>
          <w:bCs/>
        </w:rPr>
      </w:pPr>
      <w:r w:rsidRPr="004A16D3">
        <w:rPr>
          <w:rFonts w:ascii="Times" w:hAnsi="Times" w:cs="Times"/>
        </w:rPr>
        <w:br w:type="page"/>
      </w:r>
      <w:r w:rsidR="000D6027" w:rsidRPr="004A16D3">
        <w:rPr>
          <w:rStyle w:val="TN"/>
          <w:rFonts w:ascii="Times" w:hAnsi="Times" w:cs="Times"/>
          <w:b/>
          <w:bCs/>
        </w:rPr>
        <w:lastRenderedPageBreak/>
        <w:t>TABLE 35.6</w:t>
      </w:r>
      <w:r w:rsidR="000D6027" w:rsidRPr="004A16D3">
        <w:rPr>
          <w:rFonts w:ascii="Times" w:hAnsi="Times" w:cs="Times"/>
          <w:b/>
          <w:bCs/>
        </w:rPr>
        <w:t xml:space="preserve"> ENTERAL FEEDING METHODS</w:t>
      </w:r>
    </w:p>
    <w:tbl>
      <w:tblPr>
        <w:tblW w:w="0" w:type="auto"/>
        <w:tblBorders>
          <w:top w:val="single" w:sz="6" w:space="0" w:color="000000"/>
          <w:left w:val="single" w:sz="6" w:space="0" w:color="000000"/>
          <w:bottom w:val="single" w:sz="6" w:space="0" w:color="000000"/>
          <w:right w:val="single" w:sz="6" w:space="0" w:color="000000"/>
          <w:insideH w:val="single" w:sz="6" w:space="0" w:color="000000"/>
        </w:tblBorders>
        <w:tblLook w:val="01E0" w:firstRow="1" w:lastRow="1" w:firstColumn="1" w:lastColumn="1" w:noHBand="0" w:noVBand="0"/>
      </w:tblPr>
      <w:tblGrid>
        <w:gridCol w:w="8856"/>
      </w:tblGrid>
      <w:tr w:rsidR="00A70A93" w:rsidRPr="004A16D3">
        <w:trPr>
          <w:trHeight w:val="42"/>
        </w:trPr>
        <w:tc>
          <w:tcPr>
            <w:tcW w:w="8856" w:type="dxa"/>
            <w:tcBorders>
              <w:top w:val="single" w:sz="12" w:space="0" w:color="auto"/>
              <w:bottom w:val="single" w:sz="12" w:space="0" w:color="000000"/>
            </w:tcBorders>
            <w:shd w:val="clear" w:color="auto" w:fill="000000"/>
          </w:tcPr>
          <w:p w:rsidR="00A70A93" w:rsidRPr="004A16D3" w:rsidRDefault="00A70A93">
            <w:pPr>
              <w:pStyle w:val="T2"/>
              <w:widowControl w:val="0"/>
              <w:autoSpaceDE w:val="0"/>
              <w:autoSpaceDN w:val="0"/>
              <w:adjustRightInd w:val="0"/>
              <w:spacing w:line="480" w:lineRule="auto"/>
              <w:rPr>
                <w:rFonts w:ascii="Times" w:hAnsi="Times" w:cs="Times"/>
              </w:rPr>
            </w:pPr>
          </w:p>
        </w:tc>
      </w:tr>
      <w:tr w:rsidR="00A70A93" w:rsidRPr="004A16D3">
        <w:trPr>
          <w:trHeight w:val="1896"/>
        </w:trPr>
        <w:tc>
          <w:tcPr>
            <w:tcW w:w="8856" w:type="dxa"/>
            <w:tcBorders>
              <w:bottom w:val="single" w:sz="12" w:space="0" w:color="auto"/>
            </w:tcBorders>
          </w:tcPr>
          <w:p w:rsidR="00A70A93" w:rsidRPr="004A16D3" w:rsidRDefault="00863DAB">
            <w:pPr>
              <w:pStyle w:val="T0"/>
              <w:widowControl w:val="0"/>
              <w:autoSpaceDE w:val="0"/>
              <w:autoSpaceDN w:val="0"/>
              <w:adjustRightInd w:val="0"/>
              <w:spacing w:line="480" w:lineRule="auto"/>
              <w:rPr>
                <w:rFonts w:ascii="Times" w:hAnsi="Times" w:cs="Times"/>
              </w:rPr>
            </w:pPr>
            <w:r w:rsidRPr="004A16D3">
              <w:rPr>
                <w:rFonts w:ascii="Times" w:hAnsi="Times" w:cs="Times"/>
              </w:rPr>
              <w:t>Oral feeding</w:t>
            </w:r>
          </w:p>
          <w:p w:rsidR="00A70A93" w:rsidRPr="004A16D3" w:rsidRDefault="006B0720" w:rsidP="00863DAB">
            <w:pPr>
              <w:pStyle w:val="TBL-MID"/>
              <w:widowControl w:val="0"/>
              <w:autoSpaceDE w:val="0"/>
              <w:autoSpaceDN w:val="0"/>
              <w:adjustRightInd w:val="0"/>
              <w:spacing w:line="480" w:lineRule="auto"/>
              <w:ind w:left="720" w:hanging="360"/>
              <w:rPr>
                <w:rFonts w:ascii="Times" w:hAnsi="Times" w:cs="Times"/>
              </w:rPr>
            </w:pPr>
            <w:r w:rsidRPr="004A16D3">
              <w:rPr>
                <w:rFonts w:ascii="Symbol" w:hAnsi="Symbol" w:cs="Times"/>
              </w:rPr>
              <w:t></w:t>
            </w:r>
            <w:r w:rsidRPr="004A16D3">
              <w:rPr>
                <w:rFonts w:ascii="Symbol" w:hAnsi="Symbol" w:cs="Times"/>
              </w:rPr>
              <w:tab/>
            </w:r>
            <w:r w:rsidRPr="004A16D3">
              <w:rPr>
                <w:rFonts w:ascii="Times" w:hAnsi="Times" w:cs="Times"/>
              </w:rPr>
              <w:t>Typically for infants &gt;32</w:t>
            </w:r>
            <w:r w:rsidR="000D6027" w:rsidRPr="004A16D3">
              <w:rPr>
                <w:rStyle w:val="BulletManualBodyList"/>
              </w:rPr>
              <w:t>-</w:t>
            </w:r>
            <w:r w:rsidRPr="004A16D3">
              <w:rPr>
                <w:rFonts w:ascii="Times" w:hAnsi="Times" w:cs="Times"/>
              </w:rPr>
              <w:t>34 wk post-menstrual age</w:t>
            </w:r>
          </w:p>
          <w:p w:rsidR="00A70A93" w:rsidRPr="004A16D3" w:rsidRDefault="006B0720" w:rsidP="006B0720">
            <w:pPr>
              <w:pStyle w:val="TBL-MID"/>
              <w:widowControl w:val="0"/>
              <w:autoSpaceDE w:val="0"/>
              <w:autoSpaceDN w:val="0"/>
              <w:adjustRightInd w:val="0"/>
              <w:spacing w:line="480" w:lineRule="auto"/>
              <w:ind w:left="720" w:hanging="360"/>
              <w:rPr>
                <w:rFonts w:ascii="Times" w:hAnsi="Times" w:cs="Times"/>
              </w:rPr>
            </w:pPr>
            <w:r w:rsidRPr="004A16D3">
              <w:rPr>
                <w:rFonts w:ascii="Symbol" w:hAnsi="Symbol" w:cs="Times"/>
              </w:rPr>
              <w:t></w:t>
            </w:r>
            <w:r w:rsidRPr="004A16D3">
              <w:rPr>
                <w:rFonts w:ascii="Symbol" w:hAnsi="Symbol" w:cs="Times"/>
              </w:rPr>
              <w:tab/>
            </w:r>
            <w:r w:rsidR="00863DAB" w:rsidRPr="004A16D3">
              <w:rPr>
                <w:rFonts w:ascii="Times" w:hAnsi="Times" w:cs="Times"/>
              </w:rPr>
              <w:t>Coordinated suck/swallow/breathe pattern is present</w:t>
            </w:r>
          </w:p>
          <w:p w:rsidR="00A70A93" w:rsidRPr="004A16D3" w:rsidRDefault="006B0720" w:rsidP="006B0720">
            <w:pPr>
              <w:pStyle w:val="TBL-MID"/>
              <w:widowControl w:val="0"/>
              <w:autoSpaceDE w:val="0"/>
              <w:autoSpaceDN w:val="0"/>
              <w:adjustRightInd w:val="0"/>
              <w:spacing w:line="480" w:lineRule="auto"/>
              <w:ind w:left="720" w:hanging="360"/>
              <w:rPr>
                <w:rFonts w:ascii="Times" w:hAnsi="Times" w:cs="Times"/>
              </w:rPr>
            </w:pPr>
            <w:r w:rsidRPr="004A16D3">
              <w:rPr>
                <w:rFonts w:ascii="Symbol" w:hAnsi="Symbol" w:cs="Times"/>
              </w:rPr>
              <w:t></w:t>
            </w:r>
            <w:r w:rsidRPr="004A16D3">
              <w:rPr>
                <w:rFonts w:ascii="Symbol" w:hAnsi="Symbol" w:cs="Times"/>
              </w:rPr>
              <w:tab/>
            </w:r>
            <w:r w:rsidRPr="004A16D3">
              <w:rPr>
                <w:rFonts w:ascii="Times" w:hAnsi="Times" w:cs="Times"/>
              </w:rPr>
              <w:t>Respiratory rate &lt;60 breaths/min with comfortable work of breathing</w:t>
            </w:r>
          </w:p>
          <w:p w:rsidR="00A70A93" w:rsidRPr="004A16D3" w:rsidRDefault="006B0720" w:rsidP="006B0720">
            <w:pPr>
              <w:pStyle w:val="TBL-MID"/>
              <w:widowControl w:val="0"/>
              <w:autoSpaceDE w:val="0"/>
              <w:autoSpaceDN w:val="0"/>
              <w:adjustRightInd w:val="0"/>
              <w:spacing w:line="480" w:lineRule="auto"/>
              <w:ind w:left="720" w:hanging="360"/>
              <w:rPr>
                <w:rFonts w:ascii="Times" w:hAnsi="Times" w:cs="Times"/>
              </w:rPr>
            </w:pPr>
            <w:r w:rsidRPr="004A16D3">
              <w:rPr>
                <w:rFonts w:ascii="Symbol" w:hAnsi="Symbol" w:cs="Times"/>
              </w:rPr>
              <w:t></w:t>
            </w:r>
            <w:r w:rsidRPr="004A16D3">
              <w:rPr>
                <w:rFonts w:ascii="Symbol" w:hAnsi="Symbol" w:cs="Times"/>
              </w:rPr>
              <w:tab/>
            </w:r>
            <w:r w:rsidRPr="004A16D3">
              <w:rPr>
                <w:rFonts w:ascii="Times" w:hAnsi="Times" w:cs="Times"/>
              </w:rPr>
              <w:t>Consider partial gavage feeding if infant takes &gt;30 min/feed to prevent excess energy expenditure</w:t>
            </w:r>
          </w:p>
          <w:p w:rsidR="00A70A93" w:rsidRPr="004A16D3" w:rsidRDefault="006B0720" w:rsidP="006B0720">
            <w:pPr>
              <w:pStyle w:val="TBL-MID"/>
              <w:widowControl w:val="0"/>
              <w:autoSpaceDE w:val="0"/>
              <w:autoSpaceDN w:val="0"/>
              <w:adjustRightInd w:val="0"/>
              <w:spacing w:line="480" w:lineRule="auto"/>
              <w:ind w:left="720" w:hanging="360"/>
              <w:rPr>
                <w:rFonts w:ascii="Times" w:hAnsi="Times" w:cs="Times"/>
              </w:rPr>
            </w:pPr>
            <w:r w:rsidRPr="004A16D3">
              <w:rPr>
                <w:rFonts w:ascii="Symbol" w:hAnsi="Symbol" w:cs="Times"/>
              </w:rPr>
              <w:t></w:t>
            </w:r>
            <w:r w:rsidRPr="004A16D3">
              <w:rPr>
                <w:rFonts w:ascii="Symbol" w:hAnsi="Symbol" w:cs="Times"/>
              </w:rPr>
              <w:tab/>
            </w:r>
            <w:r w:rsidR="00863DAB" w:rsidRPr="004A16D3">
              <w:rPr>
                <w:rFonts w:ascii="Times" w:hAnsi="Times" w:cs="Times"/>
              </w:rPr>
              <w:t>Many preterm infants benefit from gradual transition from gavage to oral feeding</w:t>
            </w:r>
          </w:p>
          <w:p w:rsidR="00A70A93" w:rsidRPr="004A16D3" w:rsidRDefault="006B0720" w:rsidP="00863DAB">
            <w:pPr>
              <w:pStyle w:val="TBL-MID"/>
              <w:widowControl w:val="0"/>
              <w:autoSpaceDE w:val="0"/>
              <w:autoSpaceDN w:val="0"/>
              <w:adjustRightInd w:val="0"/>
              <w:spacing w:line="480" w:lineRule="auto"/>
              <w:ind w:left="720" w:hanging="360"/>
              <w:rPr>
                <w:rFonts w:ascii="Times" w:hAnsi="Times" w:cs="Times"/>
              </w:rPr>
            </w:pPr>
            <w:r w:rsidRPr="004A16D3">
              <w:rPr>
                <w:rFonts w:ascii="Symbol" w:hAnsi="Symbol" w:cs="Times"/>
              </w:rPr>
              <w:t></w:t>
            </w:r>
            <w:r w:rsidRPr="004A16D3">
              <w:rPr>
                <w:rFonts w:ascii="Symbol" w:hAnsi="Symbol" w:cs="Times"/>
              </w:rPr>
              <w:tab/>
            </w:r>
            <w:r w:rsidR="00863DAB" w:rsidRPr="004A16D3">
              <w:rPr>
                <w:rFonts w:ascii="Times" w:hAnsi="Times" w:cs="Times"/>
              </w:rPr>
              <w:t>Lower flow bottle nipples may be helpful as preterm infants learn to feed</w:t>
            </w:r>
          </w:p>
          <w:p w:rsidR="00A70A93" w:rsidRPr="004A16D3" w:rsidRDefault="00A70A93">
            <w:pPr>
              <w:pStyle w:val="T0"/>
              <w:widowControl w:val="0"/>
              <w:autoSpaceDE w:val="0"/>
              <w:autoSpaceDN w:val="0"/>
              <w:adjustRightInd w:val="0"/>
              <w:spacing w:line="480" w:lineRule="auto"/>
              <w:rPr>
                <w:rFonts w:ascii="Times" w:hAnsi="Times" w:cs="Times"/>
              </w:rPr>
            </w:pPr>
          </w:p>
        </w:tc>
      </w:tr>
      <w:tr w:rsidR="00A70A93" w:rsidRPr="004A16D3">
        <w:trPr>
          <w:trHeight w:val="1320"/>
        </w:trPr>
        <w:tc>
          <w:tcPr>
            <w:tcW w:w="8856" w:type="dxa"/>
            <w:tcBorders>
              <w:top w:val="single" w:sz="12" w:space="0" w:color="auto"/>
              <w:bottom w:val="single" w:sz="12" w:space="0" w:color="auto"/>
            </w:tcBorders>
          </w:tcPr>
          <w:p w:rsidR="00A70A93" w:rsidRPr="004A16D3" w:rsidRDefault="00863DAB">
            <w:pPr>
              <w:pStyle w:val="T0"/>
              <w:widowControl w:val="0"/>
              <w:autoSpaceDE w:val="0"/>
              <w:autoSpaceDN w:val="0"/>
              <w:adjustRightInd w:val="0"/>
              <w:spacing w:line="480" w:lineRule="auto"/>
              <w:rPr>
                <w:rFonts w:ascii="Times" w:hAnsi="Times" w:cs="Times"/>
                <w:bCs/>
              </w:rPr>
            </w:pPr>
            <w:r w:rsidRPr="004A16D3">
              <w:rPr>
                <w:rFonts w:ascii="Times" w:hAnsi="Times" w:cs="Times"/>
              </w:rPr>
              <w:t>Nasogastric/orogastric tube feeding</w:t>
            </w:r>
          </w:p>
          <w:p w:rsidR="00A70A93" w:rsidRPr="004A16D3" w:rsidRDefault="006B0720" w:rsidP="00863DAB">
            <w:pPr>
              <w:pStyle w:val="TBL-MID"/>
              <w:widowControl w:val="0"/>
              <w:autoSpaceDE w:val="0"/>
              <w:autoSpaceDN w:val="0"/>
              <w:adjustRightInd w:val="0"/>
              <w:spacing w:line="480" w:lineRule="auto"/>
              <w:ind w:left="720" w:hanging="360"/>
              <w:rPr>
                <w:rFonts w:ascii="Times" w:hAnsi="Times" w:cs="Times"/>
                <w:bCs/>
              </w:rPr>
            </w:pPr>
            <w:r w:rsidRPr="004A16D3">
              <w:rPr>
                <w:rFonts w:ascii="Symbol" w:hAnsi="Symbol" w:cs="Times"/>
                <w:bCs/>
              </w:rPr>
              <w:t></w:t>
            </w:r>
            <w:r w:rsidRPr="004A16D3">
              <w:rPr>
                <w:rFonts w:ascii="Symbol" w:hAnsi="Symbol" w:cs="Times"/>
                <w:bCs/>
              </w:rPr>
              <w:tab/>
            </w:r>
            <w:r w:rsidRPr="004A16D3">
              <w:rPr>
                <w:rFonts w:ascii="Times" w:hAnsi="Times" w:cs="Times"/>
              </w:rPr>
              <w:t>All infants &lt;32 wk GA, and older infants with ongoing poor suck/swallow/breathe coordination</w:t>
            </w:r>
          </w:p>
          <w:p w:rsidR="00A70A93" w:rsidRPr="004A16D3" w:rsidRDefault="006B0720" w:rsidP="006B0720">
            <w:pPr>
              <w:pStyle w:val="TBL-MID"/>
              <w:widowControl w:val="0"/>
              <w:autoSpaceDE w:val="0"/>
              <w:autoSpaceDN w:val="0"/>
              <w:adjustRightInd w:val="0"/>
              <w:spacing w:line="480" w:lineRule="auto"/>
              <w:ind w:left="720" w:hanging="360"/>
              <w:rPr>
                <w:rFonts w:ascii="Times" w:hAnsi="Times" w:cs="Times"/>
                <w:bCs/>
              </w:rPr>
            </w:pPr>
            <w:r w:rsidRPr="004A16D3">
              <w:rPr>
                <w:rFonts w:ascii="Symbol" w:hAnsi="Symbol" w:cs="Times"/>
                <w:bCs/>
              </w:rPr>
              <w:t></w:t>
            </w:r>
            <w:r w:rsidRPr="004A16D3">
              <w:rPr>
                <w:rFonts w:ascii="Symbol" w:hAnsi="Symbol" w:cs="Times"/>
                <w:bCs/>
              </w:rPr>
              <w:tab/>
            </w:r>
            <w:r w:rsidRPr="004A16D3">
              <w:rPr>
                <w:rFonts w:ascii="Times" w:hAnsi="Times" w:cs="Times"/>
              </w:rPr>
              <w:t>Respiratory rate &gt;60 breaths/min</w:t>
            </w:r>
          </w:p>
          <w:p w:rsidR="00A70A93" w:rsidRPr="004A16D3" w:rsidRDefault="006B0720" w:rsidP="006B0720">
            <w:pPr>
              <w:pStyle w:val="TBL-MID"/>
              <w:widowControl w:val="0"/>
              <w:autoSpaceDE w:val="0"/>
              <w:autoSpaceDN w:val="0"/>
              <w:adjustRightInd w:val="0"/>
              <w:spacing w:line="480" w:lineRule="auto"/>
              <w:ind w:left="720" w:hanging="360"/>
              <w:rPr>
                <w:rFonts w:ascii="Times" w:hAnsi="Times" w:cs="Times"/>
              </w:rPr>
            </w:pPr>
            <w:r w:rsidRPr="004A16D3">
              <w:rPr>
                <w:rFonts w:ascii="Symbol" w:hAnsi="Symbol" w:cs="Times"/>
              </w:rPr>
              <w:t></w:t>
            </w:r>
            <w:r w:rsidRPr="004A16D3">
              <w:rPr>
                <w:rFonts w:ascii="Symbol" w:hAnsi="Symbol" w:cs="Times"/>
              </w:rPr>
              <w:tab/>
            </w:r>
            <w:r w:rsidR="00863DAB" w:rsidRPr="004A16D3">
              <w:rPr>
                <w:rFonts w:ascii="Times" w:hAnsi="Times" w:cs="Times"/>
              </w:rPr>
              <w:t>Infants orally intubated or on NIPPV/CPAP/HFNC</w:t>
            </w:r>
          </w:p>
          <w:p w:rsidR="00A70A93" w:rsidRPr="004A16D3" w:rsidRDefault="006B0720" w:rsidP="006B0720">
            <w:pPr>
              <w:pStyle w:val="TBL-MID"/>
              <w:widowControl w:val="0"/>
              <w:autoSpaceDE w:val="0"/>
              <w:autoSpaceDN w:val="0"/>
              <w:adjustRightInd w:val="0"/>
              <w:spacing w:line="480" w:lineRule="auto"/>
              <w:ind w:left="720" w:hanging="360"/>
              <w:rPr>
                <w:rFonts w:ascii="Times" w:hAnsi="Times" w:cs="Times"/>
              </w:rPr>
            </w:pPr>
            <w:r w:rsidRPr="004A16D3">
              <w:rPr>
                <w:rFonts w:ascii="Symbol" w:hAnsi="Symbol" w:cs="Times"/>
              </w:rPr>
              <w:t></w:t>
            </w:r>
            <w:r w:rsidRPr="004A16D3">
              <w:rPr>
                <w:rFonts w:ascii="Symbol" w:hAnsi="Symbol" w:cs="Times"/>
              </w:rPr>
              <w:tab/>
            </w:r>
            <w:r w:rsidRPr="004A16D3">
              <w:rPr>
                <w:rFonts w:ascii="Times" w:hAnsi="Times" w:cs="Times"/>
              </w:rPr>
              <w:t>Feeds are typically intermittent/bolus feeds infused over 30-60 min and administered every 3 h</w:t>
            </w:r>
          </w:p>
          <w:p w:rsidR="00A70A93" w:rsidRPr="004A16D3" w:rsidRDefault="006B0720" w:rsidP="00863DAB">
            <w:pPr>
              <w:pStyle w:val="TBL-MID"/>
              <w:widowControl w:val="0"/>
              <w:autoSpaceDE w:val="0"/>
              <w:autoSpaceDN w:val="0"/>
              <w:adjustRightInd w:val="0"/>
              <w:spacing w:line="480" w:lineRule="auto"/>
              <w:ind w:left="720" w:hanging="360"/>
              <w:rPr>
                <w:rFonts w:ascii="Times" w:hAnsi="Times" w:cs="Times"/>
              </w:rPr>
            </w:pPr>
            <w:r w:rsidRPr="004A16D3">
              <w:rPr>
                <w:rFonts w:ascii="Symbol" w:hAnsi="Symbol" w:cs="Times"/>
              </w:rPr>
              <w:t></w:t>
            </w:r>
            <w:r w:rsidRPr="004A16D3">
              <w:rPr>
                <w:rFonts w:ascii="Symbol" w:hAnsi="Symbol" w:cs="Times"/>
              </w:rPr>
              <w:tab/>
            </w:r>
            <w:r w:rsidR="00863DAB" w:rsidRPr="004A16D3">
              <w:rPr>
                <w:rFonts w:ascii="Times" w:hAnsi="Times" w:cs="Times"/>
              </w:rPr>
              <w:t>Continuous feeds may be used in cases of feeding intolerance or hypoglycemia</w:t>
            </w:r>
          </w:p>
          <w:p w:rsidR="00A70A93" w:rsidRPr="004A16D3" w:rsidRDefault="00A70A93">
            <w:pPr>
              <w:pStyle w:val="T0"/>
              <w:widowControl w:val="0"/>
              <w:autoSpaceDE w:val="0"/>
              <w:autoSpaceDN w:val="0"/>
              <w:adjustRightInd w:val="0"/>
              <w:spacing w:line="480" w:lineRule="auto"/>
              <w:rPr>
                <w:rFonts w:ascii="Times" w:hAnsi="Times" w:cs="Times"/>
              </w:rPr>
            </w:pPr>
          </w:p>
        </w:tc>
      </w:tr>
      <w:tr w:rsidR="00A70A93" w:rsidRPr="004A16D3">
        <w:trPr>
          <w:trHeight w:val="987"/>
        </w:trPr>
        <w:tc>
          <w:tcPr>
            <w:tcW w:w="8856" w:type="dxa"/>
            <w:tcBorders>
              <w:top w:val="single" w:sz="12" w:space="0" w:color="auto"/>
              <w:bottom w:val="single" w:sz="12" w:space="0" w:color="auto"/>
            </w:tcBorders>
          </w:tcPr>
          <w:p w:rsidR="00A70A93" w:rsidRPr="004A16D3" w:rsidRDefault="00863DAB">
            <w:pPr>
              <w:pStyle w:val="T0"/>
              <w:widowControl w:val="0"/>
              <w:autoSpaceDE w:val="0"/>
              <w:autoSpaceDN w:val="0"/>
              <w:adjustRightInd w:val="0"/>
              <w:spacing w:line="480" w:lineRule="auto"/>
              <w:rPr>
                <w:rFonts w:ascii="Times" w:hAnsi="Times" w:cs="Times"/>
                <w:bCs/>
              </w:rPr>
            </w:pPr>
            <w:r w:rsidRPr="004A16D3">
              <w:rPr>
                <w:rFonts w:ascii="Times" w:hAnsi="Times" w:cs="Times"/>
              </w:rPr>
              <w:t>Continuous transpyloric feeding</w:t>
            </w:r>
          </w:p>
          <w:p w:rsidR="00A70A93" w:rsidRPr="004A16D3" w:rsidRDefault="006B0720" w:rsidP="00863DAB">
            <w:pPr>
              <w:pStyle w:val="TBL-MID"/>
              <w:widowControl w:val="0"/>
              <w:autoSpaceDE w:val="0"/>
              <w:autoSpaceDN w:val="0"/>
              <w:adjustRightInd w:val="0"/>
              <w:spacing w:line="480" w:lineRule="auto"/>
              <w:ind w:left="720" w:hanging="360"/>
              <w:rPr>
                <w:rFonts w:ascii="Times" w:hAnsi="Times" w:cs="Times"/>
                <w:bCs/>
              </w:rPr>
            </w:pPr>
            <w:r w:rsidRPr="004A16D3">
              <w:rPr>
                <w:rFonts w:ascii="Symbol" w:hAnsi="Symbol" w:cs="Times"/>
                <w:bCs/>
              </w:rPr>
              <w:t></w:t>
            </w:r>
            <w:r w:rsidRPr="004A16D3">
              <w:rPr>
                <w:rFonts w:ascii="Symbol" w:hAnsi="Symbol" w:cs="Times"/>
                <w:bCs/>
              </w:rPr>
              <w:tab/>
            </w:r>
            <w:r w:rsidR="00863DAB" w:rsidRPr="004A16D3">
              <w:rPr>
                <w:rFonts w:ascii="Times" w:hAnsi="Times" w:cs="Times"/>
                <w:bCs/>
              </w:rPr>
              <w:t xml:space="preserve">Consider for infants with intolerance to gastric feeding, severe GER, and severe </w:t>
            </w:r>
            <w:r w:rsidR="00863DAB" w:rsidRPr="004A16D3">
              <w:rPr>
                <w:rFonts w:ascii="Times" w:hAnsi="Times" w:cs="Times"/>
                <w:bCs/>
              </w:rPr>
              <w:lastRenderedPageBreak/>
              <w:t>BPD/pulmonary hypertension who are at risk for aspiration</w:t>
            </w:r>
          </w:p>
          <w:p w:rsidR="00A70A93" w:rsidRPr="004A16D3" w:rsidRDefault="006B0720" w:rsidP="00863DAB">
            <w:pPr>
              <w:pStyle w:val="TBL-MID"/>
              <w:widowControl w:val="0"/>
              <w:autoSpaceDE w:val="0"/>
              <w:autoSpaceDN w:val="0"/>
              <w:adjustRightInd w:val="0"/>
              <w:spacing w:line="480" w:lineRule="auto"/>
              <w:ind w:left="720" w:hanging="360"/>
              <w:rPr>
                <w:rFonts w:ascii="Times" w:hAnsi="Times" w:cs="Times"/>
                <w:bCs/>
              </w:rPr>
            </w:pPr>
            <w:r w:rsidRPr="004A16D3">
              <w:rPr>
                <w:rFonts w:ascii="Symbol" w:hAnsi="Symbol" w:cs="Times"/>
                <w:bCs/>
              </w:rPr>
              <w:t></w:t>
            </w:r>
            <w:r w:rsidRPr="004A16D3">
              <w:rPr>
                <w:rFonts w:ascii="Symbol" w:hAnsi="Symbol" w:cs="Times"/>
                <w:bCs/>
              </w:rPr>
              <w:tab/>
            </w:r>
            <w:r w:rsidR="00863DAB" w:rsidRPr="004A16D3">
              <w:rPr>
                <w:rFonts w:ascii="Times" w:hAnsi="Times" w:cs="Times"/>
                <w:bCs/>
              </w:rPr>
              <w:t>Placement of transpyloric tube can be more difficult than gastric tube placement</w:t>
            </w:r>
          </w:p>
          <w:p w:rsidR="00A70A93" w:rsidRPr="004A16D3" w:rsidRDefault="00A70A93">
            <w:pPr>
              <w:pStyle w:val="T0"/>
              <w:widowControl w:val="0"/>
              <w:autoSpaceDE w:val="0"/>
              <w:autoSpaceDN w:val="0"/>
              <w:adjustRightInd w:val="0"/>
              <w:spacing w:line="480" w:lineRule="auto"/>
              <w:rPr>
                <w:rFonts w:ascii="Times" w:hAnsi="Times" w:cs="Times"/>
              </w:rPr>
            </w:pPr>
          </w:p>
        </w:tc>
      </w:tr>
      <w:tr w:rsidR="00A70A93" w:rsidRPr="004A16D3">
        <w:trPr>
          <w:trHeight w:val="870"/>
        </w:trPr>
        <w:tc>
          <w:tcPr>
            <w:tcW w:w="8856" w:type="dxa"/>
            <w:tcBorders>
              <w:top w:val="single" w:sz="12" w:space="0" w:color="auto"/>
              <w:bottom w:val="single" w:sz="12" w:space="0" w:color="auto"/>
            </w:tcBorders>
          </w:tcPr>
          <w:p w:rsidR="00A70A93" w:rsidRPr="004A16D3" w:rsidRDefault="00863DAB">
            <w:pPr>
              <w:pStyle w:val="T0"/>
              <w:widowControl w:val="0"/>
              <w:autoSpaceDE w:val="0"/>
              <w:autoSpaceDN w:val="0"/>
              <w:adjustRightInd w:val="0"/>
              <w:spacing w:line="480" w:lineRule="auto"/>
              <w:rPr>
                <w:rFonts w:ascii="Times" w:hAnsi="Times" w:cs="Times"/>
                <w:bCs/>
              </w:rPr>
            </w:pPr>
            <w:r w:rsidRPr="004A16D3">
              <w:rPr>
                <w:rFonts w:ascii="Times" w:hAnsi="Times" w:cs="Times"/>
              </w:rPr>
              <w:lastRenderedPageBreak/>
              <w:t>Indications for gastrostomy tube feeding</w:t>
            </w:r>
          </w:p>
          <w:p w:rsidR="00A70A93" w:rsidRPr="004A16D3" w:rsidRDefault="006B0720" w:rsidP="006B0720">
            <w:pPr>
              <w:pStyle w:val="TBL-MID"/>
              <w:widowControl w:val="0"/>
              <w:autoSpaceDE w:val="0"/>
              <w:autoSpaceDN w:val="0"/>
              <w:adjustRightInd w:val="0"/>
              <w:spacing w:line="480" w:lineRule="auto"/>
              <w:ind w:left="720" w:hanging="360"/>
              <w:rPr>
                <w:rFonts w:ascii="Times" w:hAnsi="Times" w:cs="Times"/>
                <w:bCs/>
              </w:rPr>
            </w:pPr>
            <w:r w:rsidRPr="004A16D3">
              <w:rPr>
                <w:rFonts w:ascii="Symbol" w:hAnsi="Symbol" w:cs="Times"/>
                <w:bCs/>
              </w:rPr>
              <w:t></w:t>
            </w:r>
            <w:r w:rsidRPr="004A16D3">
              <w:rPr>
                <w:rFonts w:ascii="Symbol" w:hAnsi="Symbol" w:cs="Times"/>
                <w:bCs/>
              </w:rPr>
              <w:tab/>
            </w:r>
            <w:r w:rsidR="00863DAB" w:rsidRPr="004A16D3">
              <w:rPr>
                <w:rFonts w:ascii="Times" w:hAnsi="Times" w:cs="Times"/>
              </w:rPr>
              <w:t>For infants who will be unable to sufficiently orally feed for several months</w:t>
            </w:r>
          </w:p>
          <w:p w:rsidR="00A70A93" w:rsidRPr="004A16D3" w:rsidRDefault="006B0720" w:rsidP="00863DAB">
            <w:pPr>
              <w:pStyle w:val="TBL-MID"/>
              <w:widowControl w:val="0"/>
              <w:autoSpaceDE w:val="0"/>
              <w:autoSpaceDN w:val="0"/>
              <w:adjustRightInd w:val="0"/>
              <w:spacing w:line="480" w:lineRule="auto"/>
              <w:ind w:left="720" w:hanging="360"/>
              <w:rPr>
                <w:rFonts w:ascii="Times" w:hAnsi="Times" w:cs="Times"/>
              </w:rPr>
            </w:pPr>
            <w:r w:rsidRPr="004A16D3">
              <w:rPr>
                <w:rFonts w:ascii="Symbol" w:hAnsi="Symbol" w:cs="Times"/>
              </w:rPr>
              <w:t></w:t>
            </w:r>
            <w:r w:rsidRPr="004A16D3">
              <w:rPr>
                <w:rFonts w:ascii="Symbol" w:hAnsi="Symbol" w:cs="Times"/>
              </w:rPr>
              <w:tab/>
            </w:r>
            <w:r w:rsidR="00863DAB" w:rsidRPr="004A16D3">
              <w:rPr>
                <w:rFonts w:ascii="Times" w:hAnsi="Times" w:cs="Times"/>
              </w:rPr>
              <w:t>May prevent oral aversion associated with long-term nasogastric tube feeding</w:t>
            </w:r>
          </w:p>
        </w:tc>
      </w:tr>
    </w:tbl>
    <w:p w:rsidR="00A70A93" w:rsidRPr="004A16D3" w:rsidRDefault="00566FF8">
      <w:pPr>
        <w:pStyle w:val="TFN"/>
        <w:widowControl w:val="0"/>
        <w:autoSpaceDE w:val="0"/>
        <w:autoSpaceDN w:val="0"/>
        <w:adjustRightInd w:val="0"/>
        <w:spacing w:line="480" w:lineRule="auto"/>
        <w:rPr>
          <w:rFonts w:ascii="Times" w:hAnsi="Times" w:cs="Times"/>
        </w:rPr>
      </w:pPr>
      <w:r w:rsidRPr="004A16D3">
        <w:rPr>
          <w:rFonts w:ascii="Times" w:hAnsi="Times" w:cs="Times"/>
        </w:rPr>
        <w:t>BPD</w:t>
      </w:r>
      <w:r w:rsidR="00681139" w:rsidRPr="004A16D3">
        <w:rPr>
          <w:rFonts w:ascii="Times" w:hAnsi="Times" w:cs="Times"/>
        </w:rPr>
        <w:t xml:space="preserve">, </w:t>
      </w:r>
      <w:r w:rsidRPr="004A16D3">
        <w:rPr>
          <w:rFonts w:ascii="Times" w:hAnsi="Times" w:cs="Times"/>
        </w:rPr>
        <w:t xml:space="preserve">bronchopulmonary dysplasia; </w:t>
      </w:r>
      <w:r w:rsidR="00863DAB" w:rsidRPr="004A16D3">
        <w:rPr>
          <w:rFonts w:ascii="Times" w:hAnsi="Times" w:cs="Times"/>
        </w:rPr>
        <w:t>CPAP</w:t>
      </w:r>
      <w:r w:rsidR="00681139" w:rsidRPr="004A16D3">
        <w:rPr>
          <w:rFonts w:ascii="Times" w:hAnsi="Times" w:cs="Times"/>
        </w:rPr>
        <w:t xml:space="preserve">, </w:t>
      </w:r>
      <w:r w:rsidR="00863DAB" w:rsidRPr="004A16D3">
        <w:rPr>
          <w:rFonts w:ascii="Times" w:hAnsi="Times" w:cs="Times"/>
        </w:rPr>
        <w:t xml:space="preserve">continuous positive airway pressure; </w:t>
      </w:r>
      <w:r w:rsidRPr="004A16D3">
        <w:rPr>
          <w:rFonts w:ascii="Times" w:hAnsi="Times" w:cs="Times"/>
        </w:rPr>
        <w:t>GA</w:t>
      </w:r>
      <w:r w:rsidR="00681139" w:rsidRPr="004A16D3">
        <w:rPr>
          <w:rFonts w:ascii="Times" w:hAnsi="Times" w:cs="Times"/>
        </w:rPr>
        <w:t xml:space="preserve">, </w:t>
      </w:r>
      <w:r w:rsidRPr="004A16D3">
        <w:rPr>
          <w:rFonts w:ascii="Times" w:hAnsi="Times" w:cs="Times"/>
        </w:rPr>
        <w:t xml:space="preserve">gestational age; </w:t>
      </w:r>
      <w:r w:rsidR="00863DAB" w:rsidRPr="004A16D3">
        <w:rPr>
          <w:rFonts w:ascii="Times" w:hAnsi="Times" w:cs="Times"/>
        </w:rPr>
        <w:t>GER</w:t>
      </w:r>
      <w:r w:rsidR="00681139" w:rsidRPr="004A16D3">
        <w:rPr>
          <w:rFonts w:ascii="Times" w:hAnsi="Times" w:cs="Times"/>
        </w:rPr>
        <w:t xml:space="preserve">, </w:t>
      </w:r>
      <w:r w:rsidR="00863DAB" w:rsidRPr="004A16D3">
        <w:rPr>
          <w:rFonts w:ascii="Times" w:hAnsi="Times" w:cs="Times"/>
        </w:rPr>
        <w:t xml:space="preserve">gastroesophageal reflux; </w:t>
      </w:r>
      <w:r w:rsidR="00C36540" w:rsidRPr="004A16D3">
        <w:rPr>
          <w:rFonts w:ascii="Times" w:hAnsi="Times" w:cs="Times"/>
        </w:rPr>
        <w:t>HFNC</w:t>
      </w:r>
      <w:r w:rsidR="00681139" w:rsidRPr="004A16D3">
        <w:rPr>
          <w:rFonts w:ascii="Times" w:hAnsi="Times" w:cs="Times"/>
        </w:rPr>
        <w:t xml:space="preserve">, </w:t>
      </w:r>
      <w:r w:rsidR="00C36540" w:rsidRPr="004A16D3">
        <w:rPr>
          <w:rFonts w:ascii="Times" w:hAnsi="Times" w:cs="Times"/>
        </w:rPr>
        <w:t xml:space="preserve">high flow nasal cannula; </w:t>
      </w:r>
      <w:r w:rsidRPr="004A16D3">
        <w:rPr>
          <w:rFonts w:ascii="Times" w:hAnsi="Times" w:cs="Times"/>
        </w:rPr>
        <w:t>NIPPV</w:t>
      </w:r>
      <w:r w:rsidR="00681139" w:rsidRPr="004A16D3">
        <w:rPr>
          <w:rFonts w:ascii="Times" w:hAnsi="Times" w:cs="Times"/>
        </w:rPr>
        <w:t xml:space="preserve">, </w:t>
      </w:r>
      <w:r w:rsidRPr="004A16D3">
        <w:rPr>
          <w:rFonts w:ascii="Times" w:hAnsi="Times" w:cs="Times"/>
        </w:rPr>
        <w:t>non-invasive positive pressure ventilation</w:t>
      </w:r>
      <w:r w:rsidR="00863DAB" w:rsidRPr="004A16D3">
        <w:rPr>
          <w:rFonts w:ascii="Times" w:hAnsi="Times" w:cs="Times"/>
        </w:rPr>
        <w:t>.</w:t>
      </w:r>
    </w:p>
    <w:p w:rsidR="00A70A93" w:rsidRPr="004A16D3" w:rsidRDefault="00863DAB" w:rsidP="004A16D3">
      <w:pPr>
        <w:pStyle w:val="T1"/>
        <w:widowControl w:val="0"/>
        <w:autoSpaceDE w:val="0"/>
        <w:autoSpaceDN w:val="0"/>
        <w:adjustRightInd w:val="0"/>
        <w:spacing w:line="480" w:lineRule="auto"/>
        <w:rPr>
          <w:rFonts w:ascii="Times" w:hAnsi="Times" w:cs="Times"/>
        </w:rPr>
      </w:pPr>
      <w:r w:rsidRPr="004A16D3">
        <w:rPr>
          <w:rFonts w:ascii="Times" w:hAnsi="Times" w:cs="Times"/>
          <w:b/>
          <w:bCs/>
        </w:rPr>
        <w:br w:type="page"/>
      </w:r>
    </w:p>
    <w:p w:rsidR="00A70A93" w:rsidRPr="004A16D3" w:rsidRDefault="00863DAB">
      <w:pPr>
        <w:pStyle w:val="T1"/>
        <w:widowControl w:val="0"/>
        <w:autoSpaceDE w:val="0"/>
        <w:autoSpaceDN w:val="0"/>
        <w:adjustRightInd w:val="0"/>
        <w:spacing w:line="480" w:lineRule="auto"/>
        <w:rPr>
          <w:rFonts w:ascii="Times" w:hAnsi="Times" w:cs="Times"/>
          <w:b/>
          <w:bCs/>
        </w:rPr>
      </w:pPr>
      <w:r w:rsidRPr="004A16D3">
        <w:rPr>
          <w:rFonts w:ascii="Times" w:hAnsi="Times" w:cs="Times"/>
        </w:rPr>
        <w:br w:type="page"/>
      </w:r>
      <w:r w:rsidR="00583FF9" w:rsidRPr="004A16D3">
        <w:rPr>
          <w:rStyle w:val="TN"/>
          <w:rFonts w:ascii="Times" w:hAnsi="Times" w:cs="Times"/>
          <w:b/>
          <w:bCs/>
        </w:rPr>
        <w:lastRenderedPageBreak/>
        <w:t>TABLE 35.8</w:t>
      </w:r>
      <w:r w:rsidR="00583FF9" w:rsidRPr="004A16D3">
        <w:rPr>
          <w:rFonts w:ascii="Times" w:hAnsi="Times" w:cs="Times"/>
          <w:b/>
          <w:bCs/>
        </w:rPr>
        <w:t xml:space="preserve"> ENTERAL NUTRITION IN PRETERM INFANTS: CHOICE OF FEEDING SUBSTRATE</w:t>
      </w:r>
    </w:p>
    <w:tbl>
      <w:tblPr>
        <w:tblW w:w="0" w:type="auto"/>
        <w:tblBorders>
          <w:top w:val="single" w:sz="6" w:space="0" w:color="000000"/>
          <w:left w:val="single" w:sz="6" w:space="0" w:color="000000"/>
          <w:bottom w:val="single" w:sz="6" w:space="0" w:color="000000"/>
          <w:right w:val="single" w:sz="6" w:space="0" w:color="000000"/>
          <w:insideH w:val="single" w:sz="6" w:space="0" w:color="000000"/>
        </w:tblBorders>
        <w:tblLook w:val="01E0" w:firstRow="1" w:lastRow="1" w:firstColumn="1" w:lastColumn="1" w:noHBand="0" w:noVBand="0"/>
      </w:tblPr>
      <w:tblGrid>
        <w:gridCol w:w="8856"/>
      </w:tblGrid>
      <w:tr w:rsidR="00A70A93" w:rsidRPr="004A16D3">
        <w:trPr>
          <w:trHeight w:val="1842"/>
        </w:trPr>
        <w:tc>
          <w:tcPr>
            <w:tcW w:w="8856" w:type="dxa"/>
            <w:tcBorders>
              <w:top w:val="single" w:sz="12" w:space="0" w:color="auto"/>
              <w:bottom w:val="single" w:sz="12" w:space="0" w:color="auto"/>
            </w:tcBorders>
          </w:tcPr>
          <w:p w:rsidR="00A70A93" w:rsidRPr="004A16D3" w:rsidRDefault="00863DAB" w:rsidP="00284B48">
            <w:pPr>
              <w:pStyle w:val="T4"/>
              <w:rPr>
                <w:rFonts w:cs="Arial"/>
              </w:rPr>
            </w:pPr>
            <w:r w:rsidRPr="004A16D3">
              <w:rPr>
                <w:rFonts w:ascii="Times" w:hAnsi="Times" w:cs="Times"/>
              </w:rPr>
              <w:t>Preterm infants require fortification of human milk (parent’s own or donor)</w:t>
            </w:r>
          </w:p>
          <w:p w:rsidR="00A70A93" w:rsidRPr="004A16D3" w:rsidRDefault="00863DAB">
            <w:pPr>
              <w:pStyle w:val="TBL-MID"/>
              <w:widowControl w:val="0"/>
              <w:autoSpaceDE w:val="0"/>
              <w:autoSpaceDN w:val="0"/>
              <w:adjustRightInd w:val="0"/>
              <w:spacing w:line="480" w:lineRule="auto"/>
              <w:rPr>
                <w:rFonts w:ascii="Times" w:hAnsi="Times" w:cs="Times"/>
                <w:bCs/>
              </w:rPr>
            </w:pPr>
            <w:r w:rsidRPr="004A16D3">
              <w:rPr>
                <w:rStyle w:val="BulletManualBodyList"/>
                <w:rFonts w:ascii="Times" w:hAnsi="Times" w:cs="Times"/>
              </w:rPr>
              <w:t>•</w:t>
            </w:r>
            <w:r w:rsidRPr="004A16D3">
              <w:rPr>
                <w:rFonts w:ascii="Times" w:hAnsi="Times" w:cs="Times"/>
              </w:rPr>
              <w:t xml:space="preserve"> Volume of human milk required to meet nutrient needs is too high</w:t>
            </w:r>
          </w:p>
          <w:p w:rsidR="00A70A93" w:rsidRPr="004A16D3" w:rsidRDefault="00863DAB">
            <w:pPr>
              <w:pStyle w:val="TBL-MID"/>
              <w:widowControl w:val="0"/>
              <w:autoSpaceDE w:val="0"/>
              <w:autoSpaceDN w:val="0"/>
              <w:adjustRightInd w:val="0"/>
              <w:spacing w:line="480" w:lineRule="auto"/>
              <w:rPr>
                <w:rFonts w:ascii="Times" w:hAnsi="Times" w:cs="Times"/>
              </w:rPr>
            </w:pPr>
            <w:r w:rsidRPr="004A16D3">
              <w:rPr>
                <w:rStyle w:val="BulletManualBodyList"/>
                <w:rFonts w:ascii="Times" w:hAnsi="Times" w:cs="Times"/>
              </w:rPr>
              <w:t>•</w:t>
            </w:r>
            <w:r w:rsidRPr="004A16D3">
              <w:rPr>
                <w:rFonts w:ascii="Times" w:hAnsi="Times" w:cs="Times"/>
              </w:rPr>
              <w:t xml:space="preserve"> Fat in human milk may adhere to the NGT/OGT tubing, which reduces available calories and fats</w:t>
            </w:r>
          </w:p>
          <w:p w:rsidR="00A70A93" w:rsidRPr="004A16D3" w:rsidRDefault="00863DAB">
            <w:pPr>
              <w:pStyle w:val="TBL-LAST"/>
              <w:widowControl w:val="0"/>
              <w:autoSpaceDE w:val="0"/>
              <w:autoSpaceDN w:val="0"/>
              <w:adjustRightInd w:val="0"/>
              <w:spacing w:line="480" w:lineRule="auto"/>
              <w:rPr>
                <w:rFonts w:ascii="Times" w:hAnsi="Times" w:cs="Times"/>
              </w:rPr>
            </w:pPr>
            <w:r w:rsidRPr="004A16D3">
              <w:rPr>
                <w:rStyle w:val="BulletManualBodyList"/>
                <w:rFonts w:ascii="Times" w:hAnsi="Times" w:cs="Times"/>
              </w:rPr>
              <w:t>•</w:t>
            </w:r>
            <w:r w:rsidRPr="004A16D3">
              <w:rPr>
                <w:rFonts w:ascii="Times" w:hAnsi="Times" w:cs="Times"/>
              </w:rPr>
              <w:t xml:space="preserve"> Degradation of bile salt-stimulating lipase in pasteurized donor human milk may limit fat absorption; concentration of heat sensitive vitamins may also be reduced</w:t>
            </w:r>
          </w:p>
        </w:tc>
      </w:tr>
      <w:tr w:rsidR="00A70A93" w:rsidRPr="004A16D3">
        <w:trPr>
          <w:trHeight w:val="4020"/>
        </w:trPr>
        <w:tc>
          <w:tcPr>
            <w:tcW w:w="8856" w:type="dxa"/>
            <w:tcBorders>
              <w:top w:val="single" w:sz="12" w:space="0" w:color="auto"/>
              <w:bottom w:val="single" w:sz="12" w:space="0" w:color="auto"/>
            </w:tcBorders>
          </w:tcPr>
          <w:p w:rsidR="00A70A93" w:rsidRPr="004A16D3" w:rsidRDefault="00863DAB" w:rsidP="00284B48">
            <w:pPr>
              <w:pStyle w:val="T4"/>
              <w:rPr>
                <w:rFonts w:ascii="Times" w:hAnsi="Times" w:cs="Times"/>
                <w:bCs/>
              </w:rPr>
            </w:pPr>
            <w:r w:rsidRPr="004A16D3">
              <w:rPr>
                <w:rFonts w:ascii="Times" w:hAnsi="Times" w:cs="Times"/>
              </w:rPr>
              <w:t>Human Milk Fortifiers (HMF)</w:t>
            </w:r>
          </w:p>
          <w:p w:rsidR="00A70A93" w:rsidRPr="004A16D3" w:rsidRDefault="00863DAB">
            <w:pPr>
              <w:pStyle w:val="TBL-MID"/>
              <w:widowControl w:val="0"/>
              <w:autoSpaceDE w:val="0"/>
              <w:autoSpaceDN w:val="0"/>
              <w:adjustRightInd w:val="0"/>
              <w:spacing w:line="480" w:lineRule="auto"/>
              <w:rPr>
                <w:rFonts w:ascii="Times" w:hAnsi="Times" w:cs="Times"/>
              </w:rPr>
            </w:pPr>
            <w:r w:rsidRPr="004A16D3">
              <w:rPr>
                <w:rStyle w:val="BulletManualBodyList"/>
                <w:rFonts w:ascii="Times" w:hAnsi="Times" w:cs="Times"/>
              </w:rPr>
              <w:t>•</w:t>
            </w:r>
            <w:r w:rsidRPr="004A16D3">
              <w:rPr>
                <w:rFonts w:ascii="Times" w:hAnsi="Times" w:cs="Times"/>
              </w:rPr>
              <w:t xml:space="preserve"> Indicated for the youngest, smallest infants; typically &lt;34 wk PMA and/or &lt;2 kg</w:t>
            </w:r>
          </w:p>
          <w:p w:rsidR="00A70A93" w:rsidRPr="004A16D3" w:rsidRDefault="00863DAB">
            <w:pPr>
              <w:pStyle w:val="TBL-MID"/>
              <w:widowControl w:val="0"/>
              <w:autoSpaceDE w:val="0"/>
              <w:autoSpaceDN w:val="0"/>
              <w:adjustRightInd w:val="0"/>
              <w:spacing w:line="480" w:lineRule="auto"/>
              <w:rPr>
                <w:rFonts w:ascii="Times" w:hAnsi="Times" w:cs="Times"/>
              </w:rPr>
            </w:pPr>
            <w:r w:rsidRPr="004A16D3">
              <w:rPr>
                <w:rStyle w:val="BulletManualBodyList"/>
                <w:rFonts w:ascii="Times" w:hAnsi="Times" w:cs="Times"/>
              </w:rPr>
              <w:t>•</w:t>
            </w:r>
            <w:r w:rsidRPr="004A16D3">
              <w:rPr>
                <w:rFonts w:ascii="Times" w:hAnsi="Times" w:cs="Times"/>
              </w:rPr>
              <w:t xml:space="preserve"> Hospital use only due to higher nutrient content that is not suitable for older infants</w:t>
            </w:r>
          </w:p>
          <w:p w:rsidR="00A70A93" w:rsidRPr="004A16D3" w:rsidRDefault="00863DAB">
            <w:pPr>
              <w:pStyle w:val="T0"/>
              <w:widowControl w:val="0"/>
              <w:autoSpaceDE w:val="0"/>
              <w:autoSpaceDN w:val="0"/>
              <w:adjustRightInd w:val="0"/>
              <w:spacing w:line="480" w:lineRule="auto"/>
              <w:rPr>
                <w:rFonts w:ascii="Times" w:hAnsi="Times" w:cs="Times"/>
              </w:rPr>
            </w:pPr>
            <w:r w:rsidRPr="004A16D3">
              <w:rPr>
                <w:rFonts w:ascii="Times" w:hAnsi="Times" w:cs="Times"/>
              </w:rPr>
              <w:t>taking larger feeding volumes</w:t>
            </w:r>
          </w:p>
          <w:p w:rsidR="00A70A93" w:rsidRPr="004A16D3" w:rsidRDefault="00863DAB">
            <w:pPr>
              <w:pStyle w:val="TBL-MID"/>
              <w:widowControl w:val="0"/>
              <w:autoSpaceDE w:val="0"/>
              <w:autoSpaceDN w:val="0"/>
              <w:adjustRightInd w:val="0"/>
              <w:spacing w:line="480" w:lineRule="auto"/>
              <w:rPr>
                <w:rFonts w:ascii="Times" w:hAnsi="Times" w:cs="Times"/>
              </w:rPr>
            </w:pPr>
            <w:r w:rsidRPr="004A16D3">
              <w:rPr>
                <w:rStyle w:val="BulletManualBodyList"/>
                <w:rFonts w:ascii="Times" w:hAnsi="Times" w:cs="Times"/>
              </w:rPr>
              <w:t>•</w:t>
            </w:r>
            <w:r w:rsidRPr="004A16D3">
              <w:rPr>
                <w:rFonts w:ascii="Times" w:hAnsi="Times" w:cs="Times"/>
              </w:rPr>
              <w:t xml:space="preserve"> Protein source can be:</w:t>
            </w:r>
          </w:p>
          <w:p w:rsidR="00A70A93" w:rsidRPr="004A16D3" w:rsidRDefault="00863DAB" w:rsidP="00737EF3">
            <w:pPr>
              <w:pStyle w:val="TBL2-MID"/>
            </w:pPr>
            <w:r w:rsidRPr="004A16D3">
              <w:rPr>
                <w:rStyle w:val="BulletManualBodyList"/>
                <w:rFonts w:ascii="Times" w:hAnsi="Times" w:cs="Times"/>
              </w:rPr>
              <w:t>•</w:t>
            </w:r>
            <w:r w:rsidRPr="004A16D3">
              <w:t xml:space="preserve"> bovine or human milk-based</w:t>
            </w:r>
          </w:p>
          <w:p w:rsidR="00A70A93" w:rsidRPr="004A16D3" w:rsidRDefault="00863DAB" w:rsidP="00737EF3">
            <w:pPr>
              <w:pStyle w:val="TBL2-MID"/>
            </w:pPr>
            <w:r w:rsidRPr="004A16D3">
              <w:rPr>
                <w:rStyle w:val="BulletManualBodyList"/>
                <w:rFonts w:ascii="Times" w:hAnsi="Times" w:cs="Times"/>
              </w:rPr>
              <w:t>•</w:t>
            </w:r>
            <w:r w:rsidRPr="004A16D3">
              <w:t xml:space="preserve"> casein or whey predominant (if bovine-based)</w:t>
            </w:r>
          </w:p>
          <w:p w:rsidR="00A70A93" w:rsidRPr="004A16D3" w:rsidRDefault="00863DAB" w:rsidP="00737EF3">
            <w:pPr>
              <w:pStyle w:val="TBL2-MID"/>
            </w:pPr>
            <w:r w:rsidRPr="004A16D3">
              <w:rPr>
                <w:rStyle w:val="BulletManualBodyList"/>
                <w:rFonts w:ascii="Times" w:hAnsi="Times" w:cs="Times"/>
              </w:rPr>
              <w:t>•</w:t>
            </w:r>
            <w:r w:rsidRPr="004A16D3">
              <w:t xml:space="preserve"> polymeric, partially hydrolyzed, or extensively hydrolyzed</w:t>
            </w:r>
          </w:p>
          <w:p w:rsidR="00A70A93" w:rsidRPr="004A16D3" w:rsidRDefault="00863DAB" w:rsidP="00737EF3">
            <w:pPr>
              <w:pStyle w:val="TBL2-MID"/>
            </w:pPr>
            <w:r w:rsidRPr="004A16D3">
              <w:rPr>
                <w:rStyle w:val="BulletManualBodyList"/>
                <w:rFonts w:ascii="Times" w:hAnsi="Times" w:cs="Times"/>
              </w:rPr>
              <w:t>•</w:t>
            </w:r>
            <w:r w:rsidRPr="004A16D3">
              <w:t xml:space="preserve"> low (0.3-0.35 g/5 mL), standard (0.42 g/5 mL), or high (0.5-0.56 g/5 mL) protein concentration</w:t>
            </w:r>
          </w:p>
          <w:p w:rsidR="00A70A93" w:rsidRPr="004A16D3" w:rsidRDefault="00863DAB">
            <w:pPr>
              <w:pStyle w:val="TBL-MID"/>
              <w:widowControl w:val="0"/>
              <w:autoSpaceDE w:val="0"/>
              <w:autoSpaceDN w:val="0"/>
              <w:adjustRightInd w:val="0"/>
              <w:spacing w:line="480" w:lineRule="auto"/>
              <w:rPr>
                <w:rFonts w:ascii="Times" w:hAnsi="Times" w:cs="Times"/>
              </w:rPr>
            </w:pPr>
            <w:r w:rsidRPr="004A16D3">
              <w:rPr>
                <w:rStyle w:val="BulletManualBodyList"/>
                <w:rFonts w:ascii="Times" w:hAnsi="Times" w:cs="Times"/>
              </w:rPr>
              <w:t>•</w:t>
            </w:r>
            <w:r w:rsidRPr="004A16D3">
              <w:rPr>
                <w:rFonts w:ascii="Times" w:hAnsi="Times" w:cs="Times"/>
              </w:rPr>
              <w:t xml:space="preserve"> Macronutrients cater to immature digestive function of preterm infants</w:t>
            </w:r>
          </w:p>
          <w:p w:rsidR="00A70A93" w:rsidRPr="004A16D3" w:rsidRDefault="00863DAB" w:rsidP="00737EF3">
            <w:pPr>
              <w:pStyle w:val="TBL2-MID"/>
            </w:pPr>
            <w:r w:rsidRPr="004A16D3">
              <w:rPr>
                <w:rStyle w:val="BulletManualBodyList"/>
                <w:rFonts w:ascii="Times" w:hAnsi="Times" w:cs="Times"/>
              </w:rPr>
              <w:t>•</w:t>
            </w:r>
            <w:r w:rsidRPr="004A16D3">
              <w:t xml:space="preserve"> Protein: may be hydrolyzed (bovine-based)</w:t>
            </w:r>
          </w:p>
          <w:p w:rsidR="00A70A93" w:rsidRPr="004A16D3" w:rsidRDefault="00863DAB" w:rsidP="00737EF3">
            <w:pPr>
              <w:pStyle w:val="TBL2-MID"/>
            </w:pPr>
            <w:r w:rsidRPr="004A16D3">
              <w:rPr>
                <w:rStyle w:val="BulletManualBodyList"/>
                <w:rFonts w:ascii="Times" w:hAnsi="Times" w:cs="Times"/>
              </w:rPr>
              <w:t>•</w:t>
            </w:r>
            <w:r w:rsidRPr="004A16D3">
              <w:t xml:space="preserve"> Fat: medium chain triglyceride predominant (bovine-based)</w:t>
            </w:r>
          </w:p>
          <w:p w:rsidR="00A70A93" w:rsidRPr="004A16D3" w:rsidRDefault="00863DAB" w:rsidP="00737EF3">
            <w:pPr>
              <w:pStyle w:val="TBL2-MID"/>
            </w:pPr>
            <w:r w:rsidRPr="004A16D3">
              <w:rPr>
                <w:rStyle w:val="BulletManualBodyList"/>
                <w:rFonts w:ascii="Times" w:hAnsi="Times" w:cs="Times"/>
              </w:rPr>
              <w:t>•</w:t>
            </w:r>
            <w:r w:rsidRPr="004A16D3">
              <w:t xml:space="preserve"> Carbohydrate: reduced lactose (bovine-based)</w:t>
            </w:r>
          </w:p>
          <w:p w:rsidR="00A70A93" w:rsidRPr="004A16D3" w:rsidRDefault="00863DAB">
            <w:pPr>
              <w:pStyle w:val="TBL-MID"/>
              <w:widowControl w:val="0"/>
              <w:autoSpaceDE w:val="0"/>
              <w:autoSpaceDN w:val="0"/>
              <w:adjustRightInd w:val="0"/>
              <w:spacing w:line="480" w:lineRule="auto"/>
              <w:rPr>
                <w:rFonts w:ascii="Times" w:hAnsi="Times" w:cs="Times"/>
              </w:rPr>
            </w:pPr>
            <w:r w:rsidRPr="004A16D3">
              <w:rPr>
                <w:rStyle w:val="BulletManualBodyList"/>
                <w:rFonts w:ascii="Times" w:hAnsi="Times" w:cs="Times"/>
              </w:rPr>
              <w:t>•</w:t>
            </w:r>
            <w:r w:rsidRPr="004A16D3">
              <w:rPr>
                <w:rFonts w:ascii="Times" w:hAnsi="Times" w:cs="Times"/>
              </w:rPr>
              <w:t xml:space="preserve"> Bovine-based fortifiers used in standardized recipes for 22 and 24 kcal/oz.</w:t>
            </w:r>
          </w:p>
          <w:p w:rsidR="00A70A93" w:rsidRPr="004A16D3" w:rsidRDefault="00863DAB">
            <w:pPr>
              <w:pStyle w:val="TBL-MID"/>
              <w:widowControl w:val="0"/>
              <w:autoSpaceDE w:val="0"/>
              <w:autoSpaceDN w:val="0"/>
              <w:adjustRightInd w:val="0"/>
              <w:spacing w:line="480" w:lineRule="auto"/>
              <w:rPr>
                <w:rFonts w:ascii="Times" w:hAnsi="Times" w:cs="Times"/>
              </w:rPr>
            </w:pPr>
            <w:r w:rsidRPr="004A16D3">
              <w:rPr>
                <w:rStyle w:val="BulletManualBodyList"/>
                <w:rFonts w:ascii="Times" w:hAnsi="Times" w:cs="Times"/>
              </w:rPr>
              <w:lastRenderedPageBreak/>
              <w:t>•</w:t>
            </w:r>
            <w:r w:rsidRPr="004A16D3">
              <w:rPr>
                <w:rFonts w:ascii="Times" w:hAnsi="Times" w:cs="Times"/>
              </w:rPr>
              <w:t xml:space="preserve"> Human milk-based fortifiers used in standardized recipes for 24, 26, 28, 30 kcal/oz.</w:t>
            </w:r>
          </w:p>
          <w:p w:rsidR="00A70A93" w:rsidRPr="004A16D3" w:rsidRDefault="00863DAB">
            <w:pPr>
              <w:pStyle w:val="TBL-MID"/>
              <w:widowControl w:val="0"/>
              <w:autoSpaceDE w:val="0"/>
              <w:autoSpaceDN w:val="0"/>
              <w:adjustRightInd w:val="0"/>
              <w:spacing w:line="480" w:lineRule="auto"/>
              <w:rPr>
                <w:rFonts w:ascii="Times" w:hAnsi="Times" w:cs="Times"/>
              </w:rPr>
            </w:pPr>
            <w:r w:rsidRPr="004A16D3">
              <w:rPr>
                <w:rStyle w:val="BulletManualBodyList"/>
                <w:rFonts w:ascii="Times" w:hAnsi="Times" w:cs="Times"/>
              </w:rPr>
              <w:t>•</w:t>
            </w:r>
            <w:r w:rsidRPr="004A16D3">
              <w:rPr>
                <w:rFonts w:ascii="Times" w:hAnsi="Times" w:cs="Times"/>
              </w:rPr>
              <w:t xml:space="preserve"> Additional vitamin D supplementation is required</w:t>
            </w:r>
          </w:p>
          <w:p w:rsidR="00A70A93" w:rsidRPr="004A16D3" w:rsidRDefault="00863DAB">
            <w:pPr>
              <w:pStyle w:val="TBL-MID"/>
              <w:widowControl w:val="0"/>
              <w:autoSpaceDE w:val="0"/>
              <w:autoSpaceDN w:val="0"/>
              <w:adjustRightInd w:val="0"/>
              <w:spacing w:line="480" w:lineRule="auto"/>
              <w:rPr>
                <w:rFonts w:ascii="Times" w:hAnsi="Times" w:cs="Times"/>
              </w:rPr>
            </w:pPr>
            <w:r w:rsidRPr="004A16D3">
              <w:rPr>
                <w:rStyle w:val="BulletManualBodyList"/>
                <w:rFonts w:ascii="Times" w:hAnsi="Times" w:cs="Times"/>
              </w:rPr>
              <w:t>•</w:t>
            </w:r>
            <w:r w:rsidRPr="004A16D3">
              <w:rPr>
                <w:rFonts w:ascii="Times" w:hAnsi="Times" w:cs="Times"/>
              </w:rPr>
              <w:t xml:space="preserve"> Additional iron supplementation may be required</w:t>
            </w:r>
          </w:p>
          <w:p w:rsidR="00A70A93" w:rsidRPr="004A16D3" w:rsidRDefault="00863DAB">
            <w:pPr>
              <w:pStyle w:val="TBL-LAST"/>
              <w:widowControl w:val="0"/>
              <w:autoSpaceDE w:val="0"/>
              <w:autoSpaceDN w:val="0"/>
              <w:adjustRightInd w:val="0"/>
              <w:spacing w:line="480" w:lineRule="auto"/>
              <w:rPr>
                <w:rFonts w:ascii="Times" w:hAnsi="Times" w:cs="Times"/>
              </w:rPr>
            </w:pPr>
            <w:r w:rsidRPr="004A16D3">
              <w:rPr>
                <w:rStyle w:val="BulletManualBodyList"/>
                <w:rFonts w:ascii="Times" w:hAnsi="Times" w:cs="Times"/>
              </w:rPr>
              <w:t>•</w:t>
            </w:r>
            <w:r w:rsidRPr="004A16D3">
              <w:rPr>
                <w:rFonts w:ascii="Times" w:hAnsi="Times" w:cs="Times"/>
              </w:rPr>
              <w:t xml:space="preserve"> Most products are only available as a sterile liquid</w:t>
            </w:r>
          </w:p>
        </w:tc>
      </w:tr>
      <w:tr w:rsidR="00A70A93" w:rsidRPr="004A16D3">
        <w:trPr>
          <w:trHeight w:val="870"/>
        </w:trPr>
        <w:tc>
          <w:tcPr>
            <w:tcW w:w="8856" w:type="dxa"/>
            <w:tcBorders>
              <w:top w:val="single" w:sz="12" w:space="0" w:color="auto"/>
              <w:bottom w:val="single" w:sz="12" w:space="0" w:color="auto"/>
            </w:tcBorders>
          </w:tcPr>
          <w:p w:rsidR="00A70A93" w:rsidRPr="004A16D3" w:rsidRDefault="00863DAB" w:rsidP="00284B48">
            <w:pPr>
              <w:pStyle w:val="T4"/>
              <w:rPr>
                <w:rFonts w:ascii="Times" w:hAnsi="Times" w:cs="Times"/>
                <w:bCs/>
              </w:rPr>
            </w:pPr>
            <w:r w:rsidRPr="004A16D3">
              <w:rPr>
                <w:rFonts w:ascii="Times" w:hAnsi="Times" w:cs="Times"/>
              </w:rPr>
              <w:lastRenderedPageBreak/>
              <w:t>Preterm formulas</w:t>
            </w:r>
          </w:p>
          <w:p w:rsidR="00A70A93" w:rsidRPr="004A16D3" w:rsidRDefault="00863DAB">
            <w:pPr>
              <w:pStyle w:val="T0"/>
              <w:widowControl w:val="0"/>
              <w:autoSpaceDE w:val="0"/>
              <w:autoSpaceDN w:val="0"/>
              <w:adjustRightInd w:val="0"/>
              <w:spacing w:line="480" w:lineRule="auto"/>
              <w:rPr>
                <w:rFonts w:ascii="Times" w:hAnsi="Times" w:cs="Times"/>
              </w:rPr>
            </w:pPr>
            <w:r w:rsidRPr="004A16D3">
              <w:rPr>
                <w:rFonts w:ascii="Times" w:hAnsi="Times" w:cs="Times"/>
              </w:rPr>
              <w:t>• Indicated for the youngest, smallest infants; typically &lt;34 wk PMA and/or &lt;2 kg</w:t>
            </w:r>
          </w:p>
          <w:p w:rsidR="00A70A93" w:rsidRPr="004A16D3" w:rsidRDefault="00863DAB">
            <w:pPr>
              <w:pStyle w:val="T0"/>
              <w:widowControl w:val="0"/>
              <w:autoSpaceDE w:val="0"/>
              <w:autoSpaceDN w:val="0"/>
              <w:adjustRightInd w:val="0"/>
              <w:spacing w:line="480" w:lineRule="auto"/>
              <w:rPr>
                <w:rFonts w:ascii="Times" w:hAnsi="Times" w:cs="Times"/>
              </w:rPr>
            </w:pPr>
            <w:r w:rsidRPr="004A16D3">
              <w:rPr>
                <w:rFonts w:ascii="Times" w:hAnsi="Times" w:cs="Times"/>
              </w:rPr>
              <w:t>when human milk is not available</w:t>
            </w:r>
          </w:p>
          <w:p w:rsidR="00A70A93" w:rsidRPr="004A16D3" w:rsidRDefault="00863DAB">
            <w:pPr>
              <w:pStyle w:val="T0"/>
              <w:widowControl w:val="0"/>
              <w:autoSpaceDE w:val="0"/>
              <w:autoSpaceDN w:val="0"/>
              <w:adjustRightInd w:val="0"/>
              <w:spacing w:line="480" w:lineRule="auto"/>
              <w:rPr>
                <w:rFonts w:ascii="Times" w:hAnsi="Times" w:cs="Times"/>
              </w:rPr>
            </w:pPr>
            <w:r w:rsidRPr="004A16D3">
              <w:rPr>
                <w:rFonts w:ascii="Times" w:hAnsi="Times" w:cs="Times"/>
              </w:rPr>
              <w:t>• Hospital use only due to higher nutrient content that is not suitable for older infants</w:t>
            </w:r>
          </w:p>
          <w:p w:rsidR="00A70A93" w:rsidRPr="004A16D3" w:rsidRDefault="00863DAB">
            <w:pPr>
              <w:pStyle w:val="T0"/>
              <w:widowControl w:val="0"/>
              <w:autoSpaceDE w:val="0"/>
              <w:autoSpaceDN w:val="0"/>
              <w:adjustRightInd w:val="0"/>
              <w:spacing w:line="480" w:lineRule="auto"/>
              <w:rPr>
                <w:rFonts w:ascii="Times" w:hAnsi="Times" w:cs="Times"/>
              </w:rPr>
            </w:pPr>
            <w:r w:rsidRPr="004A16D3">
              <w:rPr>
                <w:rFonts w:ascii="Times" w:hAnsi="Times" w:cs="Times"/>
              </w:rPr>
              <w:t>taking larger feeding volumes</w:t>
            </w:r>
          </w:p>
          <w:p w:rsidR="00A70A93" w:rsidRPr="004A16D3" w:rsidRDefault="00863DAB">
            <w:pPr>
              <w:pStyle w:val="TBL-MID"/>
              <w:widowControl w:val="0"/>
              <w:autoSpaceDE w:val="0"/>
              <w:autoSpaceDN w:val="0"/>
              <w:adjustRightInd w:val="0"/>
              <w:spacing w:line="480" w:lineRule="auto"/>
              <w:rPr>
                <w:rFonts w:ascii="Times" w:hAnsi="Times" w:cs="Times"/>
                <w:bCs/>
              </w:rPr>
            </w:pPr>
            <w:r w:rsidRPr="004A16D3">
              <w:rPr>
                <w:rStyle w:val="BulletManualBodyList"/>
                <w:rFonts w:ascii="Times" w:hAnsi="Times" w:cs="Times"/>
              </w:rPr>
              <w:t>•</w:t>
            </w:r>
            <w:r w:rsidRPr="004A16D3">
              <w:rPr>
                <w:rFonts w:ascii="Times" w:hAnsi="Times" w:cs="Times"/>
              </w:rPr>
              <w:t xml:space="preserve"> Highest nutrient concentration formula, especially for protein, calcium, and phosphorus</w:t>
            </w:r>
          </w:p>
          <w:p w:rsidR="00A70A93" w:rsidRPr="004A16D3" w:rsidRDefault="00863DAB">
            <w:pPr>
              <w:pStyle w:val="TBL-MID"/>
              <w:widowControl w:val="0"/>
              <w:autoSpaceDE w:val="0"/>
              <w:autoSpaceDN w:val="0"/>
              <w:adjustRightInd w:val="0"/>
              <w:spacing w:line="480" w:lineRule="auto"/>
              <w:rPr>
                <w:rFonts w:ascii="Times" w:hAnsi="Times" w:cs="Times"/>
              </w:rPr>
            </w:pPr>
            <w:r w:rsidRPr="004A16D3">
              <w:rPr>
                <w:rStyle w:val="BulletManualBodyList"/>
                <w:rFonts w:ascii="Times" w:hAnsi="Times" w:cs="Times"/>
              </w:rPr>
              <w:t>•</w:t>
            </w:r>
            <w:r w:rsidRPr="004A16D3">
              <w:rPr>
                <w:rFonts w:ascii="Times" w:hAnsi="Times" w:cs="Times"/>
              </w:rPr>
              <w:t xml:space="preserve"> Available in 20, 24, 24 high protein and 30 kcal/oz. RTF; can be mixed together to make additional energy densities</w:t>
            </w:r>
          </w:p>
          <w:p w:rsidR="00A70A93" w:rsidRPr="004A16D3" w:rsidRDefault="00863DAB">
            <w:pPr>
              <w:pStyle w:val="TBL-MID"/>
              <w:widowControl w:val="0"/>
              <w:autoSpaceDE w:val="0"/>
              <w:autoSpaceDN w:val="0"/>
              <w:adjustRightInd w:val="0"/>
              <w:spacing w:line="480" w:lineRule="auto"/>
              <w:rPr>
                <w:rFonts w:ascii="Times" w:hAnsi="Times" w:cs="Times"/>
              </w:rPr>
            </w:pPr>
            <w:r w:rsidRPr="004A16D3">
              <w:rPr>
                <w:rStyle w:val="BulletManualBodyList"/>
                <w:rFonts w:ascii="Times" w:hAnsi="Times" w:cs="Times"/>
              </w:rPr>
              <w:t>•</w:t>
            </w:r>
            <w:r w:rsidRPr="004A16D3">
              <w:rPr>
                <w:rFonts w:ascii="Times" w:hAnsi="Times" w:cs="Times"/>
              </w:rPr>
              <w:t xml:space="preserve"> Macronutrients cater to immature digestive function of preterm infants</w:t>
            </w:r>
          </w:p>
          <w:p w:rsidR="00A70A93" w:rsidRPr="004A16D3" w:rsidRDefault="00863DAB" w:rsidP="00737EF3">
            <w:pPr>
              <w:pStyle w:val="TBL2-MID"/>
              <w:rPr>
                <w:bCs/>
              </w:rPr>
            </w:pPr>
            <w:r w:rsidRPr="004A16D3">
              <w:rPr>
                <w:rStyle w:val="BulletManualBodyList"/>
                <w:rFonts w:ascii="Times" w:hAnsi="Times" w:cs="Times"/>
              </w:rPr>
              <w:t>•</w:t>
            </w:r>
            <w:r w:rsidRPr="004A16D3">
              <w:t xml:space="preserve"> Protein: may have higher whey:casein ratio</w:t>
            </w:r>
          </w:p>
          <w:p w:rsidR="00A70A93" w:rsidRPr="004A16D3" w:rsidRDefault="00863DAB" w:rsidP="00737EF3">
            <w:pPr>
              <w:pStyle w:val="TBL2-MID"/>
              <w:rPr>
                <w:bCs/>
              </w:rPr>
            </w:pPr>
            <w:r w:rsidRPr="004A16D3">
              <w:rPr>
                <w:rStyle w:val="BulletManualBodyList"/>
                <w:rFonts w:ascii="Times" w:hAnsi="Times" w:cs="Times"/>
              </w:rPr>
              <w:t>•</w:t>
            </w:r>
            <w:r w:rsidRPr="004A16D3">
              <w:t xml:space="preserve"> Fat: 40</w:t>
            </w:r>
            <w:r w:rsidR="00583FF9" w:rsidRPr="004A16D3">
              <w:t>%</w:t>
            </w:r>
            <w:r w:rsidRPr="004A16D3">
              <w:t>-50% MCT oil</w:t>
            </w:r>
          </w:p>
          <w:p w:rsidR="00A70A93" w:rsidRPr="004A16D3" w:rsidRDefault="00863DAB" w:rsidP="00737EF3">
            <w:pPr>
              <w:pStyle w:val="TBL2-MID"/>
            </w:pPr>
            <w:r w:rsidRPr="004A16D3">
              <w:rPr>
                <w:rStyle w:val="BulletManualBodyList"/>
                <w:rFonts w:ascii="Times" w:hAnsi="Times" w:cs="Times"/>
              </w:rPr>
              <w:t>•</w:t>
            </w:r>
            <w:r w:rsidRPr="004A16D3">
              <w:t xml:space="preserve"> Carbohydrate: reduced lactose (40% or less)</w:t>
            </w:r>
          </w:p>
          <w:p w:rsidR="00A70A93" w:rsidRPr="004A16D3" w:rsidRDefault="00863DAB">
            <w:pPr>
              <w:pStyle w:val="TBL-MID"/>
              <w:widowControl w:val="0"/>
              <w:autoSpaceDE w:val="0"/>
              <w:autoSpaceDN w:val="0"/>
              <w:adjustRightInd w:val="0"/>
              <w:spacing w:line="480" w:lineRule="auto"/>
              <w:rPr>
                <w:rFonts w:ascii="Times" w:hAnsi="Times" w:cs="Times"/>
              </w:rPr>
            </w:pPr>
            <w:r w:rsidRPr="004A16D3">
              <w:rPr>
                <w:rStyle w:val="BulletManualBodyList"/>
                <w:rFonts w:ascii="Times" w:hAnsi="Times" w:cs="Times"/>
              </w:rPr>
              <w:t>•</w:t>
            </w:r>
            <w:r w:rsidRPr="004A16D3">
              <w:rPr>
                <w:rFonts w:ascii="Times" w:hAnsi="Times" w:cs="Times"/>
              </w:rPr>
              <w:t xml:space="preserve"> Additional vitamin D supplementation required.</w:t>
            </w:r>
          </w:p>
          <w:p w:rsidR="00A70A93" w:rsidRPr="004A16D3" w:rsidRDefault="00863DAB">
            <w:pPr>
              <w:pStyle w:val="TBL-LAST"/>
              <w:widowControl w:val="0"/>
              <w:autoSpaceDE w:val="0"/>
              <w:autoSpaceDN w:val="0"/>
              <w:adjustRightInd w:val="0"/>
              <w:spacing w:line="480" w:lineRule="auto"/>
              <w:rPr>
                <w:rFonts w:ascii="Times" w:hAnsi="Times" w:cs="Times"/>
              </w:rPr>
            </w:pPr>
            <w:r w:rsidRPr="004A16D3">
              <w:rPr>
                <w:rStyle w:val="BulletManualBodyList"/>
                <w:rFonts w:ascii="Times" w:hAnsi="Times" w:cs="Times"/>
              </w:rPr>
              <w:t>•</w:t>
            </w:r>
            <w:r w:rsidRPr="004A16D3">
              <w:rPr>
                <w:rFonts w:ascii="Times" w:hAnsi="Times" w:cs="Times"/>
              </w:rPr>
              <w:t xml:space="preserve"> Only available as a sterile liquid</w:t>
            </w:r>
          </w:p>
        </w:tc>
      </w:tr>
      <w:tr w:rsidR="00A70A93" w:rsidRPr="004A16D3">
        <w:trPr>
          <w:trHeight w:val="690"/>
        </w:trPr>
        <w:tc>
          <w:tcPr>
            <w:tcW w:w="8856" w:type="dxa"/>
            <w:tcBorders>
              <w:top w:val="single" w:sz="12" w:space="0" w:color="auto"/>
              <w:bottom w:val="single" w:sz="12" w:space="0" w:color="auto"/>
            </w:tcBorders>
          </w:tcPr>
          <w:p w:rsidR="00A70A93" w:rsidRPr="004A16D3" w:rsidRDefault="00863DAB" w:rsidP="00284B48">
            <w:pPr>
              <w:pStyle w:val="T4"/>
              <w:rPr>
                <w:rFonts w:ascii="Times" w:hAnsi="Times" w:cs="Times"/>
                <w:bCs/>
              </w:rPr>
            </w:pPr>
            <w:r w:rsidRPr="004A16D3">
              <w:rPr>
                <w:rFonts w:ascii="Times" w:hAnsi="Times" w:cs="Times"/>
              </w:rPr>
              <w:t>Preterm discharge formulas (transitional/post-discharge formulas)</w:t>
            </w:r>
          </w:p>
          <w:p w:rsidR="00A70A93" w:rsidRPr="004A16D3" w:rsidRDefault="00863DAB">
            <w:pPr>
              <w:pStyle w:val="TBL-MID"/>
              <w:widowControl w:val="0"/>
              <w:autoSpaceDE w:val="0"/>
              <w:autoSpaceDN w:val="0"/>
              <w:adjustRightInd w:val="0"/>
              <w:spacing w:line="480" w:lineRule="auto"/>
              <w:rPr>
                <w:rFonts w:ascii="Times" w:hAnsi="Times" w:cs="Times"/>
              </w:rPr>
            </w:pPr>
            <w:r w:rsidRPr="004A16D3">
              <w:rPr>
                <w:rStyle w:val="BulletManualBodyList"/>
                <w:rFonts w:ascii="Times" w:hAnsi="Times" w:cs="Times"/>
              </w:rPr>
              <w:lastRenderedPageBreak/>
              <w:t>•</w:t>
            </w:r>
            <w:r w:rsidRPr="004A16D3">
              <w:rPr>
                <w:rFonts w:ascii="Times" w:hAnsi="Times" w:cs="Times"/>
              </w:rPr>
              <w:t xml:space="preserve"> Indicated for late preterm infants (typically 34-37 wk PMA, &gt;2 kg) until 3-6 mo corrected age (maximum 12 mo corrected age)</w:t>
            </w:r>
          </w:p>
          <w:p w:rsidR="00A70A93" w:rsidRPr="004A16D3" w:rsidRDefault="00863DAB">
            <w:pPr>
              <w:pStyle w:val="TBL-MID"/>
              <w:widowControl w:val="0"/>
              <w:autoSpaceDE w:val="0"/>
              <w:autoSpaceDN w:val="0"/>
              <w:adjustRightInd w:val="0"/>
              <w:spacing w:line="480" w:lineRule="auto"/>
              <w:rPr>
                <w:rFonts w:ascii="Times" w:hAnsi="Times" w:cs="Times"/>
              </w:rPr>
            </w:pPr>
            <w:r w:rsidRPr="004A16D3">
              <w:rPr>
                <w:rStyle w:val="BulletManualBodyList"/>
                <w:rFonts w:ascii="Times" w:hAnsi="Times" w:cs="Times"/>
              </w:rPr>
              <w:t>•</w:t>
            </w:r>
            <w:r w:rsidRPr="004A16D3">
              <w:rPr>
                <w:rFonts w:ascii="Times" w:hAnsi="Times" w:cs="Times"/>
              </w:rPr>
              <w:t xml:space="preserve"> Standard energy density is intermediate between preterm and term formulas at 22 kcal/oz; powder may be mixed &gt;22 kcal/oz. for infants with higher nutrient needs</w:t>
            </w:r>
          </w:p>
          <w:p w:rsidR="00A70A93" w:rsidRPr="004A16D3" w:rsidRDefault="00863DAB">
            <w:pPr>
              <w:pStyle w:val="TBL-MID"/>
              <w:widowControl w:val="0"/>
              <w:autoSpaceDE w:val="0"/>
              <w:autoSpaceDN w:val="0"/>
              <w:adjustRightInd w:val="0"/>
              <w:spacing w:line="480" w:lineRule="auto"/>
              <w:rPr>
                <w:rFonts w:ascii="Times" w:hAnsi="Times" w:cs="Times"/>
              </w:rPr>
            </w:pPr>
            <w:r w:rsidRPr="004A16D3">
              <w:rPr>
                <w:rStyle w:val="BulletManualBodyList"/>
                <w:rFonts w:ascii="Times" w:hAnsi="Times" w:cs="Times"/>
              </w:rPr>
              <w:t>•</w:t>
            </w:r>
            <w:r w:rsidRPr="004A16D3">
              <w:rPr>
                <w:rFonts w:ascii="Times" w:hAnsi="Times" w:cs="Times"/>
              </w:rPr>
              <w:t xml:space="preserve"> Nutrient concentration is intermediate between preterm and term formulas; notably higher in protein, calcium, and phosphorus than term formulas</w:t>
            </w:r>
          </w:p>
          <w:p w:rsidR="00A70A93" w:rsidRPr="004A16D3" w:rsidRDefault="00863DAB">
            <w:pPr>
              <w:pStyle w:val="TBL-MID"/>
              <w:widowControl w:val="0"/>
              <w:autoSpaceDE w:val="0"/>
              <w:autoSpaceDN w:val="0"/>
              <w:adjustRightInd w:val="0"/>
              <w:spacing w:line="480" w:lineRule="auto"/>
              <w:rPr>
                <w:rFonts w:ascii="Times" w:hAnsi="Times" w:cs="Times"/>
              </w:rPr>
            </w:pPr>
            <w:r w:rsidRPr="004A16D3">
              <w:rPr>
                <w:rStyle w:val="BulletManualBodyList"/>
                <w:rFonts w:ascii="Times" w:hAnsi="Times" w:cs="Times"/>
              </w:rPr>
              <w:t>•</w:t>
            </w:r>
            <w:r w:rsidRPr="004A16D3">
              <w:rPr>
                <w:rFonts w:ascii="Times" w:hAnsi="Times" w:cs="Times"/>
              </w:rPr>
              <w:t xml:space="preserve"> Macronutrients cater to the maturing digestive function of late preterm infants</w:t>
            </w:r>
          </w:p>
          <w:p w:rsidR="00A70A93" w:rsidRPr="004A16D3" w:rsidRDefault="00863DAB" w:rsidP="00284B48">
            <w:pPr>
              <w:pStyle w:val="TBL2-MID"/>
            </w:pPr>
            <w:r w:rsidRPr="004A16D3">
              <w:rPr>
                <w:rStyle w:val="BulletManualBodyList"/>
                <w:rFonts w:ascii="Times" w:hAnsi="Times" w:cs="Times"/>
              </w:rPr>
              <w:t>•</w:t>
            </w:r>
            <w:r w:rsidRPr="004A16D3">
              <w:rPr>
                <w:rFonts w:ascii="Times" w:hAnsi="Times" w:cs="Times"/>
              </w:rPr>
              <w:t xml:space="preserve"> Protein: may have higher whey:casein ratio to aid in digestion</w:t>
            </w:r>
          </w:p>
          <w:p w:rsidR="00A70A93" w:rsidRPr="004A16D3" w:rsidRDefault="00863DAB" w:rsidP="00284B48">
            <w:pPr>
              <w:pStyle w:val="TBL2-MID"/>
              <w:rPr>
                <w:rFonts w:ascii="Times" w:hAnsi="Times" w:cs="Times"/>
                <w:bCs/>
              </w:rPr>
            </w:pPr>
            <w:r w:rsidRPr="004A16D3">
              <w:rPr>
                <w:rStyle w:val="BulletManualBodyList"/>
                <w:rFonts w:ascii="Times" w:hAnsi="Times" w:cs="Times"/>
              </w:rPr>
              <w:t>•</w:t>
            </w:r>
            <w:r w:rsidRPr="004A16D3">
              <w:rPr>
                <w:rFonts w:ascii="Times" w:hAnsi="Times" w:cs="Times"/>
              </w:rPr>
              <w:t xml:space="preserve"> Fat: 20</w:t>
            </w:r>
            <w:r w:rsidR="00583FF9" w:rsidRPr="004A16D3">
              <w:rPr>
                <w:rFonts w:ascii="Times" w:hAnsi="Times" w:cs="Times"/>
              </w:rPr>
              <w:t>%</w:t>
            </w:r>
            <w:r w:rsidRPr="004A16D3">
              <w:rPr>
                <w:rFonts w:ascii="Times" w:hAnsi="Times" w:cs="Times"/>
              </w:rPr>
              <w:t>-25% MCT oil</w:t>
            </w:r>
          </w:p>
          <w:p w:rsidR="00A70A93" w:rsidRPr="004A16D3" w:rsidRDefault="00863DAB" w:rsidP="00284B48">
            <w:pPr>
              <w:pStyle w:val="TBL2-MID"/>
              <w:rPr>
                <w:rFonts w:ascii="Times" w:hAnsi="Times" w:cs="Times"/>
              </w:rPr>
            </w:pPr>
            <w:r w:rsidRPr="004A16D3">
              <w:rPr>
                <w:rStyle w:val="BulletManualBodyList"/>
                <w:rFonts w:ascii="Times" w:hAnsi="Times" w:cs="Times"/>
              </w:rPr>
              <w:t>•</w:t>
            </w:r>
            <w:r w:rsidRPr="004A16D3">
              <w:rPr>
                <w:rFonts w:ascii="Times" w:hAnsi="Times" w:cs="Times"/>
              </w:rPr>
              <w:t xml:space="preserve"> Carbohydrate: reduced lactose</w:t>
            </w:r>
          </w:p>
          <w:p w:rsidR="00A70A93" w:rsidRPr="004A16D3" w:rsidRDefault="00863DAB">
            <w:pPr>
              <w:pStyle w:val="TBL-MID"/>
              <w:widowControl w:val="0"/>
              <w:autoSpaceDE w:val="0"/>
              <w:autoSpaceDN w:val="0"/>
              <w:adjustRightInd w:val="0"/>
              <w:spacing w:line="480" w:lineRule="auto"/>
              <w:rPr>
                <w:rFonts w:ascii="Times" w:hAnsi="Times" w:cs="Times"/>
              </w:rPr>
            </w:pPr>
            <w:r w:rsidRPr="004A16D3">
              <w:rPr>
                <w:rStyle w:val="BulletManualBodyList"/>
                <w:rFonts w:ascii="Times" w:hAnsi="Times" w:cs="Times"/>
              </w:rPr>
              <w:t>•</w:t>
            </w:r>
            <w:r w:rsidRPr="004A16D3">
              <w:rPr>
                <w:rFonts w:ascii="Times" w:hAnsi="Times" w:cs="Times"/>
              </w:rPr>
              <w:t xml:space="preserve"> Additional vitamin D supplementation required for intake &lt;770 mL/d at 22 kcal/oz.</w:t>
            </w:r>
          </w:p>
          <w:p w:rsidR="00A70A93" w:rsidRPr="004A16D3" w:rsidRDefault="00863DAB">
            <w:pPr>
              <w:pStyle w:val="TBL-LAST"/>
              <w:widowControl w:val="0"/>
              <w:autoSpaceDE w:val="0"/>
              <w:autoSpaceDN w:val="0"/>
              <w:adjustRightInd w:val="0"/>
              <w:spacing w:line="480" w:lineRule="auto"/>
              <w:rPr>
                <w:rFonts w:ascii="Times" w:hAnsi="Times" w:cs="Times"/>
              </w:rPr>
            </w:pPr>
            <w:r w:rsidRPr="004A16D3">
              <w:rPr>
                <w:rStyle w:val="BulletManualBodyList"/>
                <w:rFonts w:ascii="Times" w:hAnsi="Times" w:cs="Times"/>
              </w:rPr>
              <w:t>•</w:t>
            </w:r>
            <w:r w:rsidRPr="004A16D3">
              <w:rPr>
                <w:rFonts w:ascii="Times" w:hAnsi="Times" w:cs="Times"/>
              </w:rPr>
              <w:t xml:space="preserve"> Available as a powder or sterile liquid; powder may be added to fortify human milk</w:t>
            </w:r>
          </w:p>
        </w:tc>
      </w:tr>
      <w:tr w:rsidR="00A70A93" w:rsidRPr="004A16D3">
        <w:trPr>
          <w:trHeight w:val="1257"/>
        </w:trPr>
        <w:tc>
          <w:tcPr>
            <w:tcW w:w="8856" w:type="dxa"/>
            <w:tcBorders>
              <w:top w:val="single" w:sz="12" w:space="0" w:color="auto"/>
              <w:bottom w:val="single" w:sz="12" w:space="0" w:color="auto"/>
            </w:tcBorders>
          </w:tcPr>
          <w:p w:rsidR="00A70A93" w:rsidRPr="004A16D3" w:rsidRDefault="00863DAB" w:rsidP="00284B48">
            <w:pPr>
              <w:pStyle w:val="T4"/>
              <w:rPr>
                <w:rFonts w:ascii="Times" w:hAnsi="Times" w:cs="Times"/>
              </w:rPr>
            </w:pPr>
            <w:r w:rsidRPr="004A16D3">
              <w:rPr>
                <w:rFonts w:ascii="Times" w:hAnsi="Times" w:cs="Times"/>
              </w:rPr>
              <w:lastRenderedPageBreak/>
              <w:t xml:space="preserve">Human Milk (See </w:t>
            </w:r>
            <w:commentRangeStart w:id="5"/>
            <w:r w:rsidRPr="004A16D3">
              <w:rPr>
                <w:rFonts w:ascii="Times" w:hAnsi="Times" w:cs="Times"/>
              </w:rPr>
              <w:t>Chapter 6</w:t>
            </w:r>
            <w:commentRangeEnd w:id="5"/>
            <w:r w:rsidRPr="004A16D3">
              <w:rPr>
                <w:rStyle w:val="CommentReference"/>
              </w:rPr>
              <w:commentReference w:id="5"/>
            </w:r>
            <w:r w:rsidRPr="004A16D3">
              <w:rPr>
                <w:rFonts w:ascii="Times" w:hAnsi="Times" w:cs="Times"/>
              </w:rPr>
              <w:t>)</w:t>
            </w:r>
          </w:p>
          <w:p w:rsidR="00A70A93" w:rsidRPr="004A16D3" w:rsidRDefault="00863DAB">
            <w:pPr>
              <w:pStyle w:val="TBL-MID"/>
              <w:widowControl w:val="0"/>
              <w:autoSpaceDE w:val="0"/>
              <w:autoSpaceDN w:val="0"/>
              <w:adjustRightInd w:val="0"/>
              <w:spacing w:line="480" w:lineRule="auto"/>
              <w:rPr>
                <w:rFonts w:ascii="Times" w:hAnsi="Times" w:cs="Times"/>
              </w:rPr>
            </w:pPr>
            <w:r w:rsidRPr="004A16D3">
              <w:rPr>
                <w:rStyle w:val="BulletManualBodyList"/>
                <w:rFonts w:ascii="Times" w:hAnsi="Times" w:cs="Times"/>
              </w:rPr>
              <w:t>•</w:t>
            </w:r>
            <w:r w:rsidRPr="004A16D3">
              <w:rPr>
                <w:rFonts w:ascii="Times" w:hAnsi="Times" w:cs="Times"/>
              </w:rPr>
              <w:t xml:space="preserve"> Normative feeding for infants</w:t>
            </w:r>
          </w:p>
          <w:p w:rsidR="00A70A93" w:rsidRPr="004A16D3" w:rsidRDefault="00863DAB">
            <w:pPr>
              <w:pStyle w:val="TBL-MID"/>
              <w:widowControl w:val="0"/>
              <w:autoSpaceDE w:val="0"/>
              <w:autoSpaceDN w:val="0"/>
              <w:adjustRightInd w:val="0"/>
              <w:spacing w:line="480" w:lineRule="auto"/>
              <w:rPr>
                <w:rFonts w:ascii="Times" w:hAnsi="Times" w:cs="Times"/>
              </w:rPr>
            </w:pPr>
            <w:r w:rsidRPr="004A16D3">
              <w:rPr>
                <w:rStyle w:val="BulletManualBodyList"/>
                <w:rFonts w:ascii="Times" w:hAnsi="Times" w:cs="Times"/>
              </w:rPr>
              <w:t>•</w:t>
            </w:r>
            <w:r w:rsidRPr="004A16D3">
              <w:rPr>
                <w:rFonts w:ascii="Times" w:hAnsi="Times" w:cs="Times"/>
              </w:rPr>
              <w:t xml:space="preserve"> First choice feeding for preterm infants, but requires fortification to meet nutrient needs</w:t>
            </w:r>
          </w:p>
          <w:p w:rsidR="00A70A93" w:rsidRPr="004A16D3" w:rsidRDefault="00863DAB">
            <w:pPr>
              <w:pStyle w:val="TBL-LAST"/>
              <w:widowControl w:val="0"/>
              <w:autoSpaceDE w:val="0"/>
              <w:autoSpaceDN w:val="0"/>
              <w:adjustRightInd w:val="0"/>
              <w:spacing w:line="480" w:lineRule="auto"/>
              <w:rPr>
                <w:rFonts w:ascii="Times" w:hAnsi="Times" w:cs="Times"/>
              </w:rPr>
            </w:pPr>
            <w:r w:rsidRPr="004A16D3">
              <w:rPr>
                <w:rStyle w:val="BulletManualBodyList"/>
                <w:rFonts w:ascii="Times" w:hAnsi="Times" w:cs="Times"/>
              </w:rPr>
              <w:t>•</w:t>
            </w:r>
            <w:r w:rsidRPr="004A16D3">
              <w:rPr>
                <w:rFonts w:ascii="Times" w:hAnsi="Times" w:cs="Times"/>
              </w:rPr>
              <w:t xml:space="preserve"> Donor human milk is recommended for infants &lt;32 wk and/or &lt;1500 g when parent’s own milk is not available</w:t>
            </w:r>
          </w:p>
        </w:tc>
      </w:tr>
      <w:tr w:rsidR="00A70A93" w:rsidRPr="004A16D3">
        <w:trPr>
          <w:trHeight w:val="2823"/>
        </w:trPr>
        <w:tc>
          <w:tcPr>
            <w:tcW w:w="8856" w:type="dxa"/>
            <w:tcBorders>
              <w:top w:val="single" w:sz="12" w:space="0" w:color="auto"/>
              <w:bottom w:val="single" w:sz="12" w:space="0" w:color="auto"/>
            </w:tcBorders>
          </w:tcPr>
          <w:p w:rsidR="00A70A93" w:rsidRPr="004A16D3" w:rsidRDefault="00863DAB" w:rsidP="00284B48">
            <w:pPr>
              <w:pStyle w:val="T4"/>
              <w:rPr>
                <w:rFonts w:ascii="Times" w:hAnsi="Times" w:cs="Times"/>
                <w:bCs/>
              </w:rPr>
            </w:pPr>
            <w:r w:rsidRPr="004A16D3">
              <w:rPr>
                <w:rFonts w:ascii="Times" w:hAnsi="Times" w:cs="Times"/>
              </w:rPr>
              <w:t xml:space="preserve">Standard term, cow’s milk-based formulas (See </w:t>
            </w:r>
            <w:commentRangeStart w:id="6"/>
            <w:r w:rsidRPr="004A16D3">
              <w:rPr>
                <w:rFonts w:ascii="Times" w:hAnsi="Times" w:cs="Times"/>
              </w:rPr>
              <w:t>Chapter 16</w:t>
            </w:r>
            <w:commentRangeEnd w:id="6"/>
            <w:r w:rsidRPr="004A16D3">
              <w:rPr>
                <w:rStyle w:val="CommentReference"/>
              </w:rPr>
              <w:commentReference w:id="6"/>
            </w:r>
            <w:r w:rsidRPr="004A16D3">
              <w:rPr>
                <w:rFonts w:ascii="Times" w:hAnsi="Times" w:cs="Times"/>
              </w:rPr>
              <w:t>)</w:t>
            </w:r>
          </w:p>
          <w:p w:rsidR="00A70A93" w:rsidRPr="004A16D3" w:rsidRDefault="00863DAB">
            <w:pPr>
              <w:pStyle w:val="TBL-MID"/>
              <w:widowControl w:val="0"/>
              <w:autoSpaceDE w:val="0"/>
              <w:autoSpaceDN w:val="0"/>
              <w:adjustRightInd w:val="0"/>
              <w:spacing w:line="480" w:lineRule="auto"/>
              <w:rPr>
                <w:rFonts w:ascii="Times" w:hAnsi="Times" w:cs="Times"/>
              </w:rPr>
            </w:pPr>
            <w:r w:rsidRPr="004A16D3">
              <w:rPr>
                <w:rStyle w:val="BulletManualBodyList"/>
                <w:rFonts w:ascii="Times" w:hAnsi="Times" w:cs="Times"/>
              </w:rPr>
              <w:t>•</w:t>
            </w:r>
            <w:r w:rsidRPr="004A16D3">
              <w:rPr>
                <w:rFonts w:ascii="Times" w:hAnsi="Times" w:cs="Times"/>
              </w:rPr>
              <w:t xml:space="preserve"> Indicated for term infants when human milk is not available or preterm infants &gt;3</w:t>
            </w:r>
            <w:r w:rsidR="00583FF9" w:rsidRPr="004A16D3">
              <w:t>-</w:t>
            </w:r>
            <w:r w:rsidRPr="004A16D3">
              <w:rPr>
                <w:rFonts w:ascii="Times" w:hAnsi="Times" w:cs="Times"/>
              </w:rPr>
              <w:t>6 mo corrected age who are achieving adequate growth</w:t>
            </w:r>
          </w:p>
          <w:p w:rsidR="00A70A93" w:rsidRPr="004A16D3" w:rsidRDefault="00863DAB">
            <w:pPr>
              <w:pStyle w:val="TBL-MID"/>
              <w:widowControl w:val="0"/>
              <w:autoSpaceDE w:val="0"/>
              <w:autoSpaceDN w:val="0"/>
              <w:adjustRightInd w:val="0"/>
              <w:spacing w:line="480" w:lineRule="auto"/>
              <w:rPr>
                <w:rFonts w:ascii="Times" w:hAnsi="Times" w:cs="Times"/>
                <w:bCs/>
              </w:rPr>
            </w:pPr>
            <w:r w:rsidRPr="004A16D3">
              <w:rPr>
                <w:rStyle w:val="BulletManualBodyList"/>
                <w:rFonts w:ascii="Times" w:hAnsi="Times" w:cs="Times"/>
              </w:rPr>
              <w:t>•</w:t>
            </w:r>
            <w:r w:rsidRPr="004A16D3">
              <w:rPr>
                <w:rFonts w:ascii="Times" w:hAnsi="Times" w:cs="Times"/>
              </w:rPr>
              <w:t xml:space="preserve"> Not recommended for preterm infants; does not meet nutritional needs for energy, protein, vitamins, and minerals</w:t>
            </w:r>
          </w:p>
          <w:p w:rsidR="00A70A93" w:rsidRPr="004A16D3" w:rsidRDefault="00863DAB">
            <w:pPr>
              <w:pStyle w:val="TBL-MID"/>
              <w:widowControl w:val="0"/>
              <w:autoSpaceDE w:val="0"/>
              <w:autoSpaceDN w:val="0"/>
              <w:adjustRightInd w:val="0"/>
              <w:spacing w:line="480" w:lineRule="auto"/>
              <w:rPr>
                <w:rFonts w:ascii="Times" w:hAnsi="Times" w:cs="Times"/>
                <w:bCs/>
              </w:rPr>
            </w:pPr>
            <w:r w:rsidRPr="004A16D3">
              <w:rPr>
                <w:rStyle w:val="BulletManualBodyList"/>
                <w:rFonts w:ascii="Times" w:hAnsi="Times" w:cs="Times"/>
              </w:rPr>
              <w:t>•</w:t>
            </w:r>
            <w:r w:rsidRPr="004A16D3">
              <w:rPr>
                <w:rFonts w:ascii="Times" w:hAnsi="Times" w:cs="Times"/>
              </w:rPr>
              <w:t xml:space="preserve"> Macronutrient content mimics mature human milk and may be difficult for preterm </w:t>
            </w:r>
            <w:r w:rsidRPr="004A16D3">
              <w:rPr>
                <w:rFonts w:ascii="Times" w:hAnsi="Times" w:cs="Times"/>
              </w:rPr>
              <w:lastRenderedPageBreak/>
              <w:t>infants to digest</w:t>
            </w:r>
          </w:p>
          <w:p w:rsidR="00A70A93" w:rsidRPr="004A16D3" w:rsidRDefault="00863DAB" w:rsidP="00284B48">
            <w:pPr>
              <w:pStyle w:val="TBL2-MID"/>
              <w:rPr>
                <w:rFonts w:ascii="Times" w:hAnsi="Times" w:cs="Times"/>
                <w:bCs/>
              </w:rPr>
            </w:pPr>
            <w:r w:rsidRPr="004A16D3">
              <w:rPr>
                <w:rStyle w:val="BulletManualBodyList"/>
                <w:rFonts w:ascii="Times" w:hAnsi="Times" w:cs="Times"/>
              </w:rPr>
              <w:t>•</w:t>
            </w:r>
            <w:r w:rsidRPr="004A16D3">
              <w:rPr>
                <w:rFonts w:ascii="Times" w:hAnsi="Times" w:cs="Times"/>
              </w:rPr>
              <w:t xml:space="preserve"> Protein: Most formulas mimic whey-to-casein ratio of mature human milk</w:t>
            </w:r>
          </w:p>
          <w:p w:rsidR="00A70A93" w:rsidRPr="004A16D3" w:rsidRDefault="00863DAB" w:rsidP="00284B48">
            <w:pPr>
              <w:pStyle w:val="TBL2-MID"/>
              <w:rPr>
                <w:rFonts w:ascii="Times" w:hAnsi="Times" w:cs="Times"/>
                <w:bCs/>
              </w:rPr>
            </w:pPr>
            <w:r w:rsidRPr="004A16D3">
              <w:rPr>
                <w:rStyle w:val="BulletManualBodyList"/>
                <w:rFonts w:ascii="Times" w:hAnsi="Times" w:cs="Times"/>
              </w:rPr>
              <w:t>•</w:t>
            </w:r>
            <w:r w:rsidRPr="004A16D3">
              <w:rPr>
                <w:rFonts w:ascii="Times" w:hAnsi="Times" w:cs="Times"/>
              </w:rPr>
              <w:t xml:space="preserve"> Fat: 0% MCT oil for mature infant digestive capability</w:t>
            </w:r>
          </w:p>
          <w:p w:rsidR="00A70A93" w:rsidRPr="004A16D3" w:rsidRDefault="00863DAB" w:rsidP="00284B48">
            <w:pPr>
              <w:pStyle w:val="TBL2-MID"/>
              <w:rPr>
                <w:rFonts w:ascii="Times" w:hAnsi="Times" w:cs="Times"/>
              </w:rPr>
            </w:pPr>
            <w:r w:rsidRPr="004A16D3">
              <w:rPr>
                <w:rStyle w:val="BulletManualBodyList"/>
                <w:rFonts w:ascii="Times" w:hAnsi="Times" w:cs="Times"/>
              </w:rPr>
              <w:t>•</w:t>
            </w:r>
            <w:r w:rsidRPr="004A16D3">
              <w:rPr>
                <w:rFonts w:ascii="Times" w:hAnsi="Times" w:cs="Times"/>
              </w:rPr>
              <w:t xml:space="preserve"> Carbohydrate: Lactose predominant for mature lactase activity in term infants</w:t>
            </w:r>
          </w:p>
          <w:p w:rsidR="00A70A93" w:rsidRPr="004A16D3" w:rsidRDefault="00863DAB">
            <w:pPr>
              <w:pStyle w:val="TBL-LAST"/>
              <w:widowControl w:val="0"/>
              <w:autoSpaceDE w:val="0"/>
              <w:autoSpaceDN w:val="0"/>
              <w:adjustRightInd w:val="0"/>
              <w:spacing w:line="480" w:lineRule="auto"/>
              <w:rPr>
                <w:rFonts w:ascii="Times" w:hAnsi="Times" w:cs="Times"/>
              </w:rPr>
            </w:pPr>
            <w:r w:rsidRPr="004A16D3">
              <w:rPr>
                <w:rStyle w:val="BulletManualBodyList"/>
                <w:rFonts w:ascii="Times" w:hAnsi="Times" w:cs="Times"/>
              </w:rPr>
              <w:t>•</w:t>
            </w:r>
            <w:r w:rsidRPr="004A16D3">
              <w:rPr>
                <w:rFonts w:ascii="Times" w:hAnsi="Times" w:cs="Times"/>
              </w:rPr>
              <w:t xml:space="preserve"> Available as a powder, sterile liquid, or concentrate depending on the formula</w:t>
            </w:r>
          </w:p>
        </w:tc>
      </w:tr>
      <w:tr w:rsidR="00A70A93" w:rsidRPr="004A16D3">
        <w:trPr>
          <w:trHeight w:val="690"/>
        </w:trPr>
        <w:tc>
          <w:tcPr>
            <w:tcW w:w="8856" w:type="dxa"/>
            <w:tcBorders>
              <w:top w:val="single" w:sz="12" w:space="0" w:color="auto"/>
              <w:bottom w:val="single" w:sz="12" w:space="0" w:color="auto"/>
            </w:tcBorders>
          </w:tcPr>
          <w:p w:rsidR="00A70A93" w:rsidRPr="004A16D3" w:rsidRDefault="00863DAB" w:rsidP="00284B48">
            <w:pPr>
              <w:pStyle w:val="T4"/>
              <w:rPr>
                <w:rFonts w:ascii="Times" w:hAnsi="Times" w:cs="Times"/>
                <w:bCs/>
              </w:rPr>
            </w:pPr>
            <w:r w:rsidRPr="004A16D3">
              <w:rPr>
                <w:rFonts w:ascii="Times" w:hAnsi="Times" w:cs="Times"/>
              </w:rPr>
              <w:lastRenderedPageBreak/>
              <w:t>Soy-based formulas (See Chapter 16)</w:t>
            </w:r>
          </w:p>
          <w:p w:rsidR="00A70A93" w:rsidRPr="004A16D3" w:rsidRDefault="00863DAB">
            <w:pPr>
              <w:pStyle w:val="TBL-MID"/>
              <w:widowControl w:val="0"/>
              <w:autoSpaceDE w:val="0"/>
              <w:autoSpaceDN w:val="0"/>
              <w:adjustRightInd w:val="0"/>
              <w:spacing w:line="480" w:lineRule="auto"/>
              <w:rPr>
                <w:rFonts w:ascii="Times" w:hAnsi="Times" w:cs="Times"/>
                <w:bCs/>
              </w:rPr>
            </w:pPr>
            <w:r w:rsidRPr="004A16D3">
              <w:rPr>
                <w:rStyle w:val="BulletManualBodyList"/>
                <w:rFonts w:ascii="Times" w:hAnsi="Times" w:cs="Times"/>
              </w:rPr>
              <w:t>•</w:t>
            </w:r>
            <w:r w:rsidRPr="004A16D3">
              <w:rPr>
                <w:rFonts w:ascii="Times" w:hAnsi="Times" w:cs="Times"/>
              </w:rPr>
              <w:t xml:space="preserve"> Not recommended for preterm infants</w:t>
            </w:r>
          </w:p>
          <w:p w:rsidR="00A70A93" w:rsidRPr="004A16D3" w:rsidRDefault="00863DAB">
            <w:pPr>
              <w:pStyle w:val="TBL-MID"/>
              <w:widowControl w:val="0"/>
              <w:autoSpaceDE w:val="0"/>
              <w:autoSpaceDN w:val="0"/>
              <w:adjustRightInd w:val="0"/>
              <w:spacing w:line="480" w:lineRule="auto"/>
              <w:rPr>
                <w:rFonts w:ascii="Times" w:hAnsi="Times" w:cs="Times"/>
                <w:bCs/>
              </w:rPr>
            </w:pPr>
            <w:r w:rsidRPr="004A16D3">
              <w:rPr>
                <w:rStyle w:val="BulletManualBodyList"/>
                <w:rFonts w:ascii="Times" w:hAnsi="Times" w:cs="Times"/>
              </w:rPr>
              <w:t>•</w:t>
            </w:r>
            <w:r w:rsidRPr="004A16D3">
              <w:rPr>
                <w:rFonts w:ascii="Times" w:hAnsi="Times" w:cs="Times"/>
              </w:rPr>
              <w:t xml:space="preserve"> Lower bioavailability of calcium and phosphorus due to soy phytates and aluminum may have adverse effects on bone mineralization</w:t>
            </w:r>
          </w:p>
          <w:p w:rsidR="00A70A93" w:rsidRPr="004A16D3" w:rsidRDefault="00863DAB">
            <w:pPr>
              <w:pStyle w:val="TBL-MID"/>
              <w:widowControl w:val="0"/>
              <w:autoSpaceDE w:val="0"/>
              <w:autoSpaceDN w:val="0"/>
              <w:adjustRightInd w:val="0"/>
              <w:spacing w:line="480" w:lineRule="auto"/>
              <w:rPr>
                <w:rFonts w:ascii="Times" w:hAnsi="Times" w:cs="Times"/>
              </w:rPr>
            </w:pPr>
            <w:r w:rsidRPr="004A16D3">
              <w:rPr>
                <w:rStyle w:val="BulletManualBodyList"/>
                <w:rFonts w:ascii="Times" w:hAnsi="Times" w:cs="Times"/>
              </w:rPr>
              <w:t>•</w:t>
            </w:r>
            <w:r w:rsidRPr="004A16D3">
              <w:rPr>
                <w:rFonts w:ascii="Times" w:hAnsi="Times" w:cs="Times"/>
              </w:rPr>
              <w:t xml:space="preserve"> Indicated for galactosemia, secondary lactose intolerance</w:t>
            </w:r>
          </w:p>
          <w:p w:rsidR="00A70A93" w:rsidRPr="004A16D3" w:rsidRDefault="00863DAB">
            <w:pPr>
              <w:pStyle w:val="TBL-LAST"/>
              <w:widowControl w:val="0"/>
              <w:autoSpaceDE w:val="0"/>
              <w:autoSpaceDN w:val="0"/>
              <w:adjustRightInd w:val="0"/>
              <w:spacing w:line="480" w:lineRule="auto"/>
              <w:rPr>
                <w:rFonts w:ascii="Times" w:hAnsi="Times" w:cs="Times"/>
              </w:rPr>
            </w:pPr>
            <w:r w:rsidRPr="004A16D3">
              <w:rPr>
                <w:rStyle w:val="BulletManualBodyList"/>
                <w:rFonts w:ascii="Times" w:hAnsi="Times" w:cs="Times"/>
              </w:rPr>
              <w:t>•</w:t>
            </w:r>
            <w:r w:rsidRPr="004A16D3">
              <w:rPr>
                <w:rFonts w:ascii="Times" w:hAnsi="Times" w:cs="Times"/>
              </w:rPr>
              <w:t xml:space="preserve"> Available as a powder, sterile liquid, or concentrate depending on the formula</w:t>
            </w:r>
          </w:p>
        </w:tc>
      </w:tr>
      <w:tr w:rsidR="00A70A93" w:rsidRPr="004A16D3">
        <w:trPr>
          <w:trHeight w:val="1842"/>
        </w:trPr>
        <w:tc>
          <w:tcPr>
            <w:tcW w:w="8856" w:type="dxa"/>
            <w:tcBorders>
              <w:top w:val="single" w:sz="12" w:space="0" w:color="auto"/>
              <w:bottom w:val="single" w:sz="12" w:space="0" w:color="auto"/>
            </w:tcBorders>
          </w:tcPr>
          <w:p w:rsidR="00A70A93" w:rsidRPr="004A16D3" w:rsidRDefault="00863DAB" w:rsidP="00284B48">
            <w:pPr>
              <w:pStyle w:val="T4"/>
              <w:rPr>
                <w:rFonts w:ascii="Times" w:hAnsi="Times" w:cs="Times"/>
                <w:bCs/>
              </w:rPr>
            </w:pPr>
            <w:r w:rsidRPr="004A16D3">
              <w:rPr>
                <w:rFonts w:ascii="Times" w:hAnsi="Times" w:cs="Times"/>
              </w:rPr>
              <w:t xml:space="preserve">Therapeutic formulas (See </w:t>
            </w:r>
            <w:commentRangeStart w:id="7"/>
            <w:r w:rsidRPr="004A16D3">
              <w:rPr>
                <w:rFonts w:ascii="Times" w:hAnsi="Times" w:cs="Times"/>
              </w:rPr>
              <w:t>Chapter 16</w:t>
            </w:r>
            <w:commentRangeEnd w:id="7"/>
            <w:r w:rsidRPr="004A16D3">
              <w:rPr>
                <w:rStyle w:val="CommentReference"/>
              </w:rPr>
              <w:commentReference w:id="7"/>
            </w:r>
            <w:r w:rsidRPr="004A16D3">
              <w:rPr>
                <w:rFonts w:ascii="Times" w:hAnsi="Times" w:cs="Times"/>
              </w:rPr>
              <w:t>)</w:t>
            </w:r>
          </w:p>
          <w:p w:rsidR="00A70A93" w:rsidRPr="004A16D3" w:rsidRDefault="00863DAB">
            <w:pPr>
              <w:pStyle w:val="TBL-MID"/>
              <w:widowControl w:val="0"/>
              <w:autoSpaceDE w:val="0"/>
              <w:autoSpaceDN w:val="0"/>
              <w:adjustRightInd w:val="0"/>
              <w:spacing w:line="480" w:lineRule="auto"/>
              <w:rPr>
                <w:rFonts w:ascii="Times" w:hAnsi="Times" w:cs="Times"/>
                <w:bCs/>
              </w:rPr>
            </w:pPr>
            <w:r w:rsidRPr="004A16D3">
              <w:rPr>
                <w:rStyle w:val="BulletManualBodyList"/>
                <w:rFonts w:ascii="Times" w:hAnsi="Times" w:cs="Times"/>
              </w:rPr>
              <w:t>•</w:t>
            </w:r>
            <w:r w:rsidRPr="004A16D3">
              <w:rPr>
                <w:rFonts w:ascii="Times" w:hAnsi="Times" w:cs="Times"/>
              </w:rPr>
              <w:t xml:space="preserve"> Includes rice starch-thickened, protein hydrolysate, free amino-acid-based, altered mineral, or high MCT containing formulas</w:t>
            </w:r>
          </w:p>
          <w:p w:rsidR="00A70A93" w:rsidRPr="004A16D3" w:rsidRDefault="00863DAB">
            <w:pPr>
              <w:pStyle w:val="TBL-MID"/>
              <w:widowControl w:val="0"/>
              <w:autoSpaceDE w:val="0"/>
              <w:autoSpaceDN w:val="0"/>
              <w:adjustRightInd w:val="0"/>
              <w:spacing w:line="480" w:lineRule="auto"/>
              <w:rPr>
                <w:rFonts w:ascii="Times" w:hAnsi="Times" w:cs="Times"/>
              </w:rPr>
            </w:pPr>
            <w:r w:rsidRPr="004A16D3">
              <w:rPr>
                <w:rStyle w:val="BulletManualBodyList"/>
                <w:rFonts w:ascii="Times" w:hAnsi="Times" w:cs="Times"/>
              </w:rPr>
              <w:t>•</w:t>
            </w:r>
            <w:r w:rsidRPr="004A16D3">
              <w:rPr>
                <w:rFonts w:ascii="Times" w:hAnsi="Times" w:cs="Times"/>
              </w:rPr>
              <w:t xml:space="preserve"> Not recommended long term for preterm infants due to suboptimal nutrient composition; If medically indicated may need to concentrate or provide additional protein and/or micronutrient supplementation</w:t>
            </w:r>
          </w:p>
          <w:p w:rsidR="00A70A93" w:rsidRPr="004A16D3" w:rsidRDefault="00863DAB">
            <w:pPr>
              <w:pStyle w:val="TBL-MID"/>
              <w:widowControl w:val="0"/>
              <w:autoSpaceDE w:val="0"/>
              <w:autoSpaceDN w:val="0"/>
              <w:adjustRightInd w:val="0"/>
              <w:spacing w:line="480" w:lineRule="auto"/>
              <w:rPr>
                <w:rFonts w:ascii="Times" w:hAnsi="Times" w:cs="Times"/>
              </w:rPr>
            </w:pPr>
            <w:r w:rsidRPr="004A16D3">
              <w:rPr>
                <w:rStyle w:val="BulletManualBodyList"/>
                <w:rFonts w:ascii="Times" w:hAnsi="Times" w:cs="Times"/>
              </w:rPr>
              <w:t>•</w:t>
            </w:r>
            <w:r w:rsidRPr="004A16D3">
              <w:rPr>
                <w:rFonts w:ascii="Times" w:hAnsi="Times" w:cs="Times"/>
              </w:rPr>
              <w:t xml:space="preserve"> Some only available as powders</w:t>
            </w:r>
          </w:p>
        </w:tc>
      </w:tr>
      <w:tr w:rsidR="00A70A93" w:rsidRPr="004A16D3">
        <w:trPr>
          <w:trHeight w:val="1425"/>
        </w:trPr>
        <w:tc>
          <w:tcPr>
            <w:tcW w:w="8856" w:type="dxa"/>
            <w:tcBorders>
              <w:top w:val="single" w:sz="12" w:space="0" w:color="auto"/>
              <w:bottom w:val="single" w:sz="12" w:space="0" w:color="auto"/>
            </w:tcBorders>
          </w:tcPr>
          <w:p w:rsidR="00A70A93" w:rsidRPr="004A16D3" w:rsidRDefault="00863DAB" w:rsidP="00284B48">
            <w:pPr>
              <w:pStyle w:val="T4"/>
              <w:rPr>
                <w:rFonts w:ascii="Times" w:hAnsi="Times" w:cs="Times"/>
                <w:bCs/>
              </w:rPr>
            </w:pPr>
            <w:r w:rsidRPr="004A16D3">
              <w:rPr>
                <w:rFonts w:ascii="Times" w:hAnsi="Times" w:cs="Times"/>
              </w:rPr>
              <w:t xml:space="preserve">Modulars (See </w:t>
            </w:r>
            <w:commentRangeStart w:id="8"/>
            <w:r w:rsidRPr="004A16D3">
              <w:rPr>
                <w:rFonts w:ascii="Times" w:hAnsi="Times" w:cs="Times"/>
              </w:rPr>
              <w:t>Chapter 16</w:t>
            </w:r>
            <w:commentRangeEnd w:id="8"/>
            <w:r w:rsidRPr="004A16D3">
              <w:rPr>
                <w:rStyle w:val="CommentReference"/>
              </w:rPr>
              <w:commentReference w:id="8"/>
            </w:r>
            <w:r w:rsidRPr="004A16D3">
              <w:rPr>
                <w:rFonts w:ascii="Times" w:hAnsi="Times" w:cs="Times"/>
              </w:rPr>
              <w:t>)</w:t>
            </w:r>
          </w:p>
          <w:p w:rsidR="00A70A93" w:rsidRPr="004A16D3" w:rsidRDefault="00863DAB" w:rsidP="004A16D3">
            <w:pPr>
              <w:pStyle w:val="T0"/>
              <w:widowControl w:val="0"/>
              <w:autoSpaceDE w:val="0"/>
              <w:autoSpaceDN w:val="0"/>
              <w:adjustRightInd w:val="0"/>
              <w:spacing w:line="480" w:lineRule="auto"/>
              <w:rPr>
                <w:bCs/>
              </w:rPr>
            </w:pPr>
            <w:r w:rsidRPr="004A16D3">
              <w:rPr>
                <w:rFonts w:ascii="Times" w:hAnsi="Times" w:cs="Times"/>
              </w:rPr>
              <w:t>• Used when increased energy/protein demands require further supplementation without</w:t>
            </w:r>
            <w:r w:rsidR="00583FF9" w:rsidRPr="004A16D3">
              <w:rPr>
                <w:rFonts w:ascii="Times" w:hAnsi="Times" w:cs="Times"/>
              </w:rPr>
              <w:t xml:space="preserve"> </w:t>
            </w:r>
            <w:r w:rsidRPr="004A16D3">
              <w:t>additional micronutrients</w:t>
            </w:r>
          </w:p>
          <w:p w:rsidR="00A70A93" w:rsidRPr="004A16D3" w:rsidRDefault="00863DAB" w:rsidP="00284B48">
            <w:pPr>
              <w:pStyle w:val="TBL-MID"/>
              <w:widowControl w:val="0"/>
              <w:autoSpaceDE w:val="0"/>
              <w:autoSpaceDN w:val="0"/>
              <w:adjustRightInd w:val="0"/>
              <w:spacing w:line="480" w:lineRule="auto"/>
              <w:rPr>
                <w:rFonts w:ascii="Times" w:hAnsi="Times" w:cs="Times"/>
              </w:rPr>
            </w:pPr>
            <w:r w:rsidRPr="004A16D3">
              <w:rPr>
                <w:rFonts w:ascii="Times" w:hAnsi="Times" w:cs="Times"/>
              </w:rPr>
              <w:t xml:space="preserve">• fat, carbohydrate and/or protein supplements may be added to human milk or formula if </w:t>
            </w:r>
            <w:r w:rsidRPr="004A16D3">
              <w:rPr>
                <w:rFonts w:ascii="Times" w:hAnsi="Times" w:cs="Times"/>
              </w:rPr>
              <w:lastRenderedPageBreak/>
              <w:t>feeding does not meet infant needs</w:t>
            </w:r>
          </w:p>
        </w:tc>
      </w:tr>
    </w:tbl>
    <w:p w:rsidR="00A70A93" w:rsidRDefault="00501543">
      <w:pPr>
        <w:pStyle w:val="TFN"/>
        <w:spacing w:line="480" w:lineRule="auto"/>
      </w:pPr>
      <w:r w:rsidRPr="004A16D3">
        <w:rPr>
          <w:rFonts w:ascii="Times" w:hAnsi="Times" w:cs="Times"/>
        </w:rPr>
        <w:lastRenderedPageBreak/>
        <w:t>EFA</w:t>
      </w:r>
      <w:r w:rsidR="00681139" w:rsidRPr="004A16D3">
        <w:rPr>
          <w:rFonts w:ascii="Times" w:hAnsi="Times" w:cs="Times"/>
        </w:rPr>
        <w:t xml:space="preserve">, </w:t>
      </w:r>
      <w:r w:rsidRPr="004A16D3">
        <w:rPr>
          <w:rFonts w:ascii="Times" w:hAnsi="Times" w:cs="Times"/>
        </w:rPr>
        <w:t>essential fatty acids; MCT</w:t>
      </w:r>
      <w:r w:rsidR="00681139" w:rsidRPr="004A16D3">
        <w:rPr>
          <w:rFonts w:ascii="Times" w:hAnsi="Times" w:cs="Times"/>
        </w:rPr>
        <w:t xml:space="preserve">, </w:t>
      </w:r>
      <w:r w:rsidRPr="004A16D3">
        <w:rPr>
          <w:rFonts w:ascii="Times" w:hAnsi="Times" w:cs="Times"/>
        </w:rPr>
        <w:t xml:space="preserve">medium chain triglycerides; </w:t>
      </w:r>
      <w:r w:rsidR="00863DAB" w:rsidRPr="004A16D3">
        <w:rPr>
          <w:rFonts w:ascii="Times" w:hAnsi="Times" w:cs="Times"/>
        </w:rPr>
        <w:t>NGT</w:t>
      </w:r>
      <w:r w:rsidR="00681139" w:rsidRPr="004A16D3">
        <w:rPr>
          <w:rFonts w:ascii="Times" w:hAnsi="Times" w:cs="Times"/>
        </w:rPr>
        <w:t xml:space="preserve">, </w:t>
      </w:r>
      <w:r w:rsidR="00863DAB" w:rsidRPr="004A16D3">
        <w:rPr>
          <w:rFonts w:ascii="Times" w:hAnsi="Times" w:cs="Times"/>
        </w:rPr>
        <w:t>nasogastric tube; OGT</w:t>
      </w:r>
      <w:r w:rsidR="00681139" w:rsidRPr="004A16D3">
        <w:rPr>
          <w:rFonts w:ascii="Times" w:hAnsi="Times" w:cs="Times"/>
        </w:rPr>
        <w:t xml:space="preserve">, </w:t>
      </w:r>
      <w:r w:rsidR="00863DAB" w:rsidRPr="004A16D3">
        <w:rPr>
          <w:rFonts w:ascii="Times" w:hAnsi="Times" w:cs="Times"/>
        </w:rPr>
        <w:t>orogastric tube; PMA</w:t>
      </w:r>
      <w:r w:rsidR="00681139" w:rsidRPr="004A16D3">
        <w:rPr>
          <w:rFonts w:ascii="Times" w:hAnsi="Times" w:cs="Times"/>
        </w:rPr>
        <w:t xml:space="preserve">, </w:t>
      </w:r>
      <w:r w:rsidR="00863DAB" w:rsidRPr="004A16D3">
        <w:rPr>
          <w:rFonts w:ascii="Times" w:hAnsi="Times" w:cs="Times"/>
        </w:rPr>
        <w:t>post-menstrual age; RTF</w:t>
      </w:r>
      <w:r w:rsidR="00681139" w:rsidRPr="004A16D3">
        <w:rPr>
          <w:rFonts w:ascii="Times" w:hAnsi="Times" w:cs="Times"/>
        </w:rPr>
        <w:t xml:space="preserve">, </w:t>
      </w:r>
      <w:r w:rsidR="00863DAB" w:rsidRPr="004A16D3">
        <w:rPr>
          <w:rFonts w:ascii="Times" w:hAnsi="Times" w:cs="Times"/>
        </w:rPr>
        <w:t>ready-to-feed</w:t>
      </w:r>
      <w:r w:rsidRPr="004A16D3">
        <w:rPr>
          <w:rFonts w:ascii="Times" w:hAnsi="Times" w:cs="Times"/>
        </w:rPr>
        <w:t>.</w:t>
      </w:r>
    </w:p>
    <w:sectPr w:rsidR="00A70A93">
      <w:headerReference w:type="even" r:id="rId18"/>
      <w:headerReference w:type="default" r:id="rId19"/>
      <w:pgSz w:w="12240" w:h="15840" w:code="1"/>
      <w:pgMar w:top="1440" w:right="1440" w:bottom="1440" w:left="1440" w:header="720" w:footer="720" w:gutter="0"/>
      <w:cols w:space="720"/>
      <w:noEndnote/>
      <w:docGrid w:linePitch="326"/>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Judith Tomat" w:date="2026-01-12T15:16:00Z" w:initials="JT">
    <w:p w:rsidR="00863DAB" w:rsidRDefault="00863DAB" w:rsidP="000C2251">
      <w:r>
        <w:rPr>
          <w:rStyle w:val="CommentReference"/>
        </w:rPr>
        <w:annotationRef/>
      </w:r>
      <w:r>
        <w:t>AQ:  Please check chapter cross reference</w:t>
      </w:r>
    </w:p>
  </w:comment>
  <w:comment w:id="2" w:author="Judith Tomat" w:date="2026-01-12T15:16:00Z" w:initials="JT">
    <w:p w:rsidR="00863DAB" w:rsidRDefault="00863DAB" w:rsidP="000C2251">
      <w:r>
        <w:rPr>
          <w:rStyle w:val="CommentReference"/>
        </w:rPr>
        <w:annotationRef/>
      </w:r>
      <w:r>
        <w:t>AQ:  Please check chapter cross reference</w:t>
      </w:r>
    </w:p>
  </w:comment>
  <w:comment w:id="3" w:author="Judith Tomat" w:date="2026-01-12T15:16:00Z" w:initials="JT">
    <w:p w:rsidR="00863DAB" w:rsidRDefault="00863DAB" w:rsidP="000C2251">
      <w:r>
        <w:rPr>
          <w:rStyle w:val="CommentReference"/>
        </w:rPr>
        <w:annotationRef/>
      </w:r>
      <w:r>
        <w:t>AQ:  Please check chapter cross reference</w:t>
      </w:r>
    </w:p>
  </w:comment>
  <w:comment w:id="4" w:author="S4C_TE-ed" w:date="2026-01-16T15:27:00Z" w:initials="Q">
    <w:p w:rsidR="00184B69" w:rsidRDefault="00184B69">
      <w:pPr>
        <w:pStyle w:val="CommentText"/>
      </w:pPr>
      <w:r>
        <w:rPr>
          <w:rStyle w:val="CommentReference"/>
        </w:rPr>
        <w:annotationRef/>
      </w:r>
      <w:r w:rsidRPr="0056227A">
        <w:t>AQ: Please note that reference [</w:t>
      </w:r>
      <w:r>
        <w:t>20</w:t>
      </w:r>
      <w:r w:rsidRPr="0056227A">
        <w:t>]</w:t>
      </w:r>
      <w:r>
        <w:t xml:space="preserve"> (as in MS)</w:t>
      </w:r>
      <w:r w:rsidRPr="0056227A">
        <w:t xml:space="preserve"> is a duplication of reference [</w:t>
      </w:r>
      <w:r>
        <w:t>7</w:t>
      </w:r>
      <w:r w:rsidRPr="0056227A">
        <w:t>]</w:t>
      </w:r>
      <w:r>
        <w:t xml:space="preserve"> (as in MS)</w:t>
      </w:r>
      <w:r w:rsidRPr="0056227A">
        <w:t>. Hence, the duplication has been deleted and the remaining references have been renumbered sequentially in both list and text citation.</w:t>
      </w:r>
    </w:p>
  </w:comment>
  <w:comment w:id="5" w:author="Judith Tomat" w:date="2026-01-12T18:11:00Z" w:initials="JT">
    <w:p w:rsidR="00863DAB" w:rsidRDefault="00863DAB" w:rsidP="000C2251">
      <w:r>
        <w:rPr>
          <w:rStyle w:val="CommentReference"/>
        </w:rPr>
        <w:annotationRef/>
      </w:r>
      <w:r>
        <w:t>AQ</w:t>
      </w:r>
      <w:r w:rsidR="006B06D7">
        <w:t xml:space="preserve"> (Reviewer)</w:t>
      </w:r>
      <w:r>
        <w:t>:  Please check chapter cross reference</w:t>
      </w:r>
    </w:p>
  </w:comment>
  <w:comment w:id="6" w:author="Judith Tomat" w:date="2026-01-12T18:11:00Z" w:initials="JT">
    <w:p w:rsidR="00863DAB" w:rsidRDefault="00863DAB" w:rsidP="000C2251">
      <w:r>
        <w:rPr>
          <w:rStyle w:val="CommentReference"/>
        </w:rPr>
        <w:annotationRef/>
      </w:r>
      <w:r>
        <w:t>AQ</w:t>
      </w:r>
      <w:r w:rsidR="006B06D7">
        <w:t xml:space="preserve"> (Reviewer)</w:t>
      </w:r>
      <w:r>
        <w:t>:  Please check chapter cross reference</w:t>
      </w:r>
    </w:p>
  </w:comment>
  <w:comment w:id="7" w:author="Judith Tomat" w:date="2026-01-12T18:11:00Z" w:initials="JT">
    <w:p w:rsidR="00863DAB" w:rsidRDefault="00863DAB" w:rsidP="000C2251">
      <w:r>
        <w:rPr>
          <w:rStyle w:val="CommentReference"/>
        </w:rPr>
        <w:annotationRef/>
      </w:r>
      <w:r>
        <w:t>AQ</w:t>
      </w:r>
      <w:r w:rsidR="006B06D7">
        <w:t xml:space="preserve"> (Reviewer)</w:t>
      </w:r>
      <w:r>
        <w:t>:  Please check chapter cross reference</w:t>
      </w:r>
    </w:p>
  </w:comment>
  <w:comment w:id="8" w:author="Judith Tomat" w:date="2026-01-12T18:11:00Z" w:initials="JT">
    <w:p w:rsidR="00863DAB" w:rsidRDefault="00863DAB" w:rsidP="000C2251">
      <w:r>
        <w:rPr>
          <w:rStyle w:val="CommentReference"/>
        </w:rPr>
        <w:annotationRef/>
      </w:r>
      <w:r>
        <w:t>AQ</w:t>
      </w:r>
      <w:r w:rsidR="00CA278D">
        <w:t xml:space="preserve"> (Reviewer)</w:t>
      </w:r>
      <w:r>
        <w:t>:  Please check chapter cross reference</w:t>
      </w:r>
    </w:p>
  </w:comment>
</w:comments>
</file>

<file path=word/commentsExtended.xml><?xml version="1.0" encoding="utf-8"?>
<w15:commentsEx xmlns:w14="http://schemas.microsoft.com/office/word/2010/wordml" xmlns:r="http://schemas.openxmlformats.org/officeDocument/2006/relationships" xmlns:a="http://schemas.openxmlformats.org/drawingml/2006/main" xmlns:a14="http://schemas.microsoft.com/office/drawing/2010/main" xmlns:w="http://schemas.openxmlformats.org/wordprocessingml/2006/main" xmlns:m="http://schemas.openxmlformats.org/officeDocument/2006/math" xmlns:wp="http://schemas.openxmlformats.org/drawingml/2006/wordprocessingDrawing"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15:commentEx w15:paraId="6794C55B" w15:done="0"/>
  <w15:commentEx w15:paraId="250A5217" w15:done="0"/>
  <w15:commentEx w15:paraId="27E7C3F2" w15:done="0"/>
  <w15:commentEx w15:paraId="4B3F187C" w15:done="0"/>
  <w15:commentEx w15:paraId="6615E37A" w15:done="0"/>
  <w15:commentEx w15:paraId="1AC2D27E" w15:done="0"/>
  <w15:commentEx w15:paraId="04FCB911" w15:done="0"/>
  <w15:commentEx w15:paraId="396E3CE0" w15:done="0"/>
</w15:commentsEx>
</file>

<file path=word/commentsExtensible.xml><?xml version="1.0" encoding="utf-8"?>
<w16cex:commentsExtensible xmlns:w16cex="http://schemas.microsoft.com/office/word/2018/wordml/cex" xmlns:mc="http://schemas.openxmlformats.org/markup-compatibility/2006" xmlns:aink="http://schemas.microsoft.com/office/drawing/2016/ink" xmlns:am3d="http://schemas.microsoft.com/office/drawing/2017/model3d" xmlns:cr="http://schemas.microsoft.com/office/comments/2020/reactio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cr w16du wp14">
  <w16cex:commentExtensible w16cex:dateUtc="2025-11-14T00:12:00Z" w16cex:durableId="25275DB7"/>
  <w16cex:commentExtensible w16cex:dateUtc="2025-11-14T00:12:00Z" w16cex:durableId="5BD33BF6"/>
  <w16cex:commentExtensible w16cex:dateUtc="2025-11-14T00:12:00Z" w16cex:durableId="5C10C9B6"/>
  <w16cex:commentExtensible w16cex:dateUtc="2025-11-14T00:13:00Z" w16cex:durableId="0781DECC"/>
  <w16cex:commentExtensible w16cex:dateUtc="2025-11-14T00:13:00Z" w16cex:durableId="468A59A1"/>
  <w16cex:commentExtensible w16cex:dateUtc="2025-11-14T00:13:00Z" w16cex:durableId="3503731B"/>
  <w16cex:commentExtensible w16cex:dateUtc="2025-11-14T00:13:00Z" w16cex:durableId="76981666"/>
  <w16cex:commentExtensible w16cex:dateUtc="2025-11-14T00:13:00Z" w16cex:durableId="6D953549"/>
</w16cex:commentsExtensible>
</file>

<file path=word/commentsIds.xml><?xml version="1.0" encoding="utf-8"?>
<w16cid:commentsIds xmlns:w14="http://schemas.microsoft.com/office/word/2010/wordml" xmlns:r="http://schemas.openxmlformats.org/officeDocument/2006/relationships" xmlns:a="http://schemas.openxmlformats.org/drawingml/2006/main" xmlns:a14="http://schemas.microsoft.com/office/drawing/2010/main" xmlns:w="http://schemas.openxmlformats.org/wordprocessingml/2006/main" xmlns:m="http://schemas.openxmlformats.org/officeDocument/2006/math" xmlns:wp="http://schemas.openxmlformats.org/drawingml/2006/wordprocessingDrawing"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sdtfl w16du wp14">
  <w16cid:commentId w16cid:paraId="6794C55B" w16cid:durableId="25275DB7"/>
  <w16cid:commentId w16cid:paraId="250A5217" w16cid:durableId="5BD33BF6"/>
  <w16cid:commentId w16cid:paraId="27E7C3F2" w16cid:durableId="5C10C9B6"/>
  <w16cid:commentId w16cid:paraId="4B3F187C" w16cid:durableId="0781DECC"/>
  <w16cid:commentId w16cid:paraId="6615E37A" w16cid:durableId="468A59A1"/>
  <w16cid:commentId w16cid:paraId="1AC2D27E" w16cid:durableId="3503731B"/>
  <w16cid:commentId w16cid:paraId="04FCB911" w16cid:durableId="76981666"/>
  <w16cid:commentId w16cid:paraId="396E3CE0" w16cid:durableId="6D953549"/>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73993" w:rsidRDefault="00773993">
      <w:r>
        <w:separator/>
      </w:r>
    </w:p>
  </w:endnote>
  <w:endnote w:type="continuationSeparator" w:id="0">
    <w:p w:rsidR="00773993" w:rsidRDefault="007739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Univers">
    <w:charset w:val="00"/>
    <w:family w:val="swiss"/>
    <w:pitch w:val="variable"/>
    <w:sig w:usb0="80000287" w:usb1="00000000" w:usb2="00000000" w:usb3="00000000" w:csb0="0000000F" w:csb1="00000000"/>
  </w:font>
  <w:font w:name="Lucida Grande">
    <w:altName w:val="Arial"/>
    <w:charset w:val="00"/>
    <w:family w:val="swiss"/>
    <w:pitch w:val="variable"/>
    <w:sig w:usb0="00000000" w:usb1="5000A1FF" w:usb2="00000000" w:usb3="00000000" w:csb0="000001BF" w:csb1="00000000"/>
  </w:font>
  <w:font w:name="Arial Unicode MS">
    <w:panose1 w:val="020B0604020202020204"/>
    <w:charset w:val="80"/>
    <w:family w:val="swiss"/>
    <w:pitch w:val="variable"/>
    <w:sig w:usb0="F7FFAFFF" w:usb1="E9DFFFFF" w:usb2="0000003F" w:usb3="00000000" w:csb0="003F01FF" w:csb1="00000000"/>
  </w:font>
  <w:font w:name="Aptos">
    <w:altName w:val="Arial"/>
    <w:charset w:val="00"/>
    <w:family w:val="swiss"/>
    <w:pitch w:val="variable"/>
    <w:sig w:usb0="00000001"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73993" w:rsidRDefault="00773993">
      <w:r>
        <w:separator/>
      </w:r>
    </w:p>
  </w:footnote>
  <w:footnote w:type="continuationSeparator" w:id="0">
    <w:p w:rsidR="00773993" w:rsidRDefault="0077399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63DAB" w:rsidRDefault="00863DAB" w:rsidP="00C01353">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863DAB" w:rsidRDefault="00863DAB">
    <w:pPr>
      <w:pStyle w:val="Header"/>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63DAB" w:rsidRDefault="00863DAB" w:rsidP="00C01353">
    <w:pPr>
      <w:pStyle w:val="TXT"/>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B60CDE">
      <w:rPr>
        <w:rStyle w:val="PageNumber"/>
        <w:noProof/>
      </w:rPr>
      <w:t>9</w:t>
    </w:r>
    <w:r>
      <w:rPr>
        <w:rStyle w:val="PageNumber"/>
      </w:rPr>
      <w:fldChar w:fldCharType="end"/>
    </w:r>
  </w:p>
  <w:p w:rsidR="00863DAB" w:rsidRDefault="00863DAB">
    <w:pPr>
      <w:pStyle w:val="Header"/>
      <w:ind w:right="360"/>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89F88AC6"/>
    <w:lvl w:ilvl="0">
      <w:start w:val="1"/>
      <w:numFmt w:val="bullet"/>
      <w:lvlText w:val=""/>
      <w:lvlJc w:val="left"/>
      <w:pPr>
        <w:tabs>
          <w:tab w:val="num" w:pos="0"/>
        </w:tabs>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FE"/>
    <w:multiLevelType w:val="singleLevel"/>
    <w:tmpl w:val="03C26CFC"/>
    <w:lvl w:ilvl="0">
      <w:numFmt w:val="bullet"/>
      <w:lvlText w:val="*"/>
      <w:lvlJc w:val="left"/>
    </w:lvl>
  </w:abstractNum>
  <w:abstractNum w:abstractNumId="2">
    <w:nsid w:val="01816895"/>
    <w:multiLevelType w:val="hybridMultilevel"/>
    <w:tmpl w:val="3190B562"/>
    <w:lvl w:ilvl="0" w:tplc="A2A042CE">
      <w:start w:val="7"/>
      <w:numFmt w:val="bullet"/>
      <w:lvlText w:val="-"/>
      <w:lvlJc w:val="left"/>
      <w:pPr>
        <w:tabs>
          <w:tab w:val="num" w:pos="1080"/>
        </w:tabs>
        <w:ind w:left="1080" w:hanging="360"/>
      </w:pPr>
      <w:rPr>
        <w:rFonts w:ascii="Times" w:eastAsia="Times New Roman" w:hAnsi="Times"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
    <w:nsid w:val="021A495F"/>
    <w:multiLevelType w:val="hybridMultilevel"/>
    <w:tmpl w:val="318AD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3435A72"/>
    <w:multiLevelType w:val="hybridMultilevel"/>
    <w:tmpl w:val="36361C2C"/>
    <w:lvl w:ilvl="0" w:tplc="C026038C">
      <w:numFmt w:val="bullet"/>
      <w:lvlText w:val="-"/>
      <w:lvlJc w:val="left"/>
      <w:pPr>
        <w:tabs>
          <w:tab w:val="num" w:pos="360"/>
        </w:tabs>
        <w:ind w:left="360" w:hanging="360"/>
      </w:pPr>
      <w:rPr>
        <w:rFonts w:ascii="Times" w:eastAsia="Times New Roman" w:hAnsi="Times" w:hint="default"/>
      </w:rPr>
    </w:lvl>
    <w:lvl w:ilvl="1" w:tplc="04090003">
      <w:start w:val="1"/>
      <w:numFmt w:val="bullet"/>
      <w:lvlText w:val="o"/>
      <w:lvlJc w:val="left"/>
      <w:pPr>
        <w:tabs>
          <w:tab w:val="num" w:pos="0"/>
        </w:tabs>
        <w:ind w:hanging="360"/>
      </w:pPr>
      <w:rPr>
        <w:rFonts w:ascii="Courier New" w:hAnsi="Courier New" w:hint="default"/>
      </w:rPr>
    </w:lvl>
    <w:lvl w:ilvl="2" w:tplc="04090005">
      <w:start w:val="1"/>
      <w:numFmt w:val="bullet"/>
      <w:lvlText w:val=""/>
      <w:lvlJc w:val="left"/>
      <w:pPr>
        <w:tabs>
          <w:tab w:val="num" w:pos="720"/>
        </w:tabs>
        <w:ind w:left="720" w:hanging="360"/>
      </w:pPr>
      <w:rPr>
        <w:rFonts w:ascii="Wingdings" w:hAnsi="Wingdings" w:hint="default"/>
      </w:rPr>
    </w:lvl>
    <w:lvl w:ilvl="3" w:tplc="04090001">
      <w:start w:val="1"/>
      <w:numFmt w:val="bullet"/>
      <w:lvlText w:val=""/>
      <w:lvlJc w:val="left"/>
      <w:pPr>
        <w:tabs>
          <w:tab w:val="num" w:pos="1440"/>
        </w:tabs>
        <w:ind w:left="1440" w:hanging="360"/>
      </w:pPr>
      <w:rPr>
        <w:rFonts w:ascii="Symbol" w:hAnsi="Symbol" w:hint="default"/>
      </w:rPr>
    </w:lvl>
    <w:lvl w:ilvl="4" w:tplc="04090003">
      <w:start w:val="1"/>
      <w:numFmt w:val="bullet"/>
      <w:lvlText w:val="o"/>
      <w:lvlJc w:val="left"/>
      <w:pPr>
        <w:tabs>
          <w:tab w:val="num" w:pos="2160"/>
        </w:tabs>
        <w:ind w:left="2160" w:hanging="360"/>
      </w:pPr>
      <w:rPr>
        <w:rFonts w:ascii="Courier New" w:hAnsi="Courier New" w:hint="default"/>
      </w:rPr>
    </w:lvl>
    <w:lvl w:ilvl="5" w:tplc="04090005">
      <w:start w:val="1"/>
      <w:numFmt w:val="bullet"/>
      <w:lvlText w:val=""/>
      <w:lvlJc w:val="left"/>
      <w:pPr>
        <w:tabs>
          <w:tab w:val="num" w:pos="2880"/>
        </w:tabs>
        <w:ind w:left="2880" w:hanging="360"/>
      </w:pPr>
      <w:rPr>
        <w:rFonts w:ascii="Wingdings" w:hAnsi="Wingdings" w:hint="default"/>
      </w:rPr>
    </w:lvl>
    <w:lvl w:ilvl="6" w:tplc="04090001">
      <w:start w:val="1"/>
      <w:numFmt w:val="bullet"/>
      <w:lvlText w:val=""/>
      <w:lvlJc w:val="left"/>
      <w:pPr>
        <w:tabs>
          <w:tab w:val="num" w:pos="3600"/>
        </w:tabs>
        <w:ind w:left="3600" w:hanging="360"/>
      </w:pPr>
      <w:rPr>
        <w:rFonts w:ascii="Symbol" w:hAnsi="Symbol" w:hint="default"/>
      </w:rPr>
    </w:lvl>
    <w:lvl w:ilvl="7" w:tplc="04090003">
      <w:start w:val="1"/>
      <w:numFmt w:val="bullet"/>
      <w:lvlText w:val="o"/>
      <w:lvlJc w:val="left"/>
      <w:pPr>
        <w:tabs>
          <w:tab w:val="num" w:pos="4320"/>
        </w:tabs>
        <w:ind w:left="4320" w:hanging="360"/>
      </w:pPr>
      <w:rPr>
        <w:rFonts w:ascii="Courier New" w:hAnsi="Courier New" w:hint="default"/>
      </w:rPr>
    </w:lvl>
    <w:lvl w:ilvl="8" w:tplc="04090005">
      <w:start w:val="1"/>
      <w:numFmt w:val="bullet"/>
      <w:lvlText w:val=""/>
      <w:lvlJc w:val="left"/>
      <w:pPr>
        <w:tabs>
          <w:tab w:val="num" w:pos="5040"/>
        </w:tabs>
        <w:ind w:left="5040" w:hanging="360"/>
      </w:pPr>
      <w:rPr>
        <w:rFonts w:ascii="Wingdings" w:hAnsi="Wingdings" w:hint="default"/>
      </w:rPr>
    </w:lvl>
  </w:abstractNum>
  <w:abstractNum w:abstractNumId="5">
    <w:nsid w:val="03F912EE"/>
    <w:multiLevelType w:val="hybridMultilevel"/>
    <w:tmpl w:val="B896F816"/>
    <w:lvl w:ilvl="0" w:tplc="C026038C">
      <w:numFmt w:val="bullet"/>
      <w:lvlText w:val="-"/>
      <w:lvlJc w:val="left"/>
      <w:pPr>
        <w:tabs>
          <w:tab w:val="num" w:pos="1800"/>
        </w:tabs>
        <w:ind w:left="1800" w:hanging="360"/>
      </w:pPr>
      <w:rPr>
        <w:rFonts w:ascii="Times" w:eastAsia="Times New Roman" w:hAnsi="Time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
    <w:nsid w:val="05DA1E2E"/>
    <w:multiLevelType w:val="hybridMultilevel"/>
    <w:tmpl w:val="EEE8D4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06103F6D"/>
    <w:multiLevelType w:val="multilevel"/>
    <w:tmpl w:val="EFFC2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07EB76B3"/>
    <w:multiLevelType w:val="hybridMultilevel"/>
    <w:tmpl w:val="FADC847C"/>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9">
    <w:nsid w:val="094835BA"/>
    <w:multiLevelType w:val="hybridMultilevel"/>
    <w:tmpl w:val="93C44AD6"/>
    <w:lvl w:ilvl="0" w:tplc="5CB61B1E">
      <w:start w:val="10"/>
      <w:numFmt w:val="decimal"/>
      <w:lvlText w:val="%1."/>
      <w:lvlJc w:val="left"/>
      <w:pPr>
        <w:tabs>
          <w:tab w:val="num" w:pos="780"/>
        </w:tabs>
        <w:ind w:left="780" w:hanging="4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0">
    <w:nsid w:val="0B5904AE"/>
    <w:multiLevelType w:val="hybridMultilevel"/>
    <w:tmpl w:val="8C96D702"/>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1">
    <w:nsid w:val="0C067CE6"/>
    <w:multiLevelType w:val="multilevel"/>
    <w:tmpl w:val="CC06A660"/>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2">
    <w:nsid w:val="0C357A96"/>
    <w:multiLevelType w:val="hybridMultilevel"/>
    <w:tmpl w:val="30F81D2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3">
    <w:nsid w:val="10CC02D6"/>
    <w:multiLevelType w:val="hybridMultilevel"/>
    <w:tmpl w:val="CCE4D568"/>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4">
    <w:nsid w:val="110E0C3F"/>
    <w:multiLevelType w:val="hybridMultilevel"/>
    <w:tmpl w:val="1A46671C"/>
    <w:lvl w:ilvl="0" w:tplc="0409000F">
      <w:start w:val="1"/>
      <w:numFmt w:val="decimal"/>
      <w:lvlText w:val="%1."/>
      <w:lvlJc w:val="left"/>
      <w:pPr>
        <w:tabs>
          <w:tab w:val="num" w:pos="360"/>
        </w:tabs>
        <w:ind w:left="360" w:hanging="360"/>
      </w:pPr>
      <w:rPr>
        <w:rFonts w:cs="Times New Roman"/>
      </w:rPr>
    </w:lvl>
    <w:lvl w:ilvl="1" w:tplc="04090019">
      <w:start w:val="1"/>
      <w:numFmt w:val="lowerLetter"/>
      <w:lvlText w:val="%2."/>
      <w:lvlJc w:val="left"/>
      <w:pPr>
        <w:tabs>
          <w:tab w:val="num" w:pos="1080"/>
        </w:tabs>
        <w:ind w:left="1080" w:hanging="360"/>
      </w:pPr>
      <w:rPr>
        <w:rFonts w:cs="Times New Roman"/>
      </w:rPr>
    </w:lvl>
    <w:lvl w:ilvl="2" w:tplc="0409001B">
      <w:start w:val="1"/>
      <w:numFmt w:val="lowerRoman"/>
      <w:lvlText w:val="%3."/>
      <w:lvlJc w:val="right"/>
      <w:pPr>
        <w:tabs>
          <w:tab w:val="num" w:pos="1800"/>
        </w:tabs>
        <w:ind w:left="1800" w:hanging="180"/>
      </w:pPr>
      <w:rPr>
        <w:rFonts w:cs="Times New Roman"/>
      </w:rPr>
    </w:lvl>
    <w:lvl w:ilvl="3" w:tplc="0409000F">
      <w:start w:val="1"/>
      <w:numFmt w:val="decimal"/>
      <w:lvlText w:val="%4."/>
      <w:lvlJc w:val="left"/>
      <w:pPr>
        <w:tabs>
          <w:tab w:val="num" w:pos="2520"/>
        </w:tabs>
        <w:ind w:left="2520" w:hanging="360"/>
      </w:pPr>
      <w:rPr>
        <w:rFonts w:cs="Times New Roman"/>
      </w:rPr>
    </w:lvl>
    <w:lvl w:ilvl="4" w:tplc="04090019">
      <w:start w:val="1"/>
      <w:numFmt w:val="lowerLetter"/>
      <w:lvlText w:val="%5."/>
      <w:lvlJc w:val="left"/>
      <w:pPr>
        <w:tabs>
          <w:tab w:val="num" w:pos="3240"/>
        </w:tabs>
        <w:ind w:left="3240" w:hanging="360"/>
      </w:pPr>
      <w:rPr>
        <w:rFonts w:cs="Times New Roman"/>
      </w:rPr>
    </w:lvl>
    <w:lvl w:ilvl="5" w:tplc="0409001B">
      <w:start w:val="1"/>
      <w:numFmt w:val="lowerRoman"/>
      <w:lvlText w:val="%6."/>
      <w:lvlJc w:val="right"/>
      <w:pPr>
        <w:tabs>
          <w:tab w:val="num" w:pos="3960"/>
        </w:tabs>
        <w:ind w:left="3960" w:hanging="180"/>
      </w:pPr>
      <w:rPr>
        <w:rFonts w:cs="Times New Roman"/>
      </w:rPr>
    </w:lvl>
    <w:lvl w:ilvl="6" w:tplc="0409000F">
      <w:start w:val="1"/>
      <w:numFmt w:val="decimal"/>
      <w:lvlText w:val="%7."/>
      <w:lvlJc w:val="left"/>
      <w:pPr>
        <w:tabs>
          <w:tab w:val="num" w:pos="4680"/>
        </w:tabs>
        <w:ind w:left="4680" w:hanging="360"/>
      </w:pPr>
      <w:rPr>
        <w:rFonts w:cs="Times New Roman"/>
      </w:rPr>
    </w:lvl>
    <w:lvl w:ilvl="7" w:tplc="04090019">
      <w:start w:val="1"/>
      <w:numFmt w:val="lowerLetter"/>
      <w:lvlText w:val="%8."/>
      <w:lvlJc w:val="left"/>
      <w:pPr>
        <w:tabs>
          <w:tab w:val="num" w:pos="5400"/>
        </w:tabs>
        <w:ind w:left="5400" w:hanging="360"/>
      </w:pPr>
      <w:rPr>
        <w:rFonts w:cs="Times New Roman"/>
      </w:rPr>
    </w:lvl>
    <w:lvl w:ilvl="8" w:tplc="0409001B">
      <w:start w:val="1"/>
      <w:numFmt w:val="lowerRoman"/>
      <w:lvlText w:val="%9."/>
      <w:lvlJc w:val="right"/>
      <w:pPr>
        <w:tabs>
          <w:tab w:val="num" w:pos="6120"/>
        </w:tabs>
        <w:ind w:left="6120" w:hanging="180"/>
      </w:pPr>
      <w:rPr>
        <w:rFonts w:cs="Times New Roman"/>
      </w:rPr>
    </w:lvl>
  </w:abstractNum>
  <w:abstractNum w:abstractNumId="15">
    <w:nsid w:val="142F7B26"/>
    <w:multiLevelType w:val="hybridMultilevel"/>
    <w:tmpl w:val="78A860BE"/>
    <w:lvl w:ilvl="0" w:tplc="C026038C">
      <w:numFmt w:val="bullet"/>
      <w:lvlText w:val="-"/>
      <w:lvlJc w:val="left"/>
      <w:pPr>
        <w:tabs>
          <w:tab w:val="num" w:pos="360"/>
        </w:tabs>
        <w:ind w:left="360" w:hanging="360"/>
      </w:pPr>
      <w:rPr>
        <w:rFonts w:ascii="Times" w:eastAsia="Times New Roman" w:hAnsi="Times" w:hint="default"/>
      </w:rPr>
    </w:lvl>
    <w:lvl w:ilvl="1" w:tplc="04090003">
      <w:start w:val="1"/>
      <w:numFmt w:val="bullet"/>
      <w:lvlText w:val="o"/>
      <w:lvlJc w:val="left"/>
      <w:pPr>
        <w:tabs>
          <w:tab w:val="num" w:pos="0"/>
        </w:tabs>
        <w:ind w:hanging="360"/>
      </w:pPr>
      <w:rPr>
        <w:rFonts w:ascii="Courier New" w:hAnsi="Courier New" w:hint="default"/>
      </w:rPr>
    </w:lvl>
    <w:lvl w:ilvl="2" w:tplc="04090005">
      <w:start w:val="1"/>
      <w:numFmt w:val="bullet"/>
      <w:lvlText w:val=""/>
      <w:lvlJc w:val="left"/>
      <w:pPr>
        <w:tabs>
          <w:tab w:val="num" w:pos="720"/>
        </w:tabs>
        <w:ind w:left="720" w:hanging="360"/>
      </w:pPr>
      <w:rPr>
        <w:rFonts w:ascii="Wingdings" w:hAnsi="Wingdings" w:hint="default"/>
      </w:rPr>
    </w:lvl>
    <w:lvl w:ilvl="3" w:tplc="04090001">
      <w:start w:val="1"/>
      <w:numFmt w:val="bullet"/>
      <w:lvlText w:val=""/>
      <w:lvlJc w:val="left"/>
      <w:pPr>
        <w:tabs>
          <w:tab w:val="num" w:pos="1440"/>
        </w:tabs>
        <w:ind w:left="1440" w:hanging="360"/>
      </w:pPr>
      <w:rPr>
        <w:rFonts w:ascii="Symbol" w:hAnsi="Symbol" w:hint="default"/>
      </w:rPr>
    </w:lvl>
    <w:lvl w:ilvl="4" w:tplc="04090003">
      <w:start w:val="1"/>
      <w:numFmt w:val="bullet"/>
      <w:lvlText w:val="o"/>
      <w:lvlJc w:val="left"/>
      <w:pPr>
        <w:tabs>
          <w:tab w:val="num" w:pos="2160"/>
        </w:tabs>
        <w:ind w:left="2160" w:hanging="360"/>
      </w:pPr>
      <w:rPr>
        <w:rFonts w:ascii="Courier New" w:hAnsi="Courier New" w:hint="default"/>
      </w:rPr>
    </w:lvl>
    <w:lvl w:ilvl="5" w:tplc="04090005">
      <w:start w:val="1"/>
      <w:numFmt w:val="bullet"/>
      <w:lvlText w:val=""/>
      <w:lvlJc w:val="left"/>
      <w:pPr>
        <w:tabs>
          <w:tab w:val="num" w:pos="2880"/>
        </w:tabs>
        <w:ind w:left="2880" w:hanging="360"/>
      </w:pPr>
      <w:rPr>
        <w:rFonts w:ascii="Wingdings" w:hAnsi="Wingdings" w:hint="default"/>
      </w:rPr>
    </w:lvl>
    <w:lvl w:ilvl="6" w:tplc="04090001">
      <w:start w:val="1"/>
      <w:numFmt w:val="bullet"/>
      <w:lvlText w:val=""/>
      <w:lvlJc w:val="left"/>
      <w:pPr>
        <w:tabs>
          <w:tab w:val="num" w:pos="3600"/>
        </w:tabs>
        <w:ind w:left="3600" w:hanging="360"/>
      </w:pPr>
      <w:rPr>
        <w:rFonts w:ascii="Symbol" w:hAnsi="Symbol" w:hint="default"/>
      </w:rPr>
    </w:lvl>
    <w:lvl w:ilvl="7" w:tplc="04090003">
      <w:start w:val="1"/>
      <w:numFmt w:val="bullet"/>
      <w:lvlText w:val="o"/>
      <w:lvlJc w:val="left"/>
      <w:pPr>
        <w:tabs>
          <w:tab w:val="num" w:pos="4320"/>
        </w:tabs>
        <w:ind w:left="4320" w:hanging="360"/>
      </w:pPr>
      <w:rPr>
        <w:rFonts w:ascii="Courier New" w:hAnsi="Courier New" w:hint="default"/>
      </w:rPr>
    </w:lvl>
    <w:lvl w:ilvl="8" w:tplc="04090005">
      <w:start w:val="1"/>
      <w:numFmt w:val="bullet"/>
      <w:lvlText w:val=""/>
      <w:lvlJc w:val="left"/>
      <w:pPr>
        <w:tabs>
          <w:tab w:val="num" w:pos="5040"/>
        </w:tabs>
        <w:ind w:left="5040" w:hanging="360"/>
      </w:pPr>
      <w:rPr>
        <w:rFonts w:ascii="Wingdings" w:hAnsi="Wingdings" w:hint="default"/>
      </w:rPr>
    </w:lvl>
  </w:abstractNum>
  <w:abstractNum w:abstractNumId="16">
    <w:nsid w:val="17BB0B54"/>
    <w:multiLevelType w:val="hybridMultilevel"/>
    <w:tmpl w:val="89EA7E16"/>
    <w:lvl w:ilvl="0" w:tplc="7F66EDB0">
      <w:start w:val="1"/>
      <w:numFmt w:val="bullet"/>
      <w:lvlText w:val=""/>
      <w:lvlJc w:val="left"/>
      <w:pPr>
        <w:tabs>
          <w:tab w:val="num" w:pos="720"/>
        </w:tabs>
        <w:ind w:left="720" w:hanging="720"/>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17E85CD3"/>
    <w:multiLevelType w:val="hybridMultilevel"/>
    <w:tmpl w:val="CC902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1D063654"/>
    <w:multiLevelType w:val="hybridMultilevel"/>
    <w:tmpl w:val="096CE250"/>
    <w:lvl w:ilvl="0" w:tplc="B7D04A76">
      <w:numFmt w:val="bullet"/>
      <w:lvlText w:val="-"/>
      <w:lvlJc w:val="left"/>
      <w:pPr>
        <w:ind w:left="720" w:hanging="360"/>
      </w:pPr>
      <w:rPr>
        <w:rFonts w:ascii="Times" w:eastAsia="Times New Roman" w:hAnsi="Times" w:cs="Time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1D921CA9"/>
    <w:multiLevelType w:val="hybridMultilevel"/>
    <w:tmpl w:val="FD66B65C"/>
    <w:lvl w:ilvl="0" w:tplc="02500174">
      <w:numFmt w:val="bullet"/>
      <w:lvlText w:val="-"/>
      <w:lvlJc w:val="left"/>
      <w:pPr>
        <w:tabs>
          <w:tab w:val="num" w:pos="1140"/>
        </w:tabs>
        <w:ind w:left="1140" w:hanging="360"/>
      </w:pPr>
      <w:rPr>
        <w:rFonts w:ascii="Times" w:eastAsia="Times New Roman" w:hAnsi="Times" w:hint="default"/>
      </w:rPr>
    </w:lvl>
    <w:lvl w:ilvl="1" w:tplc="04090003" w:tentative="1">
      <w:start w:val="1"/>
      <w:numFmt w:val="bullet"/>
      <w:lvlText w:val="o"/>
      <w:lvlJc w:val="left"/>
      <w:pPr>
        <w:tabs>
          <w:tab w:val="num" w:pos="1860"/>
        </w:tabs>
        <w:ind w:left="1860" w:hanging="360"/>
      </w:pPr>
      <w:rPr>
        <w:rFonts w:ascii="Courier New" w:hAnsi="Courier New" w:hint="default"/>
      </w:rPr>
    </w:lvl>
    <w:lvl w:ilvl="2" w:tplc="04090005" w:tentative="1">
      <w:start w:val="1"/>
      <w:numFmt w:val="bullet"/>
      <w:lvlText w:val=""/>
      <w:lvlJc w:val="left"/>
      <w:pPr>
        <w:tabs>
          <w:tab w:val="num" w:pos="2580"/>
        </w:tabs>
        <w:ind w:left="2580" w:hanging="360"/>
      </w:pPr>
      <w:rPr>
        <w:rFonts w:ascii="Wingdings" w:hAnsi="Wingdings" w:hint="default"/>
      </w:rPr>
    </w:lvl>
    <w:lvl w:ilvl="3" w:tplc="04090001" w:tentative="1">
      <w:start w:val="1"/>
      <w:numFmt w:val="bullet"/>
      <w:lvlText w:val=""/>
      <w:lvlJc w:val="left"/>
      <w:pPr>
        <w:tabs>
          <w:tab w:val="num" w:pos="3300"/>
        </w:tabs>
        <w:ind w:left="3300" w:hanging="360"/>
      </w:pPr>
      <w:rPr>
        <w:rFonts w:ascii="Symbol" w:hAnsi="Symbol" w:hint="default"/>
      </w:rPr>
    </w:lvl>
    <w:lvl w:ilvl="4" w:tplc="04090003" w:tentative="1">
      <w:start w:val="1"/>
      <w:numFmt w:val="bullet"/>
      <w:lvlText w:val="o"/>
      <w:lvlJc w:val="left"/>
      <w:pPr>
        <w:tabs>
          <w:tab w:val="num" w:pos="4020"/>
        </w:tabs>
        <w:ind w:left="4020" w:hanging="360"/>
      </w:pPr>
      <w:rPr>
        <w:rFonts w:ascii="Courier New" w:hAnsi="Courier New" w:hint="default"/>
      </w:rPr>
    </w:lvl>
    <w:lvl w:ilvl="5" w:tplc="04090005" w:tentative="1">
      <w:start w:val="1"/>
      <w:numFmt w:val="bullet"/>
      <w:lvlText w:val=""/>
      <w:lvlJc w:val="left"/>
      <w:pPr>
        <w:tabs>
          <w:tab w:val="num" w:pos="4740"/>
        </w:tabs>
        <w:ind w:left="4740" w:hanging="360"/>
      </w:pPr>
      <w:rPr>
        <w:rFonts w:ascii="Wingdings" w:hAnsi="Wingdings" w:hint="default"/>
      </w:rPr>
    </w:lvl>
    <w:lvl w:ilvl="6" w:tplc="04090001" w:tentative="1">
      <w:start w:val="1"/>
      <w:numFmt w:val="bullet"/>
      <w:lvlText w:val=""/>
      <w:lvlJc w:val="left"/>
      <w:pPr>
        <w:tabs>
          <w:tab w:val="num" w:pos="5460"/>
        </w:tabs>
        <w:ind w:left="5460" w:hanging="360"/>
      </w:pPr>
      <w:rPr>
        <w:rFonts w:ascii="Symbol" w:hAnsi="Symbol" w:hint="default"/>
      </w:rPr>
    </w:lvl>
    <w:lvl w:ilvl="7" w:tplc="04090003" w:tentative="1">
      <w:start w:val="1"/>
      <w:numFmt w:val="bullet"/>
      <w:lvlText w:val="o"/>
      <w:lvlJc w:val="left"/>
      <w:pPr>
        <w:tabs>
          <w:tab w:val="num" w:pos="6180"/>
        </w:tabs>
        <w:ind w:left="6180" w:hanging="360"/>
      </w:pPr>
      <w:rPr>
        <w:rFonts w:ascii="Courier New" w:hAnsi="Courier New" w:hint="default"/>
      </w:rPr>
    </w:lvl>
    <w:lvl w:ilvl="8" w:tplc="04090005" w:tentative="1">
      <w:start w:val="1"/>
      <w:numFmt w:val="bullet"/>
      <w:lvlText w:val=""/>
      <w:lvlJc w:val="left"/>
      <w:pPr>
        <w:tabs>
          <w:tab w:val="num" w:pos="6900"/>
        </w:tabs>
        <w:ind w:left="6900" w:hanging="360"/>
      </w:pPr>
      <w:rPr>
        <w:rFonts w:ascii="Wingdings" w:hAnsi="Wingdings" w:hint="default"/>
      </w:rPr>
    </w:lvl>
  </w:abstractNum>
  <w:abstractNum w:abstractNumId="20">
    <w:nsid w:val="1DA57056"/>
    <w:multiLevelType w:val="hybridMultilevel"/>
    <w:tmpl w:val="E9921F4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1">
    <w:nsid w:val="1E6965AC"/>
    <w:multiLevelType w:val="hybridMultilevel"/>
    <w:tmpl w:val="8EE0BB00"/>
    <w:lvl w:ilvl="0" w:tplc="59B6FEAC">
      <w:start w:val="1"/>
      <w:numFmt w:val="bullet"/>
      <w:lvlText w:val=""/>
      <w:lvlJc w:val="left"/>
      <w:pPr>
        <w:tabs>
          <w:tab w:val="num" w:pos="720"/>
        </w:tabs>
        <w:ind w:left="720" w:hanging="360"/>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1EA42D41"/>
    <w:multiLevelType w:val="hybridMultilevel"/>
    <w:tmpl w:val="B6D0E9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220C6F93"/>
    <w:multiLevelType w:val="hybridMultilevel"/>
    <w:tmpl w:val="6EA0799E"/>
    <w:lvl w:ilvl="0" w:tplc="3E98D344">
      <w:start w:val="1"/>
      <w:numFmt w:val="bullet"/>
      <w:lvlText w:val="•"/>
      <w:lvlJc w:val="left"/>
      <w:pPr>
        <w:tabs>
          <w:tab w:val="num" w:pos="720"/>
        </w:tabs>
        <w:ind w:left="720" w:hanging="360"/>
      </w:pPr>
      <w:rPr>
        <w:rFonts w:ascii="Arial" w:hAnsi="Arial" w:hint="default"/>
      </w:rPr>
    </w:lvl>
    <w:lvl w:ilvl="1" w:tplc="64B04DA2" w:tentative="1">
      <w:start w:val="1"/>
      <w:numFmt w:val="bullet"/>
      <w:lvlText w:val="•"/>
      <w:lvlJc w:val="left"/>
      <w:pPr>
        <w:tabs>
          <w:tab w:val="num" w:pos="1440"/>
        </w:tabs>
        <w:ind w:left="1440" w:hanging="360"/>
      </w:pPr>
      <w:rPr>
        <w:rFonts w:ascii="Arial" w:hAnsi="Arial" w:hint="default"/>
      </w:rPr>
    </w:lvl>
    <w:lvl w:ilvl="2" w:tplc="BF18A34A" w:tentative="1">
      <w:start w:val="1"/>
      <w:numFmt w:val="bullet"/>
      <w:lvlText w:val="•"/>
      <w:lvlJc w:val="left"/>
      <w:pPr>
        <w:tabs>
          <w:tab w:val="num" w:pos="2160"/>
        </w:tabs>
        <w:ind w:left="2160" w:hanging="360"/>
      </w:pPr>
      <w:rPr>
        <w:rFonts w:ascii="Arial" w:hAnsi="Arial" w:hint="default"/>
      </w:rPr>
    </w:lvl>
    <w:lvl w:ilvl="3" w:tplc="F0B26430" w:tentative="1">
      <w:start w:val="1"/>
      <w:numFmt w:val="bullet"/>
      <w:lvlText w:val="•"/>
      <w:lvlJc w:val="left"/>
      <w:pPr>
        <w:tabs>
          <w:tab w:val="num" w:pos="2880"/>
        </w:tabs>
        <w:ind w:left="2880" w:hanging="360"/>
      </w:pPr>
      <w:rPr>
        <w:rFonts w:ascii="Arial" w:hAnsi="Arial" w:hint="default"/>
      </w:rPr>
    </w:lvl>
    <w:lvl w:ilvl="4" w:tplc="DCA092CC" w:tentative="1">
      <w:start w:val="1"/>
      <w:numFmt w:val="bullet"/>
      <w:lvlText w:val="•"/>
      <w:lvlJc w:val="left"/>
      <w:pPr>
        <w:tabs>
          <w:tab w:val="num" w:pos="3600"/>
        </w:tabs>
        <w:ind w:left="3600" w:hanging="360"/>
      </w:pPr>
      <w:rPr>
        <w:rFonts w:ascii="Arial" w:hAnsi="Arial" w:hint="default"/>
      </w:rPr>
    </w:lvl>
    <w:lvl w:ilvl="5" w:tplc="13D421E6" w:tentative="1">
      <w:start w:val="1"/>
      <w:numFmt w:val="bullet"/>
      <w:lvlText w:val="•"/>
      <w:lvlJc w:val="left"/>
      <w:pPr>
        <w:tabs>
          <w:tab w:val="num" w:pos="4320"/>
        </w:tabs>
        <w:ind w:left="4320" w:hanging="360"/>
      </w:pPr>
      <w:rPr>
        <w:rFonts w:ascii="Arial" w:hAnsi="Arial" w:hint="default"/>
      </w:rPr>
    </w:lvl>
    <w:lvl w:ilvl="6" w:tplc="D4567F1C" w:tentative="1">
      <w:start w:val="1"/>
      <w:numFmt w:val="bullet"/>
      <w:lvlText w:val="•"/>
      <w:lvlJc w:val="left"/>
      <w:pPr>
        <w:tabs>
          <w:tab w:val="num" w:pos="5040"/>
        </w:tabs>
        <w:ind w:left="5040" w:hanging="360"/>
      </w:pPr>
      <w:rPr>
        <w:rFonts w:ascii="Arial" w:hAnsi="Arial" w:hint="default"/>
      </w:rPr>
    </w:lvl>
    <w:lvl w:ilvl="7" w:tplc="D65632EE" w:tentative="1">
      <w:start w:val="1"/>
      <w:numFmt w:val="bullet"/>
      <w:lvlText w:val="•"/>
      <w:lvlJc w:val="left"/>
      <w:pPr>
        <w:tabs>
          <w:tab w:val="num" w:pos="5760"/>
        </w:tabs>
        <w:ind w:left="5760" w:hanging="360"/>
      </w:pPr>
      <w:rPr>
        <w:rFonts w:ascii="Arial" w:hAnsi="Arial" w:hint="default"/>
      </w:rPr>
    </w:lvl>
    <w:lvl w:ilvl="8" w:tplc="3F76FE12" w:tentative="1">
      <w:start w:val="1"/>
      <w:numFmt w:val="bullet"/>
      <w:lvlText w:val="•"/>
      <w:lvlJc w:val="left"/>
      <w:pPr>
        <w:tabs>
          <w:tab w:val="num" w:pos="6480"/>
        </w:tabs>
        <w:ind w:left="6480" w:hanging="360"/>
      </w:pPr>
      <w:rPr>
        <w:rFonts w:ascii="Arial" w:hAnsi="Arial" w:hint="default"/>
      </w:rPr>
    </w:lvl>
  </w:abstractNum>
  <w:abstractNum w:abstractNumId="24">
    <w:nsid w:val="247E254C"/>
    <w:multiLevelType w:val="hybridMultilevel"/>
    <w:tmpl w:val="25AEDDE0"/>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5">
    <w:nsid w:val="26A363B0"/>
    <w:multiLevelType w:val="hybridMultilevel"/>
    <w:tmpl w:val="33A6B47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nsid w:val="298C0887"/>
    <w:multiLevelType w:val="hybridMultilevel"/>
    <w:tmpl w:val="F46EE136"/>
    <w:lvl w:ilvl="0" w:tplc="F83CA0C0">
      <w:start w:val="9"/>
      <w:numFmt w:val="decimal"/>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7">
    <w:nsid w:val="2B841891"/>
    <w:multiLevelType w:val="multilevel"/>
    <w:tmpl w:val="E4FC1BB6"/>
    <w:lvl w:ilvl="0">
      <w:start w:val="1"/>
      <w:numFmt w:val="bullet"/>
      <w:lvlText w:val=""/>
      <w:lvlJc w:val="left"/>
      <w:pPr>
        <w:ind w:left="2160" w:hanging="360"/>
      </w:pPr>
      <w:rPr>
        <w:rFonts w:ascii="Symbol" w:hAnsi="Symbol" w:hint="default"/>
        <w:sz w:val="24"/>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nsid w:val="2E053002"/>
    <w:multiLevelType w:val="hybridMultilevel"/>
    <w:tmpl w:val="16669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2E8E49DB"/>
    <w:multiLevelType w:val="hybridMultilevel"/>
    <w:tmpl w:val="4B9AAD62"/>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30">
    <w:nsid w:val="2EC912A7"/>
    <w:multiLevelType w:val="hybridMultilevel"/>
    <w:tmpl w:val="4D5899DE"/>
    <w:lvl w:ilvl="0" w:tplc="04090001">
      <w:start w:val="1"/>
      <w:numFmt w:val="bullet"/>
      <w:lvlText w:val=""/>
      <w:lvlJc w:val="left"/>
      <w:pPr>
        <w:ind w:left="720" w:hanging="360"/>
      </w:pPr>
      <w:rPr>
        <w:rFonts w:ascii="Symbol" w:hAnsi="Symbol" w:hint="default"/>
      </w:rPr>
    </w:lvl>
    <w:lvl w:ilvl="1" w:tplc="85963AD8">
      <w:start w:val="1"/>
      <w:numFmt w:val="decimal"/>
      <w:lvlText w:val="%2."/>
      <w:lvlJc w:val="left"/>
      <w:pPr>
        <w:ind w:left="1530" w:hanging="360"/>
      </w:pPr>
      <w:rPr>
        <w:rFonts w:cs="Times New Roman" w:hint="default"/>
        <w:i w:val="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31C339ED"/>
    <w:multiLevelType w:val="hybridMultilevel"/>
    <w:tmpl w:val="9C9A60E6"/>
    <w:lvl w:ilvl="0" w:tplc="A9C45952">
      <w:start w:val="1"/>
      <w:numFmt w:val="bullet"/>
      <w:lvlText w:val=""/>
      <w:lvlJc w:val="left"/>
      <w:pPr>
        <w:tabs>
          <w:tab w:val="num" w:pos="720"/>
        </w:tabs>
        <w:ind w:left="720" w:hanging="720"/>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nsid w:val="324C3966"/>
    <w:multiLevelType w:val="hybridMultilevel"/>
    <w:tmpl w:val="7C22BE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327B63EE"/>
    <w:multiLevelType w:val="hybridMultilevel"/>
    <w:tmpl w:val="F41EC538"/>
    <w:lvl w:ilvl="0" w:tplc="0C72D9C4">
      <w:numFmt w:val="bullet"/>
      <w:lvlText w:val="-"/>
      <w:lvlJc w:val="left"/>
      <w:pPr>
        <w:tabs>
          <w:tab w:val="num" w:pos="1800"/>
        </w:tabs>
        <w:ind w:left="1800" w:hanging="360"/>
      </w:pPr>
      <w:rPr>
        <w:rFonts w:ascii="Times" w:eastAsia="Times New Roman" w:hAnsi="Times" w:hint="default"/>
      </w:rPr>
    </w:lvl>
    <w:lvl w:ilvl="1" w:tplc="04090003">
      <w:start w:val="1"/>
      <w:numFmt w:val="bullet"/>
      <w:lvlText w:val="o"/>
      <w:lvlJc w:val="left"/>
      <w:pPr>
        <w:tabs>
          <w:tab w:val="num" w:pos="2520"/>
        </w:tabs>
        <w:ind w:left="2520" w:hanging="360"/>
      </w:pPr>
      <w:rPr>
        <w:rFonts w:ascii="Courier New" w:hAnsi="Courier New" w:hint="default"/>
      </w:rPr>
    </w:lvl>
    <w:lvl w:ilvl="2" w:tplc="04090005">
      <w:start w:val="1"/>
      <w:numFmt w:val="bullet"/>
      <w:lvlText w:val=""/>
      <w:lvlJc w:val="left"/>
      <w:pPr>
        <w:tabs>
          <w:tab w:val="num" w:pos="3240"/>
        </w:tabs>
        <w:ind w:left="3240" w:hanging="360"/>
      </w:pPr>
      <w:rPr>
        <w:rFonts w:ascii="Wingdings" w:hAnsi="Wingdings" w:hint="default"/>
      </w:rPr>
    </w:lvl>
    <w:lvl w:ilvl="3" w:tplc="04090001">
      <w:start w:val="1"/>
      <w:numFmt w:val="bullet"/>
      <w:lvlText w:val=""/>
      <w:lvlJc w:val="left"/>
      <w:pPr>
        <w:tabs>
          <w:tab w:val="num" w:pos="3960"/>
        </w:tabs>
        <w:ind w:left="3960" w:hanging="360"/>
      </w:pPr>
      <w:rPr>
        <w:rFonts w:ascii="Symbol" w:hAnsi="Symbol" w:hint="default"/>
      </w:rPr>
    </w:lvl>
    <w:lvl w:ilvl="4" w:tplc="04090003">
      <w:start w:val="1"/>
      <w:numFmt w:val="bullet"/>
      <w:lvlText w:val="o"/>
      <w:lvlJc w:val="left"/>
      <w:pPr>
        <w:tabs>
          <w:tab w:val="num" w:pos="4680"/>
        </w:tabs>
        <w:ind w:left="4680" w:hanging="360"/>
      </w:pPr>
      <w:rPr>
        <w:rFonts w:ascii="Courier New" w:hAnsi="Courier New" w:hint="default"/>
      </w:rPr>
    </w:lvl>
    <w:lvl w:ilvl="5" w:tplc="04090005">
      <w:start w:val="1"/>
      <w:numFmt w:val="bullet"/>
      <w:lvlText w:val=""/>
      <w:lvlJc w:val="left"/>
      <w:pPr>
        <w:tabs>
          <w:tab w:val="num" w:pos="5400"/>
        </w:tabs>
        <w:ind w:left="5400" w:hanging="360"/>
      </w:pPr>
      <w:rPr>
        <w:rFonts w:ascii="Wingdings" w:hAnsi="Wingdings" w:hint="default"/>
      </w:rPr>
    </w:lvl>
    <w:lvl w:ilvl="6" w:tplc="04090001">
      <w:start w:val="1"/>
      <w:numFmt w:val="bullet"/>
      <w:lvlText w:val=""/>
      <w:lvlJc w:val="left"/>
      <w:pPr>
        <w:tabs>
          <w:tab w:val="num" w:pos="6120"/>
        </w:tabs>
        <w:ind w:left="6120" w:hanging="360"/>
      </w:pPr>
      <w:rPr>
        <w:rFonts w:ascii="Symbol" w:hAnsi="Symbol" w:hint="default"/>
      </w:rPr>
    </w:lvl>
    <w:lvl w:ilvl="7" w:tplc="04090003">
      <w:start w:val="1"/>
      <w:numFmt w:val="bullet"/>
      <w:lvlText w:val="o"/>
      <w:lvlJc w:val="left"/>
      <w:pPr>
        <w:tabs>
          <w:tab w:val="num" w:pos="6840"/>
        </w:tabs>
        <w:ind w:left="6840" w:hanging="360"/>
      </w:pPr>
      <w:rPr>
        <w:rFonts w:ascii="Courier New" w:hAnsi="Courier New" w:hint="default"/>
      </w:rPr>
    </w:lvl>
    <w:lvl w:ilvl="8" w:tplc="04090005">
      <w:start w:val="1"/>
      <w:numFmt w:val="bullet"/>
      <w:lvlText w:val=""/>
      <w:lvlJc w:val="left"/>
      <w:pPr>
        <w:tabs>
          <w:tab w:val="num" w:pos="7560"/>
        </w:tabs>
        <w:ind w:left="7560" w:hanging="360"/>
      </w:pPr>
      <w:rPr>
        <w:rFonts w:ascii="Wingdings" w:hAnsi="Wingdings" w:hint="default"/>
      </w:rPr>
    </w:lvl>
  </w:abstractNum>
  <w:abstractNum w:abstractNumId="34">
    <w:nsid w:val="34D63161"/>
    <w:multiLevelType w:val="hybridMultilevel"/>
    <w:tmpl w:val="0EAC253A"/>
    <w:lvl w:ilvl="0" w:tplc="C026038C">
      <w:numFmt w:val="bullet"/>
      <w:lvlText w:val="-"/>
      <w:lvlJc w:val="left"/>
      <w:pPr>
        <w:tabs>
          <w:tab w:val="num" w:pos="5400"/>
        </w:tabs>
        <w:ind w:left="5400" w:hanging="360"/>
      </w:pPr>
      <w:rPr>
        <w:rFonts w:ascii="Times" w:eastAsia="Times New Roman" w:hAnsi="Times" w:hint="default"/>
      </w:rPr>
    </w:lvl>
    <w:lvl w:ilvl="1" w:tplc="04090003">
      <w:start w:val="1"/>
      <w:numFmt w:val="bullet"/>
      <w:lvlText w:val="o"/>
      <w:lvlJc w:val="left"/>
      <w:pPr>
        <w:tabs>
          <w:tab w:val="num" w:pos="5040"/>
        </w:tabs>
        <w:ind w:left="5040" w:hanging="360"/>
      </w:pPr>
      <w:rPr>
        <w:rFonts w:ascii="Courier New" w:hAnsi="Courier New" w:hint="default"/>
      </w:rPr>
    </w:lvl>
    <w:lvl w:ilvl="2" w:tplc="04090005">
      <w:start w:val="1"/>
      <w:numFmt w:val="bullet"/>
      <w:lvlText w:val=""/>
      <w:lvlJc w:val="left"/>
      <w:pPr>
        <w:tabs>
          <w:tab w:val="num" w:pos="5760"/>
        </w:tabs>
        <w:ind w:left="5760" w:hanging="360"/>
      </w:pPr>
      <w:rPr>
        <w:rFonts w:ascii="Wingdings" w:hAnsi="Wingdings" w:hint="default"/>
      </w:rPr>
    </w:lvl>
    <w:lvl w:ilvl="3" w:tplc="04090001">
      <w:start w:val="1"/>
      <w:numFmt w:val="bullet"/>
      <w:lvlText w:val=""/>
      <w:lvlJc w:val="left"/>
      <w:pPr>
        <w:tabs>
          <w:tab w:val="num" w:pos="6480"/>
        </w:tabs>
        <w:ind w:left="6480" w:hanging="360"/>
      </w:pPr>
      <w:rPr>
        <w:rFonts w:ascii="Symbol" w:hAnsi="Symbol" w:hint="default"/>
      </w:rPr>
    </w:lvl>
    <w:lvl w:ilvl="4" w:tplc="04090003">
      <w:start w:val="1"/>
      <w:numFmt w:val="bullet"/>
      <w:lvlText w:val="o"/>
      <w:lvlJc w:val="left"/>
      <w:pPr>
        <w:tabs>
          <w:tab w:val="num" w:pos="7200"/>
        </w:tabs>
        <w:ind w:left="7200" w:hanging="360"/>
      </w:pPr>
      <w:rPr>
        <w:rFonts w:ascii="Courier New" w:hAnsi="Courier New" w:hint="default"/>
      </w:rPr>
    </w:lvl>
    <w:lvl w:ilvl="5" w:tplc="04090005">
      <w:start w:val="1"/>
      <w:numFmt w:val="bullet"/>
      <w:lvlText w:val=""/>
      <w:lvlJc w:val="left"/>
      <w:pPr>
        <w:tabs>
          <w:tab w:val="num" w:pos="7920"/>
        </w:tabs>
        <w:ind w:left="7920" w:hanging="360"/>
      </w:pPr>
      <w:rPr>
        <w:rFonts w:ascii="Wingdings" w:hAnsi="Wingdings" w:hint="default"/>
      </w:rPr>
    </w:lvl>
    <w:lvl w:ilvl="6" w:tplc="04090001">
      <w:start w:val="1"/>
      <w:numFmt w:val="bullet"/>
      <w:lvlText w:val=""/>
      <w:lvlJc w:val="left"/>
      <w:pPr>
        <w:tabs>
          <w:tab w:val="num" w:pos="8640"/>
        </w:tabs>
        <w:ind w:left="8640" w:hanging="360"/>
      </w:pPr>
      <w:rPr>
        <w:rFonts w:ascii="Symbol" w:hAnsi="Symbol" w:hint="default"/>
      </w:rPr>
    </w:lvl>
    <w:lvl w:ilvl="7" w:tplc="04090003">
      <w:start w:val="1"/>
      <w:numFmt w:val="bullet"/>
      <w:lvlText w:val="o"/>
      <w:lvlJc w:val="left"/>
      <w:pPr>
        <w:tabs>
          <w:tab w:val="num" w:pos="9360"/>
        </w:tabs>
        <w:ind w:left="9360" w:hanging="360"/>
      </w:pPr>
      <w:rPr>
        <w:rFonts w:ascii="Courier New" w:hAnsi="Courier New" w:hint="default"/>
      </w:rPr>
    </w:lvl>
    <w:lvl w:ilvl="8" w:tplc="04090005">
      <w:start w:val="1"/>
      <w:numFmt w:val="bullet"/>
      <w:lvlText w:val=""/>
      <w:lvlJc w:val="left"/>
      <w:pPr>
        <w:tabs>
          <w:tab w:val="num" w:pos="10080"/>
        </w:tabs>
        <w:ind w:left="10080" w:hanging="360"/>
      </w:pPr>
      <w:rPr>
        <w:rFonts w:ascii="Wingdings" w:hAnsi="Wingdings" w:hint="default"/>
      </w:rPr>
    </w:lvl>
  </w:abstractNum>
  <w:abstractNum w:abstractNumId="35">
    <w:nsid w:val="35BB0AE8"/>
    <w:multiLevelType w:val="hybridMultilevel"/>
    <w:tmpl w:val="E4FC1BB6"/>
    <w:lvl w:ilvl="0" w:tplc="836C3BEC">
      <w:start w:val="1"/>
      <w:numFmt w:val="bullet"/>
      <w:lvlText w:val=""/>
      <w:lvlJc w:val="left"/>
      <w:pPr>
        <w:ind w:left="216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393B44DF"/>
    <w:multiLevelType w:val="hybridMultilevel"/>
    <w:tmpl w:val="D40EC97C"/>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37">
    <w:nsid w:val="3A866BF1"/>
    <w:multiLevelType w:val="hybridMultilevel"/>
    <w:tmpl w:val="BAFE541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nsid w:val="3CBE77A7"/>
    <w:multiLevelType w:val="hybridMultilevel"/>
    <w:tmpl w:val="B074D01A"/>
    <w:lvl w:ilvl="0" w:tplc="64CE87DE">
      <w:start w:val="1000"/>
      <w:numFmt w:val="bullet"/>
      <w:lvlText w:val=""/>
      <w:lvlJc w:val="left"/>
      <w:pPr>
        <w:ind w:left="720" w:hanging="360"/>
      </w:pPr>
      <w:rPr>
        <w:rFonts w:ascii="Wingdings" w:eastAsia="Times New Roman" w:hAnsi="Wingdings" w:cs="Time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3E976383"/>
    <w:multiLevelType w:val="hybridMultilevel"/>
    <w:tmpl w:val="DDC0B4DC"/>
    <w:lvl w:ilvl="0" w:tplc="C026038C">
      <w:numFmt w:val="bullet"/>
      <w:lvlText w:val="-"/>
      <w:lvlJc w:val="left"/>
      <w:pPr>
        <w:tabs>
          <w:tab w:val="num" w:pos="360"/>
        </w:tabs>
        <w:ind w:left="360" w:hanging="360"/>
      </w:pPr>
      <w:rPr>
        <w:rFonts w:ascii="Times" w:eastAsia="Times New Roman" w:hAnsi="Times" w:hint="default"/>
      </w:rPr>
    </w:lvl>
    <w:lvl w:ilvl="1" w:tplc="04090003">
      <w:start w:val="1"/>
      <w:numFmt w:val="bullet"/>
      <w:lvlText w:val="o"/>
      <w:lvlJc w:val="left"/>
      <w:pPr>
        <w:tabs>
          <w:tab w:val="num" w:pos="0"/>
        </w:tabs>
        <w:ind w:hanging="360"/>
      </w:pPr>
      <w:rPr>
        <w:rFonts w:ascii="Courier New" w:hAnsi="Courier New" w:hint="default"/>
      </w:rPr>
    </w:lvl>
    <w:lvl w:ilvl="2" w:tplc="04090005">
      <w:start w:val="1"/>
      <w:numFmt w:val="bullet"/>
      <w:lvlText w:val=""/>
      <w:lvlJc w:val="left"/>
      <w:pPr>
        <w:tabs>
          <w:tab w:val="num" w:pos="720"/>
        </w:tabs>
        <w:ind w:left="720" w:hanging="360"/>
      </w:pPr>
      <w:rPr>
        <w:rFonts w:ascii="Wingdings" w:hAnsi="Wingdings" w:hint="default"/>
      </w:rPr>
    </w:lvl>
    <w:lvl w:ilvl="3" w:tplc="04090001">
      <w:start w:val="1"/>
      <w:numFmt w:val="bullet"/>
      <w:lvlText w:val=""/>
      <w:lvlJc w:val="left"/>
      <w:pPr>
        <w:tabs>
          <w:tab w:val="num" w:pos="1440"/>
        </w:tabs>
        <w:ind w:left="1440" w:hanging="360"/>
      </w:pPr>
      <w:rPr>
        <w:rFonts w:ascii="Symbol" w:hAnsi="Symbol" w:hint="default"/>
      </w:rPr>
    </w:lvl>
    <w:lvl w:ilvl="4" w:tplc="04090003">
      <w:start w:val="1"/>
      <w:numFmt w:val="bullet"/>
      <w:lvlText w:val="o"/>
      <w:lvlJc w:val="left"/>
      <w:pPr>
        <w:tabs>
          <w:tab w:val="num" w:pos="2160"/>
        </w:tabs>
        <w:ind w:left="2160" w:hanging="360"/>
      </w:pPr>
      <w:rPr>
        <w:rFonts w:ascii="Courier New" w:hAnsi="Courier New" w:hint="default"/>
      </w:rPr>
    </w:lvl>
    <w:lvl w:ilvl="5" w:tplc="04090005">
      <w:start w:val="1"/>
      <w:numFmt w:val="bullet"/>
      <w:lvlText w:val=""/>
      <w:lvlJc w:val="left"/>
      <w:pPr>
        <w:tabs>
          <w:tab w:val="num" w:pos="2880"/>
        </w:tabs>
        <w:ind w:left="2880" w:hanging="360"/>
      </w:pPr>
      <w:rPr>
        <w:rFonts w:ascii="Wingdings" w:hAnsi="Wingdings" w:hint="default"/>
      </w:rPr>
    </w:lvl>
    <w:lvl w:ilvl="6" w:tplc="04090001">
      <w:start w:val="1"/>
      <w:numFmt w:val="bullet"/>
      <w:lvlText w:val=""/>
      <w:lvlJc w:val="left"/>
      <w:pPr>
        <w:tabs>
          <w:tab w:val="num" w:pos="3600"/>
        </w:tabs>
        <w:ind w:left="3600" w:hanging="360"/>
      </w:pPr>
      <w:rPr>
        <w:rFonts w:ascii="Symbol" w:hAnsi="Symbol" w:hint="default"/>
      </w:rPr>
    </w:lvl>
    <w:lvl w:ilvl="7" w:tplc="04090003">
      <w:start w:val="1"/>
      <w:numFmt w:val="bullet"/>
      <w:lvlText w:val="o"/>
      <w:lvlJc w:val="left"/>
      <w:pPr>
        <w:tabs>
          <w:tab w:val="num" w:pos="4320"/>
        </w:tabs>
        <w:ind w:left="4320" w:hanging="360"/>
      </w:pPr>
      <w:rPr>
        <w:rFonts w:ascii="Courier New" w:hAnsi="Courier New" w:hint="default"/>
      </w:rPr>
    </w:lvl>
    <w:lvl w:ilvl="8" w:tplc="04090005">
      <w:start w:val="1"/>
      <w:numFmt w:val="bullet"/>
      <w:lvlText w:val=""/>
      <w:lvlJc w:val="left"/>
      <w:pPr>
        <w:tabs>
          <w:tab w:val="num" w:pos="5040"/>
        </w:tabs>
        <w:ind w:left="5040" w:hanging="360"/>
      </w:pPr>
      <w:rPr>
        <w:rFonts w:ascii="Wingdings" w:hAnsi="Wingdings" w:hint="default"/>
      </w:rPr>
    </w:lvl>
  </w:abstractNum>
  <w:abstractNum w:abstractNumId="40">
    <w:nsid w:val="431A77FE"/>
    <w:multiLevelType w:val="hybridMultilevel"/>
    <w:tmpl w:val="60CCFC9A"/>
    <w:lvl w:ilvl="0" w:tplc="7F66EDB0">
      <w:start w:val="1"/>
      <w:numFmt w:val="bullet"/>
      <w:lvlText w:val=""/>
      <w:lvlJc w:val="left"/>
      <w:pPr>
        <w:tabs>
          <w:tab w:val="num" w:pos="720"/>
        </w:tabs>
        <w:ind w:left="720" w:hanging="720"/>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nsid w:val="463E7332"/>
    <w:multiLevelType w:val="hybridMultilevel"/>
    <w:tmpl w:val="16F8A016"/>
    <w:lvl w:ilvl="0" w:tplc="A9C45952">
      <w:start w:val="1"/>
      <w:numFmt w:val="bullet"/>
      <w:lvlText w:val=""/>
      <w:lvlJc w:val="left"/>
      <w:pPr>
        <w:tabs>
          <w:tab w:val="num" w:pos="780"/>
        </w:tabs>
        <w:ind w:left="780" w:hanging="720"/>
      </w:pPr>
      <w:rPr>
        <w:rFonts w:ascii="Symbol" w:hAnsi="Symbol" w:hint="default"/>
        <w:sz w:val="16"/>
      </w:rPr>
    </w:lvl>
    <w:lvl w:ilvl="1" w:tplc="04090003" w:tentative="1">
      <w:start w:val="1"/>
      <w:numFmt w:val="bullet"/>
      <w:lvlText w:val="o"/>
      <w:lvlJc w:val="left"/>
      <w:pPr>
        <w:tabs>
          <w:tab w:val="num" w:pos="1500"/>
        </w:tabs>
        <w:ind w:left="1500" w:hanging="360"/>
      </w:pPr>
      <w:rPr>
        <w:rFonts w:ascii="Courier New" w:hAnsi="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42">
    <w:nsid w:val="47CC1158"/>
    <w:multiLevelType w:val="singleLevel"/>
    <w:tmpl w:val="C310D09C"/>
    <w:lvl w:ilvl="0">
      <w:start w:val="3"/>
      <w:numFmt w:val="decimal"/>
      <w:lvlText w:val="%1"/>
      <w:legacy w:legacy="1" w:legacySpace="0" w:legacyIndent="360"/>
      <w:lvlJc w:val="left"/>
      <w:rPr>
        <w:rFonts w:ascii="Times" w:hAnsi="Times" w:cs="Wingdings" w:hint="default"/>
      </w:rPr>
    </w:lvl>
  </w:abstractNum>
  <w:abstractNum w:abstractNumId="43">
    <w:nsid w:val="4F94169D"/>
    <w:multiLevelType w:val="hybridMultilevel"/>
    <w:tmpl w:val="D12E712A"/>
    <w:lvl w:ilvl="0" w:tplc="7F66EDB0">
      <w:start w:val="1"/>
      <w:numFmt w:val="bullet"/>
      <w:lvlText w:val=""/>
      <w:lvlJc w:val="left"/>
      <w:pPr>
        <w:tabs>
          <w:tab w:val="num" w:pos="720"/>
        </w:tabs>
        <w:ind w:left="720" w:hanging="720"/>
      </w:pPr>
      <w:rPr>
        <w:rFonts w:ascii="Symbol" w:hAnsi="Symbol" w:hint="default"/>
        <w:sz w:val="16"/>
      </w:rPr>
    </w:lvl>
    <w:lvl w:ilvl="1" w:tplc="A2A042CE">
      <w:start w:val="7"/>
      <w:numFmt w:val="bullet"/>
      <w:lvlText w:val="-"/>
      <w:lvlJc w:val="left"/>
      <w:pPr>
        <w:tabs>
          <w:tab w:val="num" w:pos="1440"/>
        </w:tabs>
        <w:ind w:left="1440" w:hanging="360"/>
      </w:pPr>
      <w:rPr>
        <w:rFonts w:ascii="Times" w:eastAsia="Times New Roman" w:hAnsi="Times" w:hint="default"/>
        <w:sz w:val="16"/>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
    <w:nsid w:val="5202566B"/>
    <w:multiLevelType w:val="multilevel"/>
    <w:tmpl w:val="AD52BA5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5">
    <w:nsid w:val="580C1B6A"/>
    <w:multiLevelType w:val="hybridMultilevel"/>
    <w:tmpl w:val="C4547508"/>
    <w:lvl w:ilvl="0" w:tplc="5302E8B2">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nsid w:val="58B72A2F"/>
    <w:multiLevelType w:val="hybridMultilevel"/>
    <w:tmpl w:val="AD426CC2"/>
    <w:lvl w:ilvl="0" w:tplc="CFD47346">
      <w:numFmt w:val="bullet"/>
      <w:lvlText w:val="-"/>
      <w:lvlJc w:val="left"/>
      <w:pPr>
        <w:tabs>
          <w:tab w:val="num" w:pos="1800"/>
        </w:tabs>
        <w:ind w:left="1800" w:hanging="360"/>
      </w:pPr>
      <w:rPr>
        <w:rFonts w:ascii="Times" w:eastAsia="Times New Roman" w:hAnsi="Times" w:hint="default"/>
      </w:rPr>
    </w:lvl>
    <w:lvl w:ilvl="1" w:tplc="04090003">
      <w:start w:val="1"/>
      <w:numFmt w:val="bullet"/>
      <w:lvlText w:val="o"/>
      <w:lvlJc w:val="left"/>
      <w:pPr>
        <w:tabs>
          <w:tab w:val="num" w:pos="2520"/>
        </w:tabs>
        <w:ind w:left="2520" w:hanging="360"/>
      </w:pPr>
      <w:rPr>
        <w:rFonts w:ascii="Courier New" w:hAnsi="Courier New" w:hint="default"/>
      </w:rPr>
    </w:lvl>
    <w:lvl w:ilvl="2" w:tplc="04090005">
      <w:start w:val="1"/>
      <w:numFmt w:val="bullet"/>
      <w:lvlText w:val=""/>
      <w:lvlJc w:val="left"/>
      <w:pPr>
        <w:tabs>
          <w:tab w:val="num" w:pos="3240"/>
        </w:tabs>
        <w:ind w:left="3240" w:hanging="360"/>
      </w:pPr>
      <w:rPr>
        <w:rFonts w:ascii="Wingdings" w:hAnsi="Wingdings" w:hint="default"/>
      </w:rPr>
    </w:lvl>
    <w:lvl w:ilvl="3" w:tplc="04090001">
      <w:start w:val="1"/>
      <w:numFmt w:val="bullet"/>
      <w:lvlText w:val=""/>
      <w:lvlJc w:val="left"/>
      <w:pPr>
        <w:tabs>
          <w:tab w:val="num" w:pos="3960"/>
        </w:tabs>
        <w:ind w:left="3960" w:hanging="360"/>
      </w:pPr>
      <w:rPr>
        <w:rFonts w:ascii="Symbol" w:hAnsi="Symbol" w:hint="default"/>
      </w:rPr>
    </w:lvl>
    <w:lvl w:ilvl="4" w:tplc="04090003">
      <w:start w:val="1"/>
      <w:numFmt w:val="bullet"/>
      <w:lvlText w:val="o"/>
      <w:lvlJc w:val="left"/>
      <w:pPr>
        <w:tabs>
          <w:tab w:val="num" w:pos="4680"/>
        </w:tabs>
        <w:ind w:left="4680" w:hanging="360"/>
      </w:pPr>
      <w:rPr>
        <w:rFonts w:ascii="Courier New" w:hAnsi="Courier New" w:hint="default"/>
      </w:rPr>
    </w:lvl>
    <w:lvl w:ilvl="5" w:tplc="04090005">
      <w:start w:val="1"/>
      <w:numFmt w:val="bullet"/>
      <w:lvlText w:val=""/>
      <w:lvlJc w:val="left"/>
      <w:pPr>
        <w:tabs>
          <w:tab w:val="num" w:pos="5400"/>
        </w:tabs>
        <w:ind w:left="5400" w:hanging="360"/>
      </w:pPr>
      <w:rPr>
        <w:rFonts w:ascii="Wingdings" w:hAnsi="Wingdings" w:hint="default"/>
      </w:rPr>
    </w:lvl>
    <w:lvl w:ilvl="6" w:tplc="04090001">
      <w:start w:val="1"/>
      <w:numFmt w:val="bullet"/>
      <w:lvlText w:val=""/>
      <w:lvlJc w:val="left"/>
      <w:pPr>
        <w:tabs>
          <w:tab w:val="num" w:pos="6120"/>
        </w:tabs>
        <w:ind w:left="6120" w:hanging="360"/>
      </w:pPr>
      <w:rPr>
        <w:rFonts w:ascii="Symbol" w:hAnsi="Symbol" w:hint="default"/>
      </w:rPr>
    </w:lvl>
    <w:lvl w:ilvl="7" w:tplc="04090003">
      <w:start w:val="1"/>
      <w:numFmt w:val="bullet"/>
      <w:lvlText w:val="o"/>
      <w:lvlJc w:val="left"/>
      <w:pPr>
        <w:tabs>
          <w:tab w:val="num" w:pos="6840"/>
        </w:tabs>
        <w:ind w:left="6840" w:hanging="360"/>
      </w:pPr>
      <w:rPr>
        <w:rFonts w:ascii="Courier New" w:hAnsi="Courier New" w:hint="default"/>
      </w:rPr>
    </w:lvl>
    <w:lvl w:ilvl="8" w:tplc="04090005">
      <w:start w:val="1"/>
      <w:numFmt w:val="bullet"/>
      <w:lvlText w:val=""/>
      <w:lvlJc w:val="left"/>
      <w:pPr>
        <w:tabs>
          <w:tab w:val="num" w:pos="7560"/>
        </w:tabs>
        <w:ind w:left="7560" w:hanging="360"/>
      </w:pPr>
      <w:rPr>
        <w:rFonts w:ascii="Wingdings" w:hAnsi="Wingdings" w:hint="default"/>
      </w:rPr>
    </w:lvl>
  </w:abstractNum>
  <w:abstractNum w:abstractNumId="47">
    <w:nsid w:val="58FE5780"/>
    <w:multiLevelType w:val="hybridMultilevel"/>
    <w:tmpl w:val="BB0C3076"/>
    <w:lvl w:ilvl="0" w:tplc="6F3E0E7A">
      <w:start w:val="4"/>
      <w:numFmt w:val="decimal"/>
      <w:lvlText w:val="%1."/>
      <w:lvlJc w:val="left"/>
      <w:pPr>
        <w:tabs>
          <w:tab w:val="num" w:pos="1080"/>
        </w:tabs>
        <w:ind w:left="1080" w:hanging="72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48">
    <w:nsid w:val="592C34FC"/>
    <w:multiLevelType w:val="hybridMultilevel"/>
    <w:tmpl w:val="14C649BE"/>
    <w:lvl w:ilvl="0" w:tplc="4BF4600C">
      <w:start w:val="1"/>
      <w:numFmt w:val="decimal"/>
      <w:lvlText w:val="%1."/>
      <w:lvlJc w:val="left"/>
      <w:pPr>
        <w:ind w:left="360" w:hanging="360"/>
      </w:pPr>
      <w:rPr>
        <w:rFonts w:ascii="Times New Roman" w:hAnsi="Times New Roman" w:cs="Times New Roman" w:hint="default"/>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nsid w:val="5B7974F2"/>
    <w:multiLevelType w:val="hybridMultilevel"/>
    <w:tmpl w:val="1B8413C4"/>
    <w:lvl w:ilvl="0" w:tplc="33B290EC">
      <w:start w:val="24"/>
      <w:numFmt w:val="bullet"/>
      <w:lvlText w:val=""/>
      <w:lvlJc w:val="left"/>
      <w:pPr>
        <w:ind w:left="720" w:hanging="360"/>
      </w:pPr>
      <w:rPr>
        <w:rFonts w:ascii="Wingdings" w:eastAsia="Times New Roman" w:hAnsi="Wingdings" w:cs="Time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nsid w:val="5C097ECE"/>
    <w:multiLevelType w:val="hybridMultilevel"/>
    <w:tmpl w:val="CCC2CB42"/>
    <w:lvl w:ilvl="0" w:tplc="A2A042CE">
      <w:start w:val="7"/>
      <w:numFmt w:val="bullet"/>
      <w:lvlText w:val="-"/>
      <w:lvlJc w:val="left"/>
      <w:pPr>
        <w:tabs>
          <w:tab w:val="num" w:pos="1080"/>
        </w:tabs>
        <w:ind w:left="1080" w:hanging="360"/>
      </w:pPr>
      <w:rPr>
        <w:rFonts w:ascii="Times" w:eastAsia="Times New Roman" w:hAnsi="Time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1">
    <w:nsid w:val="5E0D5021"/>
    <w:multiLevelType w:val="hybridMultilevel"/>
    <w:tmpl w:val="AAF4EE48"/>
    <w:lvl w:ilvl="0" w:tplc="65F61C10">
      <w:start w:val="1"/>
      <w:numFmt w:val="bullet"/>
      <w:lvlText w:val=""/>
      <w:lvlJc w:val="left"/>
      <w:pPr>
        <w:tabs>
          <w:tab w:val="num" w:pos="360"/>
        </w:tabs>
        <w:ind w:left="360" w:hanging="360"/>
      </w:pPr>
      <w:rPr>
        <w:rFonts w:ascii="Symbol" w:hAnsi="Symbol" w:hint="default"/>
        <w:sz w:val="16"/>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52">
    <w:nsid w:val="600604D4"/>
    <w:multiLevelType w:val="hybridMultilevel"/>
    <w:tmpl w:val="CC06A660"/>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53">
    <w:nsid w:val="61000800"/>
    <w:multiLevelType w:val="hybridMultilevel"/>
    <w:tmpl w:val="290C29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nsid w:val="614A2C63"/>
    <w:multiLevelType w:val="hybridMultilevel"/>
    <w:tmpl w:val="A3CA2A82"/>
    <w:lvl w:ilvl="0" w:tplc="199AB1BA">
      <w:start w:val="2000"/>
      <w:numFmt w:val="bullet"/>
      <w:lvlText w:val=""/>
      <w:lvlJc w:val="left"/>
      <w:pPr>
        <w:ind w:left="720" w:hanging="360"/>
      </w:pPr>
      <w:rPr>
        <w:rFonts w:ascii="Wingdings" w:eastAsia="Times New Roman" w:hAnsi="Wingdings" w:cs="Time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nsid w:val="61D03228"/>
    <w:multiLevelType w:val="hybridMultilevel"/>
    <w:tmpl w:val="AD52BA5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6">
    <w:nsid w:val="65CF73DB"/>
    <w:multiLevelType w:val="hybridMultilevel"/>
    <w:tmpl w:val="282CA73C"/>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7">
    <w:nsid w:val="69750B47"/>
    <w:multiLevelType w:val="hybridMultilevel"/>
    <w:tmpl w:val="86DE6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nsid w:val="6A146002"/>
    <w:multiLevelType w:val="hybridMultilevel"/>
    <w:tmpl w:val="F31ACA28"/>
    <w:lvl w:ilvl="0" w:tplc="C026038C">
      <w:numFmt w:val="bullet"/>
      <w:lvlText w:val="-"/>
      <w:lvlJc w:val="left"/>
      <w:pPr>
        <w:tabs>
          <w:tab w:val="num" w:pos="360"/>
        </w:tabs>
        <w:ind w:left="360" w:hanging="360"/>
      </w:pPr>
      <w:rPr>
        <w:rFonts w:ascii="Times" w:eastAsia="Times New Roman" w:hAnsi="Times" w:hint="default"/>
      </w:rPr>
    </w:lvl>
    <w:lvl w:ilvl="1" w:tplc="04090003">
      <w:start w:val="1"/>
      <w:numFmt w:val="bullet"/>
      <w:lvlText w:val="o"/>
      <w:lvlJc w:val="left"/>
      <w:pPr>
        <w:tabs>
          <w:tab w:val="num" w:pos="0"/>
        </w:tabs>
        <w:ind w:hanging="360"/>
      </w:pPr>
      <w:rPr>
        <w:rFonts w:ascii="Courier New" w:hAnsi="Courier New" w:hint="default"/>
      </w:rPr>
    </w:lvl>
    <w:lvl w:ilvl="2" w:tplc="04090005">
      <w:start w:val="1"/>
      <w:numFmt w:val="bullet"/>
      <w:lvlText w:val=""/>
      <w:lvlJc w:val="left"/>
      <w:pPr>
        <w:tabs>
          <w:tab w:val="num" w:pos="720"/>
        </w:tabs>
        <w:ind w:left="720" w:hanging="360"/>
      </w:pPr>
      <w:rPr>
        <w:rFonts w:ascii="Wingdings" w:hAnsi="Wingdings" w:hint="default"/>
      </w:rPr>
    </w:lvl>
    <w:lvl w:ilvl="3" w:tplc="04090001">
      <w:start w:val="1"/>
      <w:numFmt w:val="bullet"/>
      <w:lvlText w:val=""/>
      <w:lvlJc w:val="left"/>
      <w:pPr>
        <w:tabs>
          <w:tab w:val="num" w:pos="1440"/>
        </w:tabs>
        <w:ind w:left="1440" w:hanging="360"/>
      </w:pPr>
      <w:rPr>
        <w:rFonts w:ascii="Symbol" w:hAnsi="Symbol" w:hint="default"/>
      </w:rPr>
    </w:lvl>
    <w:lvl w:ilvl="4" w:tplc="04090003">
      <w:start w:val="1"/>
      <w:numFmt w:val="bullet"/>
      <w:lvlText w:val="o"/>
      <w:lvlJc w:val="left"/>
      <w:pPr>
        <w:tabs>
          <w:tab w:val="num" w:pos="2160"/>
        </w:tabs>
        <w:ind w:left="2160" w:hanging="360"/>
      </w:pPr>
      <w:rPr>
        <w:rFonts w:ascii="Courier New" w:hAnsi="Courier New" w:hint="default"/>
      </w:rPr>
    </w:lvl>
    <w:lvl w:ilvl="5" w:tplc="04090005">
      <w:start w:val="1"/>
      <w:numFmt w:val="bullet"/>
      <w:lvlText w:val=""/>
      <w:lvlJc w:val="left"/>
      <w:pPr>
        <w:tabs>
          <w:tab w:val="num" w:pos="2880"/>
        </w:tabs>
        <w:ind w:left="2880" w:hanging="360"/>
      </w:pPr>
      <w:rPr>
        <w:rFonts w:ascii="Wingdings" w:hAnsi="Wingdings" w:hint="default"/>
      </w:rPr>
    </w:lvl>
    <w:lvl w:ilvl="6" w:tplc="04090001">
      <w:start w:val="1"/>
      <w:numFmt w:val="bullet"/>
      <w:lvlText w:val=""/>
      <w:lvlJc w:val="left"/>
      <w:pPr>
        <w:tabs>
          <w:tab w:val="num" w:pos="3600"/>
        </w:tabs>
        <w:ind w:left="3600" w:hanging="360"/>
      </w:pPr>
      <w:rPr>
        <w:rFonts w:ascii="Symbol" w:hAnsi="Symbol" w:hint="default"/>
      </w:rPr>
    </w:lvl>
    <w:lvl w:ilvl="7" w:tplc="04090003">
      <w:start w:val="1"/>
      <w:numFmt w:val="bullet"/>
      <w:lvlText w:val="o"/>
      <w:lvlJc w:val="left"/>
      <w:pPr>
        <w:tabs>
          <w:tab w:val="num" w:pos="4320"/>
        </w:tabs>
        <w:ind w:left="4320" w:hanging="360"/>
      </w:pPr>
      <w:rPr>
        <w:rFonts w:ascii="Courier New" w:hAnsi="Courier New" w:hint="default"/>
      </w:rPr>
    </w:lvl>
    <w:lvl w:ilvl="8" w:tplc="04090005">
      <w:start w:val="1"/>
      <w:numFmt w:val="bullet"/>
      <w:lvlText w:val=""/>
      <w:lvlJc w:val="left"/>
      <w:pPr>
        <w:tabs>
          <w:tab w:val="num" w:pos="5040"/>
        </w:tabs>
        <w:ind w:left="5040" w:hanging="360"/>
      </w:pPr>
      <w:rPr>
        <w:rFonts w:ascii="Wingdings" w:hAnsi="Wingdings" w:hint="default"/>
      </w:rPr>
    </w:lvl>
  </w:abstractNum>
  <w:abstractNum w:abstractNumId="59">
    <w:nsid w:val="6E6A26C9"/>
    <w:multiLevelType w:val="hybridMultilevel"/>
    <w:tmpl w:val="2F0E7C4C"/>
    <w:lvl w:ilvl="0" w:tplc="C026038C">
      <w:numFmt w:val="bullet"/>
      <w:lvlText w:val="-"/>
      <w:lvlJc w:val="left"/>
      <w:pPr>
        <w:tabs>
          <w:tab w:val="num" w:pos="1800"/>
        </w:tabs>
        <w:ind w:left="1800" w:hanging="360"/>
      </w:pPr>
      <w:rPr>
        <w:rFonts w:ascii="Times" w:eastAsia="Times New Roman" w:hAnsi="Time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0">
    <w:nsid w:val="6FB11A8A"/>
    <w:multiLevelType w:val="hybridMultilevel"/>
    <w:tmpl w:val="BAA4C4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nsid w:val="6FBE2464"/>
    <w:multiLevelType w:val="multilevel"/>
    <w:tmpl w:val="CCC2CB42"/>
    <w:lvl w:ilvl="0">
      <w:start w:val="7"/>
      <w:numFmt w:val="bullet"/>
      <w:lvlText w:val="-"/>
      <w:lvlJc w:val="left"/>
      <w:pPr>
        <w:tabs>
          <w:tab w:val="num" w:pos="1080"/>
        </w:tabs>
        <w:ind w:left="1080" w:hanging="360"/>
      </w:pPr>
      <w:rPr>
        <w:rFonts w:ascii="Times" w:eastAsia="Times New Roman" w:hAnsi="Times"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2">
    <w:nsid w:val="70070559"/>
    <w:multiLevelType w:val="hybridMultilevel"/>
    <w:tmpl w:val="6A06E6D2"/>
    <w:lvl w:ilvl="0" w:tplc="F83CA0C0">
      <w:start w:val="2"/>
      <w:numFmt w:val="decimal"/>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63">
    <w:nsid w:val="70651F42"/>
    <w:multiLevelType w:val="hybridMultilevel"/>
    <w:tmpl w:val="D18439F8"/>
    <w:lvl w:ilvl="0" w:tplc="4A4A6216">
      <w:start w:val="1"/>
      <w:numFmt w:val="bullet"/>
      <w:lvlText w:val=""/>
      <w:lvlJc w:val="left"/>
      <w:pPr>
        <w:ind w:left="2160" w:hanging="360"/>
      </w:pPr>
      <w:rPr>
        <w:rFonts w:ascii="Wingdings" w:hAnsi="Wingdings" w:hint="default"/>
        <w:sz w:val="28"/>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nsid w:val="71EC3E0A"/>
    <w:multiLevelType w:val="hybridMultilevel"/>
    <w:tmpl w:val="C79E8212"/>
    <w:lvl w:ilvl="0" w:tplc="D0A4DE82">
      <w:start w:val="4"/>
      <w:numFmt w:val="bullet"/>
      <w:lvlText w:val="-"/>
      <w:lvlJc w:val="left"/>
      <w:pPr>
        <w:tabs>
          <w:tab w:val="num" w:pos="1140"/>
        </w:tabs>
        <w:ind w:left="1140" w:hanging="360"/>
      </w:pPr>
      <w:rPr>
        <w:rFonts w:ascii="Times New Roman" w:eastAsia="Times New Roman" w:hAnsi="Times New Roman" w:hint="default"/>
      </w:rPr>
    </w:lvl>
    <w:lvl w:ilvl="1" w:tplc="04090003" w:tentative="1">
      <w:start w:val="1"/>
      <w:numFmt w:val="bullet"/>
      <w:lvlText w:val="o"/>
      <w:lvlJc w:val="left"/>
      <w:pPr>
        <w:tabs>
          <w:tab w:val="num" w:pos="1860"/>
        </w:tabs>
        <w:ind w:left="1860" w:hanging="360"/>
      </w:pPr>
      <w:rPr>
        <w:rFonts w:ascii="Courier New" w:hAnsi="Courier New" w:hint="default"/>
      </w:rPr>
    </w:lvl>
    <w:lvl w:ilvl="2" w:tplc="04090005" w:tentative="1">
      <w:start w:val="1"/>
      <w:numFmt w:val="bullet"/>
      <w:lvlText w:val=""/>
      <w:lvlJc w:val="left"/>
      <w:pPr>
        <w:tabs>
          <w:tab w:val="num" w:pos="2580"/>
        </w:tabs>
        <w:ind w:left="2580" w:hanging="360"/>
      </w:pPr>
      <w:rPr>
        <w:rFonts w:ascii="Wingdings" w:hAnsi="Wingdings" w:hint="default"/>
      </w:rPr>
    </w:lvl>
    <w:lvl w:ilvl="3" w:tplc="04090001" w:tentative="1">
      <w:start w:val="1"/>
      <w:numFmt w:val="bullet"/>
      <w:lvlText w:val=""/>
      <w:lvlJc w:val="left"/>
      <w:pPr>
        <w:tabs>
          <w:tab w:val="num" w:pos="3300"/>
        </w:tabs>
        <w:ind w:left="3300" w:hanging="360"/>
      </w:pPr>
      <w:rPr>
        <w:rFonts w:ascii="Symbol" w:hAnsi="Symbol" w:hint="default"/>
      </w:rPr>
    </w:lvl>
    <w:lvl w:ilvl="4" w:tplc="04090003" w:tentative="1">
      <w:start w:val="1"/>
      <w:numFmt w:val="bullet"/>
      <w:lvlText w:val="o"/>
      <w:lvlJc w:val="left"/>
      <w:pPr>
        <w:tabs>
          <w:tab w:val="num" w:pos="4020"/>
        </w:tabs>
        <w:ind w:left="4020" w:hanging="360"/>
      </w:pPr>
      <w:rPr>
        <w:rFonts w:ascii="Courier New" w:hAnsi="Courier New" w:hint="default"/>
      </w:rPr>
    </w:lvl>
    <w:lvl w:ilvl="5" w:tplc="04090005" w:tentative="1">
      <w:start w:val="1"/>
      <w:numFmt w:val="bullet"/>
      <w:lvlText w:val=""/>
      <w:lvlJc w:val="left"/>
      <w:pPr>
        <w:tabs>
          <w:tab w:val="num" w:pos="4740"/>
        </w:tabs>
        <w:ind w:left="4740" w:hanging="360"/>
      </w:pPr>
      <w:rPr>
        <w:rFonts w:ascii="Wingdings" w:hAnsi="Wingdings" w:hint="default"/>
      </w:rPr>
    </w:lvl>
    <w:lvl w:ilvl="6" w:tplc="04090001" w:tentative="1">
      <w:start w:val="1"/>
      <w:numFmt w:val="bullet"/>
      <w:lvlText w:val=""/>
      <w:lvlJc w:val="left"/>
      <w:pPr>
        <w:tabs>
          <w:tab w:val="num" w:pos="5460"/>
        </w:tabs>
        <w:ind w:left="5460" w:hanging="360"/>
      </w:pPr>
      <w:rPr>
        <w:rFonts w:ascii="Symbol" w:hAnsi="Symbol" w:hint="default"/>
      </w:rPr>
    </w:lvl>
    <w:lvl w:ilvl="7" w:tplc="04090003" w:tentative="1">
      <w:start w:val="1"/>
      <w:numFmt w:val="bullet"/>
      <w:lvlText w:val="o"/>
      <w:lvlJc w:val="left"/>
      <w:pPr>
        <w:tabs>
          <w:tab w:val="num" w:pos="6180"/>
        </w:tabs>
        <w:ind w:left="6180" w:hanging="360"/>
      </w:pPr>
      <w:rPr>
        <w:rFonts w:ascii="Courier New" w:hAnsi="Courier New" w:hint="default"/>
      </w:rPr>
    </w:lvl>
    <w:lvl w:ilvl="8" w:tplc="04090005" w:tentative="1">
      <w:start w:val="1"/>
      <w:numFmt w:val="bullet"/>
      <w:lvlText w:val=""/>
      <w:lvlJc w:val="left"/>
      <w:pPr>
        <w:tabs>
          <w:tab w:val="num" w:pos="6900"/>
        </w:tabs>
        <w:ind w:left="6900" w:hanging="360"/>
      </w:pPr>
      <w:rPr>
        <w:rFonts w:ascii="Wingdings" w:hAnsi="Wingdings" w:hint="default"/>
      </w:rPr>
    </w:lvl>
  </w:abstractNum>
  <w:abstractNum w:abstractNumId="65">
    <w:nsid w:val="729F06A5"/>
    <w:multiLevelType w:val="hybridMultilevel"/>
    <w:tmpl w:val="32EE60D0"/>
    <w:lvl w:ilvl="0" w:tplc="C026038C">
      <w:numFmt w:val="bullet"/>
      <w:lvlText w:val="-"/>
      <w:lvlJc w:val="left"/>
      <w:pPr>
        <w:tabs>
          <w:tab w:val="num" w:pos="1800"/>
        </w:tabs>
        <w:ind w:left="1800" w:hanging="360"/>
      </w:pPr>
      <w:rPr>
        <w:rFonts w:ascii="Times" w:eastAsia="Times New Roman" w:hAnsi="Time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6">
    <w:nsid w:val="751F7A86"/>
    <w:multiLevelType w:val="hybridMultilevel"/>
    <w:tmpl w:val="83C6B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nsid w:val="75A471C2"/>
    <w:multiLevelType w:val="hybridMultilevel"/>
    <w:tmpl w:val="E7B0F044"/>
    <w:lvl w:ilvl="0" w:tplc="1996E27A">
      <w:start w:val="1000"/>
      <w:numFmt w:val="bullet"/>
      <w:lvlText w:val=""/>
      <w:lvlJc w:val="left"/>
      <w:pPr>
        <w:ind w:left="720" w:hanging="360"/>
      </w:pPr>
      <w:rPr>
        <w:rFonts w:ascii="Wingdings" w:eastAsia="Times New Roman" w:hAnsi="Wingdings" w:cs="Time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nsid w:val="793F2B35"/>
    <w:multiLevelType w:val="hybridMultilevel"/>
    <w:tmpl w:val="700E2CFA"/>
    <w:lvl w:ilvl="0" w:tplc="B1F6CB9A">
      <w:start w:val="2000"/>
      <w:numFmt w:val="bullet"/>
      <w:lvlText w:val=""/>
      <w:lvlJc w:val="left"/>
      <w:pPr>
        <w:ind w:left="720" w:hanging="360"/>
      </w:pPr>
      <w:rPr>
        <w:rFonts w:ascii="Wingdings" w:eastAsia="Times New Roman" w:hAnsi="Wingdings" w:cs="Time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nsid w:val="7C9F33F7"/>
    <w:multiLevelType w:val="hybridMultilevel"/>
    <w:tmpl w:val="8D8E0A64"/>
    <w:lvl w:ilvl="0" w:tplc="A9C45952">
      <w:start w:val="1"/>
      <w:numFmt w:val="bullet"/>
      <w:lvlText w:val=""/>
      <w:lvlJc w:val="left"/>
      <w:pPr>
        <w:tabs>
          <w:tab w:val="num" w:pos="720"/>
        </w:tabs>
        <w:ind w:left="720" w:hanging="720"/>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0">
    <w:nsid w:val="7FFB1DBE"/>
    <w:multiLevelType w:val="hybridMultilevel"/>
    <w:tmpl w:val="4BC4F8E8"/>
    <w:lvl w:ilvl="0" w:tplc="C026038C">
      <w:numFmt w:val="bullet"/>
      <w:lvlText w:val="-"/>
      <w:lvlJc w:val="left"/>
      <w:pPr>
        <w:tabs>
          <w:tab w:val="num" w:pos="1800"/>
        </w:tabs>
        <w:ind w:left="1800" w:hanging="360"/>
      </w:pPr>
      <w:rPr>
        <w:rFonts w:ascii="Times" w:eastAsia="Times New Roman" w:hAnsi="Times" w:hint="default"/>
      </w:rPr>
    </w:lvl>
    <w:lvl w:ilvl="1" w:tplc="04090003">
      <w:start w:val="1"/>
      <w:numFmt w:val="bullet"/>
      <w:lvlText w:val="o"/>
      <w:lvlJc w:val="left"/>
      <w:pPr>
        <w:tabs>
          <w:tab w:val="num" w:pos="2520"/>
        </w:tabs>
        <w:ind w:left="2520" w:hanging="360"/>
      </w:pPr>
      <w:rPr>
        <w:rFonts w:ascii="Courier New" w:hAnsi="Courier New" w:hint="default"/>
      </w:rPr>
    </w:lvl>
    <w:lvl w:ilvl="2" w:tplc="04090005">
      <w:start w:val="1"/>
      <w:numFmt w:val="bullet"/>
      <w:lvlText w:val=""/>
      <w:lvlJc w:val="left"/>
      <w:pPr>
        <w:tabs>
          <w:tab w:val="num" w:pos="3240"/>
        </w:tabs>
        <w:ind w:left="3240" w:hanging="360"/>
      </w:pPr>
      <w:rPr>
        <w:rFonts w:ascii="Wingdings" w:hAnsi="Wingdings" w:hint="default"/>
      </w:rPr>
    </w:lvl>
    <w:lvl w:ilvl="3" w:tplc="04090001">
      <w:start w:val="1"/>
      <w:numFmt w:val="bullet"/>
      <w:lvlText w:val=""/>
      <w:lvlJc w:val="left"/>
      <w:pPr>
        <w:tabs>
          <w:tab w:val="num" w:pos="3960"/>
        </w:tabs>
        <w:ind w:left="3960" w:hanging="360"/>
      </w:pPr>
      <w:rPr>
        <w:rFonts w:ascii="Symbol" w:hAnsi="Symbol" w:hint="default"/>
      </w:rPr>
    </w:lvl>
    <w:lvl w:ilvl="4" w:tplc="04090003">
      <w:start w:val="1"/>
      <w:numFmt w:val="bullet"/>
      <w:lvlText w:val="o"/>
      <w:lvlJc w:val="left"/>
      <w:pPr>
        <w:tabs>
          <w:tab w:val="num" w:pos="4680"/>
        </w:tabs>
        <w:ind w:left="4680" w:hanging="360"/>
      </w:pPr>
      <w:rPr>
        <w:rFonts w:ascii="Courier New" w:hAnsi="Courier New" w:hint="default"/>
      </w:rPr>
    </w:lvl>
    <w:lvl w:ilvl="5" w:tplc="04090005">
      <w:start w:val="1"/>
      <w:numFmt w:val="bullet"/>
      <w:lvlText w:val=""/>
      <w:lvlJc w:val="left"/>
      <w:pPr>
        <w:tabs>
          <w:tab w:val="num" w:pos="5400"/>
        </w:tabs>
        <w:ind w:left="5400" w:hanging="360"/>
      </w:pPr>
      <w:rPr>
        <w:rFonts w:ascii="Wingdings" w:hAnsi="Wingdings" w:hint="default"/>
      </w:rPr>
    </w:lvl>
    <w:lvl w:ilvl="6" w:tplc="04090001">
      <w:start w:val="1"/>
      <w:numFmt w:val="bullet"/>
      <w:lvlText w:val=""/>
      <w:lvlJc w:val="left"/>
      <w:pPr>
        <w:tabs>
          <w:tab w:val="num" w:pos="6120"/>
        </w:tabs>
        <w:ind w:left="6120" w:hanging="360"/>
      </w:pPr>
      <w:rPr>
        <w:rFonts w:ascii="Symbol" w:hAnsi="Symbol" w:hint="default"/>
      </w:rPr>
    </w:lvl>
    <w:lvl w:ilvl="7" w:tplc="04090003">
      <w:start w:val="1"/>
      <w:numFmt w:val="bullet"/>
      <w:lvlText w:val="o"/>
      <w:lvlJc w:val="left"/>
      <w:pPr>
        <w:tabs>
          <w:tab w:val="num" w:pos="6840"/>
        </w:tabs>
        <w:ind w:left="6840" w:hanging="360"/>
      </w:pPr>
      <w:rPr>
        <w:rFonts w:ascii="Courier New" w:hAnsi="Courier New" w:hint="default"/>
      </w:rPr>
    </w:lvl>
    <w:lvl w:ilvl="8" w:tplc="04090005">
      <w:start w:val="1"/>
      <w:numFmt w:val="bullet"/>
      <w:lvlText w:val=""/>
      <w:lvlJc w:val="left"/>
      <w:pPr>
        <w:tabs>
          <w:tab w:val="num" w:pos="7560"/>
        </w:tabs>
        <w:ind w:left="7560" w:hanging="360"/>
      </w:pPr>
      <w:rPr>
        <w:rFonts w:ascii="Wingdings" w:hAnsi="Wingdings" w:hint="default"/>
      </w:rPr>
    </w:lvl>
  </w:abstractNum>
  <w:num w:numId="1">
    <w:abstractNumId w:val="1"/>
    <w:lvlOverride w:ilvl="0">
      <w:lvl w:ilvl="0">
        <w:numFmt w:val="bullet"/>
        <w:lvlText w:val=""/>
        <w:legacy w:legacy="1" w:legacySpace="0" w:legacyIndent="0"/>
        <w:lvlJc w:val="left"/>
        <w:rPr>
          <w:rFonts w:ascii="Symbol" w:hAnsi="Symbol" w:hint="default"/>
        </w:rPr>
      </w:lvl>
    </w:lvlOverride>
  </w:num>
  <w:num w:numId="2">
    <w:abstractNumId w:val="42"/>
  </w:num>
  <w:num w:numId="3">
    <w:abstractNumId w:val="36"/>
  </w:num>
  <w:num w:numId="4">
    <w:abstractNumId w:val="8"/>
  </w:num>
  <w:num w:numId="5">
    <w:abstractNumId w:val="13"/>
  </w:num>
  <w:num w:numId="6">
    <w:abstractNumId w:val="33"/>
  </w:num>
  <w:num w:numId="7">
    <w:abstractNumId w:val="46"/>
  </w:num>
  <w:num w:numId="8">
    <w:abstractNumId w:val="70"/>
  </w:num>
  <w:num w:numId="9">
    <w:abstractNumId w:val="39"/>
  </w:num>
  <w:num w:numId="10">
    <w:abstractNumId w:val="59"/>
  </w:num>
  <w:num w:numId="11">
    <w:abstractNumId w:val="4"/>
  </w:num>
  <w:num w:numId="12">
    <w:abstractNumId w:val="5"/>
  </w:num>
  <w:num w:numId="13">
    <w:abstractNumId w:val="14"/>
  </w:num>
  <w:num w:numId="14">
    <w:abstractNumId w:val="15"/>
  </w:num>
  <w:num w:numId="15">
    <w:abstractNumId w:val="58"/>
  </w:num>
  <w:num w:numId="16">
    <w:abstractNumId w:val="65"/>
  </w:num>
  <w:num w:numId="17">
    <w:abstractNumId w:val="34"/>
  </w:num>
  <w:num w:numId="18">
    <w:abstractNumId w:val="24"/>
  </w:num>
  <w:num w:numId="19">
    <w:abstractNumId w:val="29"/>
  </w:num>
  <w:num w:numId="20">
    <w:abstractNumId w:val="10"/>
  </w:num>
  <w:num w:numId="21">
    <w:abstractNumId w:val="52"/>
  </w:num>
  <w:num w:numId="22">
    <w:abstractNumId w:val="11"/>
  </w:num>
  <w:num w:numId="23">
    <w:abstractNumId w:val="51"/>
  </w:num>
  <w:num w:numId="24">
    <w:abstractNumId w:val="47"/>
  </w:num>
  <w:num w:numId="25">
    <w:abstractNumId w:val="37"/>
  </w:num>
  <w:num w:numId="26">
    <w:abstractNumId w:val="55"/>
  </w:num>
  <w:num w:numId="27">
    <w:abstractNumId w:val="44"/>
  </w:num>
  <w:num w:numId="28">
    <w:abstractNumId w:val="21"/>
  </w:num>
  <w:num w:numId="29">
    <w:abstractNumId w:val="69"/>
  </w:num>
  <w:num w:numId="30">
    <w:abstractNumId w:val="31"/>
  </w:num>
  <w:num w:numId="31">
    <w:abstractNumId w:val="41"/>
  </w:num>
  <w:num w:numId="32">
    <w:abstractNumId w:val="43"/>
  </w:num>
  <w:num w:numId="33">
    <w:abstractNumId w:val="2"/>
  </w:num>
  <w:num w:numId="34">
    <w:abstractNumId w:val="50"/>
  </w:num>
  <w:num w:numId="35">
    <w:abstractNumId w:val="61"/>
  </w:num>
  <w:num w:numId="36">
    <w:abstractNumId w:val="40"/>
  </w:num>
  <w:num w:numId="37">
    <w:abstractNumId w:val="16"/>
  </w:num>
  <w:num w:numId="38">
    <w:abstractNumId w:val="19"/>
  </w:num>
  <w:num w:numId="39">
    <w:abstractNumId w:val="9"/>
  </w:num>
  <w:num w:numId="40">
    <w:abstractNumId w:val="26"/>
  </w:num>
  <w:num w:numId="41">
    <w:abstractNumId w:val="62"/>
  </w:num>
  <w:num w:numId="42">
    <w:abstractNumId w:val="25"/>
  </w:num>
  <w:num w:numId="43">
    <w:abstractNumId w:val="64"/>
  </w:num>
  <w:num w:numId="44">
    <w:abstractNumId w:val="63"/>
  </w:num>
  <w:num w:numId="45">
    <w:abstractNumId w:val="35"/>
  </w:num>
  <w:num w:numId="46">
    <w:abstractNumId w:val="27"/>
  </w:num>
  <w:num w:numId="47">
    <w:abstractNumId w:val="20"/>
  </w:num>
  <w:num w:numId="48">
    <w:abstractNumId w:val="30"/>
  </w:num>
  <w:num w:numId="49">
    <w:abstractNumId w:val="56"/>
  </w:num>
  <w:num w:numId="50">
    <w:abstractNumId w:val="0"/>
  </w:num>
  <w:num w:numId="51">
    <w:abstractNumId w:val="48"/>
  </w:num>
  <w:num w:numId="52">
    <w:abstractNumId w:val="7"/>
  </w:num>
  <w:num w:numId="53">
    <w:abstractNumId w:val="60"/>
  </w:num>
  <w:num w:numId="54">
    <w:abstractNumId w:val="17"/>
  </w:num>
  <w:num w:numId="55">
    <w:abstractNumId w:val="28"/>
  </w:num>
  <w:num w:numId="56">
    <w:abstractNumId w:val="57"/>
  </w:num>
  <w:num w:numId="57">
    <w:abstractNumId w:val="66"/>
  </w:num>
  <w:num w:numId="58">
    <w:abstractNumId w:val="3"/>
  </w:num>
  <w:num w:numId="59">
    <w:abstractNumId w:val="23"/>
  </w:num>
  <w:num w:numId="60">
    <w:abstractNumId w:val="68"/>
  </w:num>
  <w:num w:numId="61">
    <w:abstractNumId w:val="54"/>
  </w:num>
  <w:num w:numId="62">
    <w:abstractNumId w:val="38"/>
  </w:num>
  <w:num w:numId="63">
    <w:abstractNumId w:val="67"/>
  </w:num>
  <w:num w:numId="64">
    <w:abstractNumId w:val="49"/>
  </w:num>
  <w:num w:numId="65">
    <w:abstractNumId w:val="12"/>
  </w:num>
  <w:num w:numId="66">
    <w:abstractNumId w:val="53"/>
  </w:num>
  <w:num w:numId="67">
    <w:abstractNumId w:val="22"/>
  </w:num>
  <w:num w:numId="68">
    <w:abstractNumId w:val="45"/>
  </w:num>
  <w:num w:numId="69">
    <w:abstractNumId w:val="18"/>
  </w:num>
  <w:num w:numId="70">
    <w:abstractNumId w:val="32"/>
  </w:num>
  <w:num w:numId="71">
    <w:abstractNumId w:val="6"/>
  </w:num>
  <w:numIdMacAtCleanup w:val="64"/>
</w:numbering>
</file>

<file path=word/people.xml><?xml version="1.0" encoding="utf-8"?>
<w15:people xmlns:w14="http://schemas.microsoft.com/office/word/2010/wordml" xmlns:r="http://schemas.openxmlformats.org/officeDocument/2006/relationships" xmlns:a="http://schemas.openxmlformats.org/drawingml/2006/main" xmlns:a14="http://schemas.microsoft.com/office/drawing/2010/main" xmlns:w="http://schemas.openxmlformats.org/wordprocessingml/2006/main" xmlns:m="http://schemas.openxmlformats.org/officeDocument/2006/math" xmlns:wp="http://schemas.openxmlformats.org/drawingml/2006/wordprocessingDrawing"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15:person w15:author="Judith Tomat">
    <w15:presenceInfo w15:providerId="Windows Live" w15:userId="7dc4d47d6a61fb6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NotDisplayPageBoundaries/>
  <w:embedSystemFonts/>
  <w:bordersDoNotSurroundHeader/>
  <w:bordersDoNotSurroundFooter/>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45035B"/>
    <w:rsid w:val="00000572"/>
    <w:rsid w:val="00002B9D"/>
    <w:rsid w:val="00003A6B"/>
    <w:rsid w:val="00004007"/>
    <w:rsid w:val="00005674"/>
    <w:rsid w:val="00021E93"/>
    <w:rsid w:val="0002592C"/>
    <w:rsid w:val="00033E30"/>
    <w:rsid w:val="00042648"/>
    <w:rsid w:val="00043AED"/>
    <w:rsid w:val="00044EF2"/>
    <w:rsid w:val="00045E00"/>
    <w:rsid w:val="00050544"/>
    <w:rsid w:val="000562FA"/>
    <w:rsid w:val="000603FE"/>
    <w:rsid w:val="000622C1"/>
    <w:rsid w:val="000641D3"/>
    <w:rsid w:val="00067C13"/>
    <w:rsid w:val="00075D7C"/>
    <w:rsid w:val="00080361"/>
    <w:rsid w:val="00080BAE"/>
    <w:rsid w:val="00091022"/>
    <w:rsid w:val="00095118"/>
    <w:rsid w:val="00096BCC"/>
    <w:rsid w:val="00097EF8"/>
    <w:rsid w:val="000A60DF"/>
    <w:rsid w:val="000A7C11"/>
    <w:rsid w:val="000B00B7"/>
    <w:rsid w:val="000B3275"/>
    <w:rsid w:val="000B3735"/>
    <w:rsid w:val="000B3888"/>
    <w:rsid w:val="000B5C81"/>
    <w:rsid w:val="000B7D03"/>
    <w:rsid w:val="000C2251"/>
    <w:rsid w:val="000C7491"/>
    <w:rsid w:val="000D270D"/>
    <w:rsid w:val="000D4805"/>
    <w:rsid w:val="000D5C02"/>
    <w:rsid w:val="000D6027"/>
    <w:rsid w:val="000D7676"/>
    <w:rsid w:val="000E13BB"/>
    <w:rsid w:val="000E205F"/>
    <w:rsid w:val="000E7C88"/>
    <w:rsid w:val="000F19EE"/>
    <w:rsid w:val="000F6ED4"/>
    <w:rsid w:val="000F7647"/>
    <w:rsid w:val="000F78C9"/>
    <w:rsid w:val="00102148"/>
    <w:rsid w:val="00102D39"/>
    <w:rsid w:val="001030BE"/>
    <w:rsid w:val="00106A5F"/>
    <w:rsid w:val="00111767"/>
    <w:rsid w:val="00113625"/>
    <w:rsid w:val="00120BBB"/>
    <w:rsid w:val="0012190D"/>
    <w:rsid w:val="00121A3F"/>
    <w:rsid w:val="001251E3"/>
    <w:rsid w:val="0012556B"/>
    <w:rsid w:val="00127D36"/>
    <w:rsid w:val="001320F4"/>
    <w:rsid w:val="001340F5"/>
    <w:rsid w:val="001431E1"/>
    <w:rsid w:val="00143DE0"/>
    <w:rsid w:val="00151DA0"/>
    <w:rsid w:val="00151E67"/>
    <w:rsid w:val="00166C28"/>
    <w:rsid w:val="001722DA"/>
    <w:rsid w:val="001727F5"/>
    <w:rsid w:val="00173BFB"/>
    <w:rsid w:val="0017685C"/>
    <w:rsid w:val="001770A7"/>
    <w:rsid w:val="001777F8"/>
    <w:rsid w:val="00177A61"/>
    <w:rsid w:val="001815F8"/>
    <w:rsid w:val="00181E97"/>
    <w:rsid w:val="00184B69"/>
    <w:rsid w:val="001904D2"/>
    <w:rsid w:val="001916CB"/>
    <w:rsid w:val="00193B50"/>
    <w:rsid w:val="00194108"/>
    <w:rsid w:val="00196426"/>
    <w:rsid w:val="001B31D6"/>
    <w:rsid w:val="001B4AE5"/>
    <w:rsid w:val="001B6601"/>
    <w:rsid w:val="001C2AB3"/>
    <w:rsid w:val="001C58A0"/>
    <w:rsid w:val="001C680F"/>
    <w:rsid w:val="001D24CD"/>
    <w:rsid w:val="001D422B"/>
    <w:rsid w:val="001D5AD4"/>
    <w:rsid w:val="001D5B27"/>
    <w:rsid w:val="001E1A31"/>
    <w:rsid w:val="001E4924"/>
    <w:rsid w:val="001E5629"/>
    <w:rsid w:val="001F3610"/>
    <w:rsid w:val="001F61BD"/>
    <w:rsid w:val="002000F4"/>
    <w:rsid w:val="00203B3B"/>
    <w:rsid w:val="002043EF"/>
    <w:rsid w:val="00211E3D"/>
    <w:rsid w:val="002126B5"/>
    <w:rsid w:val="002135C4"/>
    <w:rsid w:val="00214CFD"/>
    <w:rsid w:val="002166E1"/>
    <w:rsid w:val="00217B6B"/>
    <w:rsid w:val="00220D7B"/>
    <w:rsid w:val="002243DA"/>
    <w:rsid w:val="002348B4"/>
    <w:rsid w:val="00234FB9"/>
    <w:rsid w:val="00246B01"/>
    <w:rsid w:val="00253B85"/>
    <w:rsid w:val="00255750"/>
    <w:rsid w:val="00256B0F"/>
    <w:rsid w:val="0026140D"/>
    <w:rsid w:val="00281846"/>
    <w:rsid w:val="002822D3"/>
    <w:rsid w:val="00284B48"/>
    <w:rsid w:val="00286196"/>
    <w:rsid w:val="0028779B"/>
    <w:rsid w:val="00290BED"/>
    <w:rsid w:val="00293C07"/>
    <w:rsid w:val="00294FBC"/>
    <w:rsid w:val="002A52FE"/>
    <w:rsid w:val="002A7144"/>
    <w:rsid w:val="002B19E0"/>
    <w:rsid w:val="002B4818"/>
    <w:rsid w:val="002C5EE5"/>
    <w:rsid w:val="002D2DBD"/>
    <w:rsid w:val="002D4C69"/>
    <w:rsid w:val="002D5527"/>
    <w:rsid w:val="002E3984"/>
    <w:rsid w:val="002E5278"/>
    <w:rsid w:val="003008A8"/>
    <w:rsid w:val="003013DA"/>
    <w:rsid w:val="00310D59"/>
    <w:rsid w:val="00313EC6"/>
    <w:rsid w:val="003222A3"/>
    <w:rsid w:val="00324742"/>
    <w:rsid w:val="0033061D"/>
    <w:rsid w:val="003316FE"/>
    <w:rsid w:val="00331A4E"/>
    <w:rsid w:val="003344B8"/>
    <w:rsid w:val="00335711"/>
    <w:rsid w:val="003358D7"/>
    <w:rsid w:val="00336EC8"/>
    <w:rsid w:val="00337444"/>
    <w:rsid w:val="003404B3"/>
    <w:rsid w:val="0034087C"/>
    <w:rsid w:val="00347915"/>
    <w:rsid w:val="0035685E"/>
    <w:rsid w:val="0036352A"/>
    <w:rsid w:val="00366ACB"/>
    <w:rsid w:val="0037066D"/>
    <w:rsid w:val="00371870"/>
    <w:rsid w:val="00374F85"/>
    <w:rsid w:val="00377BA1"/>
    <w:rsid w:val="00381DD2"/>
    <w:rsid w:val="00392C78"/>
    <w:rsid w:val="003944A5"/>
    <w:rsid w:val="00394C78"/>
    <w:rsid w:val="00395C34"/>
    <w:rsid w:val="003B1776"/>
    <w:rsid w:val="003B3862"/>
    <w:rsid w:val="003B38E6"/>
    <w:rsid w:val="003B50F4"/>
    <w:rsid w:val="003C2C62"/>
    <w:rsid w:val="003C474A"/>
    <w:rsid w:val="003C4F3F"/>
    <w:rsid w:val="003C5666"/>
    <w:rsid w:val="003D2C34"/>
    <w:rsid w:val="003D53B1"/>
    <w:rsid w:val="003D69AB"/>
    <w:rsid w:val="003E24C1"/>
    <w:rsid w:val="003E3EE1"/>
    <w:rsid w:val="003E424C"/>
    <w:rsid w:val="003E6B26"/>
    <w:rsid w:val="003F031C"/>
    <w:rsid w:val="003F2E97"/>
    <w:rsid w:val="003F6309"/>
    <w:rsid w:val="003F77F6"/>
    <w:rsid w:val="00400091"/>
    <w:rsid w:val="0040489F"/>
    <w:rsid w:val="00414455"/>
    <w:rsid w:val="00414488"/>
    <w:rsid w:val="0041648F"/>
    <w:rsid w:val="00425465"/>
    <w:rsid w:val="0042604C"/>
    <w:rsid w:val="00426672"/>
    <w:rsid w:val="00437AA1"/>
    <w:rsid w:val="00440237"/>
    <w:rsid w:val="00443EB7"/>
    <w:rsid w:val="0045035B"/>
    <w:rsid w:val="00450F1F"/>
    <w:rsid w:val="00454F79"/>
    <w:rsid w:val="00460352"/>
    <w:rsid w:val="004664D9"/>
    <w:rsid w:val="00466F4D"/>
    <w:rsid w:val="004747FC"/>
    <w:rsid w:val="00481A20"/>
    <w:rsid w:val="00481D12"/>
    <w:rsid w:val="00483473"/>
    <w:rsid w:val="0048578F"/>
    <w:rsid w:val="004910AB"/>
    <w:rsid w:val="0049131C"/>
    <w:rsid w:val="00492DBB"/>
    <w:rsid w:val="00494C1E"/>
    <w:rsid w:val="00494C75"/>
    <w:rsid w:val="00496E2A"/>
    <w:rsid w:val="004A0A11"/>
    <w:rsid w:val="004A15FE"/>
    <w:rsid w:val="004A16D3"/>
    <w:rsid w:val="004A6785"/>
    <w:rsid w:val="004A71E3"/>
    <w:rsid w:val="004B2B49"/>
    <w:rsid w:val="004B3C78"/>
    <w:rsid w:val="004B40A8"/>
    <w:rsid w:val="004C33FD"/>
    <w:rsid w:val="004C613F"/>
    <w:rsid w:val="004C77EB"/>
    <w:rsid w:val="004D047C"/>
    <w:rsid w:val="004D139A"/>
    <w:rsid w:val="004D3538"/>
    <w:rsid w:val="004D4673"/>
    <w:rsid w:val="004D6A11"/>
    <w:rsid w:val="004E15E3"/>
    <w:rsid w:val="004E282C"/>
    <w:rsid w:val="004E30DF"/>
    <w:rsid w:val="004E6541"/>
    <w:rsid w:val="004F1A69"/>
    <w:rsid w:val="004F2D1D"/>
    <w:rsid w:val="004F71F9"/>
    <w:rsid w:val="00500E66"/>
    <w:rsid w:val="00501543"/>
    <w:rsid w:val="005050EB"/>
    <w:rsid w:val="0050623F"/>
    <w:rsid w:val="005104B1"/>
    <w:rsid w:val="005119FC"/>
    <w:rsid w:val="00513D85"/>
    <w:rsid w:val="00515DE2"/>
    <w:rsid w:val="00520C78"/>
    <w:rsid w:val="00525572"/>
    <w:rsid w:val="005265BB"/>
    <w:rsid w:val="0053695C"/>
    <w:rsid w:val="00541077"/>
    <w:rsid w:val="00542049"/>
    <w:rsid w:val="00542BBE"/>
    <w:rsid w:val="005455B5"/>
    <w:rsid w:val="00545DF7"/>
    <w:rsid w:val="0055149C"/>
    <w:rsid w:val="00552BAF"/>
    <w:rsid w:val="005539FC"/>
    <w:rsid w:val="00560D61"/>
    <w:rsid w:val="00562080"/>
    <w:rsid w:val="0056291C"/>
    <w:rsid w:val="0056583F"/>
    <w:rsid w:val="00565890"/>
    <w:rsid w:val="0056626B"/>
    <w:rsid w:val="0056647D"/>
    <w:rsid w:val="00566FF8"/>
    <w:rsid w:val="005704F1"/>
    <w:rsid w:val="00570D99"/>
    <w:rsid w:val="00574DDD"/>
    <w:rsid w:val="005825C2"/>
    <w:rsid w:val="00583FF9"/>
    <w:rsid w:val="0058553F"/>
    <w:rsid w:val="005920AD"/>
    <w:rsid w:val="00595939"/>
    <w:rsid w:val="00597A07"/>
    <w:rsid w:val="005B0568"/>
    <w:rsid w:val="005B3286"/>
    <w:rsid w:val="005B42C1"/>
    <w:rsid w:val="005B6112"/>
    <w:rsid w:val="005B7E23"/>
    <w:rsid w:val="005C2A4C"/>
    <w:rsid w:val="005C2DA3"/>
    <w:rsid w:val="005C3E4D"/>
    <w:rsid w:val="005D0184"/>
    <w:rsid w:val="005D224A"/>
    <w:rsid w:val="005D3986"/>
    <w:rsid w:val="005E5739"/>
    <w:rsid w:val="005F7A5F"/>
    <w:rsid w:val="006148DF"/>
    <w:rsid w:val="0061791E"/>
    <w:rsid w:val="00621F92"/>
    <w:rsid w:val="00635ECF"/>
    <w:rsid w:val="00637889"/>
    <w:rsid w:val="00637E95"/>
    <w:rsid w:val="00641E5E"/>
    <w:rsid w:val="00643D38"/>
    <w:rsid w:val="00651C84"/>
    <w:rsid w:val="006547A5"/>
    <w:rsid w:val="006549A6"/>
    <w:rsid w:val="00655AE9"/>
    <w:rsid w:val="00660F79"/>
    <w:rsid w:val="00663F6B"/>
    <w:rsid w:val="00664A5D"/>
    <w:rsid w:val="006654DC"/>
    <w:rsid w:val="0067056F"/>
    <w:rsid w:val="0067302E"/>
    <w:rsid w:val="006758A1"/>
    <w:rsid w:val="00680E41"/>
    <w:rsid w:val="00681139"/>
    <w:rsid w:val="0068216D"/>
    <w:rsid w:val="00683A86"/>
    <w:rsid w:val="00683EDC"/>
    <w:rsid w:val="006954EB"/>
    <w:rsid w:val="006A3254"/>
    <w:rsid w:val="006A643C"/>
    <w:rsid w:val="006B06D7"/>
    <w:rsid w:val="006B0720"/>
    <w:rsid w:val="006B6749"/>
    <w:rsid w:val="006C5F2E"/>
    <w:rsid w:val="006D3CAC"/>
    <w:rsid w:val="006D5E7C"/>
    <w:rsid w:val="006D7E35"/>
    <w:rsid w:val="006E23C8"/>
    <w:rsid w:val="006E3A0E"/>
    <w:rsid w:val="006E4696"/>
    <w:rsid w:val="006E572E"/>
    <w:rsid w:val="006F1533"/>
    <w:rsid w:val="006F1BB1"/>
    <w:rsid w:val="006F527F"/>
    <w:rsid w:val="006F65E0"/>
    <w:rsid w:val="006F66AC"/>
    <w:rsid w:val="00705F9B"/>
    <w:rsid w:val="007065AE"/>
    <w:rsid w:val="00706958"/>
    <w:rsid w:val="00713671"/>
    <w:rsid w:val="00720037"/>
    <w:rsid w:val="0072361B"/>
    <w:rsid w:val="00723972"/>
    <w:rsid w:val="00724200"/>
    <w:rsid w:val="00726666"/>
    <w:rsid w:val="007271EC"/>
    <w:rsid w:val="007301D7"/>
    <w:rsid w:val="007339AC"/>
    <w:rsid w:val="00736DBD"/>
    <w:rsid w:val="00737EF3"/>
    <w:rsid w:val="0074275B"/>
    <w:rsid w:val="007536C4"/>
    <w:rsid w:val="00756A49"/>
    <w:rsid w:val="00756C7E"/>
    <w:rsid w:val="00773993"/>
    <w:rsid w:val="00775807"/>
    <w:rsid w:val="00775DC2"/>
    <w:rsid w:val="00783284"/>
    <w:rsid w:val="00784EEB"/>
    <w:rsid w:val="00794412"/>
    <w:rsid w:val="007973A0"/>
    <w:rsid w:val="007A5F9D"/>
    <w:rsid w:val="007A6663"/>
    <w:rsid w:val="007A66EA"/>
    <w:rsid w:val="007C2026"/>
    <w:rsid w:val="007D2094"/>
    <w:rsid w:val="007D3719"/>
    <w:rsid w:val="007E01B8"/>
    <w:rsid w:val="007E4997"/>
    <w:rsid w:val="007E51F1"/>
    <w:rsid w:val="007E5AF1"/>
    <w:rsid w:val="007E5FEA"/>
    <w:rsid w:val="007F3194"/>
    <w:rsid w:val="007F6528"/>
    <w:rsid w:val="00801F08"/>
    <w:rsid w:val="00801FE7"/>
    <w:rsid w:val="008141A7"/>
    <w:rsid w:val="008162A2"/>
    <w:rsid w:val="008210E9"/>
    <w:rsid w:val="0082465A"/>
    <w:rsid w:val="00830AA7"/>
    <w:rsid w:val="008324DE"/>
    <w:rsid w:val="00834B4A"/>
    <w:rsid w:val="00835C19"/>
    <w:rsid w:val="00851F22"/>
    <w:rsid w:val="00854CE9"/>
    <w:rsid w:val="008562E1"/>
    <w:rsid w:val="00857A71"/>
    <w:rsid w:val="008602E2"/>
    <w:rsid w:val="00860C55"/>
    <w:rsid w:val="00862290"/>
    <w:rsid w:val="00863DAB"/>
    <w:rsid w:val="0086537D"/>
    <w:rsid w:val="0087179F"/>
    <w:rsid w:val="00871B51"/>
    <w:rsid w:val="00874A6C"/>
    <w:rsid w:val="0087663E"/>
    <w:rsid w:val="00881200"/>
    <w:rsid w:val="0088184A"/>
    <w:rsid w:val="00885B31"/>
    <w:rsid w:val="00885ED9"/>
    <w:rsid w:val="00897816"/>
    <w:rsid w:val="008A0DB8"/>
    <w:rsid w:val="008A2402"/>
    <w:rsid w:val="008A27E2"/>
    <w:rsid w:val="008A5AFD"/>
    <w:rsid w:val="008B0B3C"/>
    <w:rsid w:val="008B2A75"/>
    <w:rsid w:val="008B510C"/>
    <w:rsid w:val="008C04D6"/>
    <w:rsid w:val="008C05AA"/>
    <w:rsid w:val="008C0FDE"/>
    <w:rsid w:val="008C61B2"/>
    <w:rsid w:val="008D00E0"/>
    <w:rsid w:val="008D73AE"/>
    <w:rsid w:val="008D7EF1"/>
    <w:rsid w:val="008E0F77"/>
    <w:rsid w:val="008E19B2"/>
    <w:rsid w:val="008E1A95"/>
    <w:rsid w:val="008E4D1F"/>
    <w:rsid w:val="008E6B39"/>
    <w:rsid w:val="008F0333"/>
    <w:rsid w:val="008F03CB"/>
    <w:rsid w:val="008F3AC0"/>
    <w:rsid w:val="008F6F27"/>
    <w:rsid w:val="0090107A"/>
    <w:rsid w:val="00902610"/>
    <w:rsid w:val="00903A40"/>
    <w:rsid w:val="009055ED"/>
    <w:rsid w:val="009116D9"/>
    <w:rsid w:val="00916F37"/>
    <w:rsid w:val="009256E3"/>
    <w:rsid w:val="00936BAE"/>
    <w:rsid w:val="00940843"/>
    <w:rsid w:val="009412A2"/>
    <w:rsid w:val="00943DD7"/>
    <w:rsid w:val="009506BB"/>
    <w:rsid w:val="009508AA"/>
    <w:rsid w:val="009558C3"/>
    <w:rsid w:val="00956604"/>
    <w:rsid w:val="00961358"/>
    <w:rsid w:val="00971C56"/>
    <w:rsid w:val="00972FA4"/>
    <w:rsid w:val="00973298"/>
    <w:rsid w:val="00974DF8"/>
    <w:rsid w:val="009757F9"/>
    <w:rsid w:val="0097725F"/>
    <w:rsid w:val="0097755A"/>
    <w:rsid w:val="00980DE1"/>
    <w:rsid w:val="009817E5"/>
    <w:rsid w:val="00987F50"/>
    <w:rsid w:val="00990762"/>
    <w:rsid w:val="00990DCB"/>
    <w:rsid w:val="009910D8"/>
    <w:rsid w:val="00992991"/>
    <w:rsid w:val="00994B43"/>
    <w:rsid w:val="00995975"/>
    <w:rsid w:val="00995BC8"/>
    <w:rsid w:val="0099690F"/>
    <w:rsid w:val="009A3CBB"/>
    <w:rsid w:val="009B43CE"/>
    <w:rsid w:val="009B47C4"/>
    <w:rsid w:val="009B5995"/>
    <w:rsid w:val="009B7070"/>
    <w:rsid w:val="009C2638"/>
    <w:rsid w:val="009C407D"/>
    <w:rsid w:val="009C48E5"/>
    <w:rsid w:val="009C4D0C"/>
    <w:rsid w:val="009D0FAC"/>
    <w:rsid w:val="009D53A2"/>
    <w:rsid w:val="009D5A45"/>
    <w:rsid w:val="009E1664"/>
    <w:rsid w:val="009F0857"/>
    <w:rsid w:val="009F672D"/>
    <w:rsid w:val="00A035BB"/>
    <w:rsid w:val="00A0426F"/>
    <w:rsid w:val="00A06FE0"/>
    <w:rsid w:val="00A1115B"/>
    <w:rsid w:val="00A13CFE"/>
    <w:rsid w:val="00A1505B"/>
    <w:rsid w:val="00A21A78"/>
    <w:rsid w:val="00A222FE"/>
    <w:rsid w:val="00A23437"/>
    <w:rsid w:val="00A27C7F"/>
    <w:rsid w:val="00A31FDA"/>
    <w:rsid w:val="00A32919"/>
    <w:rsid w:val="00A32CD6"/>
    <w:rsid w:val="00A32D29"/>
    <w:rsid w:val="00A418B5"/>
    <w:rsid w:val="00A43462"/>
    <w:rsid w:val="00A5359D"/>
    <w:rsid w:val="00A53815"/>
    <w:rsid w:val="00A6065C"/>
    <w:rsid w:val="00A61C28"/>
    <w:rsid w:val="00A64F1B"/>
    <w:rsid w:val="00A70A93"/>
    <w:rsid w:val="00A71920"/>
    <w:rsid w:val="00A71BFA"/>
    <w:rsid w:val="00A7206B"/>
    <w:rsid w:val="00A76A4B"/>
    <w:rsid w:val="00A808BA"/>
    <w:rsid w:val="00A80F8D"/>
    <w:rsid w:val="00A81B7E"/>
    <w:rsid w:val="00A82477"/>
    <w:rsid w:val="00A87B37"/>
    <w:rsid w:val="00A9156A"/>
    <w:rsid w:val="00A9218B"/>
    <w:rsid w:val="00A968C7"/>
    <w:rsid w:val="00AA24AD"/>
    <w:rsid w:val="00AA6C68"/>
    <w:rsid w:val="00AA77DE"/>
    <w:rsid w:val="00AC0FBB"/>
    <w:rsid w:val="00AC3A4C"/>
    <w:rsid w:val="00AC41C4"/>
    <w:rsid w:val="00AC4F23"/>
    <w:rsid w:val="00AD17B7"/>
    <w:rsid w:val="00AD2312"/>
    <w:rsid w:val="00AD26C5"/>
    <w:rsid w:val="00AD2F11"/>
    <w:rsid w:val="00AD531C"/>
    <w:rsid w:val="00AE3BDA"/>
    <w:rsid w:val="00AE7071"/>
    <w:rsid w:val="00AE7971"/>
    <w:rsid w:val="00AF14AD"/>
    <w:rsid w:val="00AF3E88"/>
    <w:rsid w:val="00AF671A"/>
    <w:rsid w:val="00AF6C16"/>
    <w:rsid w:val="00B1175D"/>
    <w:rsid w:val="00B11E68"/>
    <w:rsid w:val="00B133C2"/>
    <w:rsid w:val="00B17E40"/>
    <w:rsid w:val="00B20859"/>
    <w:rsid w:val="00B25520"/>
    <w:rsid w:val="00B328BC"/>
    <w:rsid w:val="00B35349"/>
    <w:rsid w:val="00B430B9"/>
    <w:rsid w:val="00B522C1"/>
    <w:rsid w:val="00B5524E"/>
    <w:rsid w:val="00B60CDE"/>
    <w:rsid w:val="00B62056"/>
    <w:rsid w:val="00B62535"/>
    <w:rsid w:val="00B651BE"/>
    <w:rsid w:val="00B706AD"/>
    <w:rsid w:val="00B71E0B"/>
    <w:rsid w:val="00B76019"/>
    <w:rsid w:val="00B77B97"/>
    <w:rsid w:val="00B828F6"/>
    <w:rsid w:val="00B85F4D"/>
    <w:rsid w:val="00B953A7"/>
    <w:rsid w:val="00B964FD"/>
    <w:rsid w:val="00BA4C86"/>
    <w:rsid w:val="00BA5F70"/>
    <w:rsid w:val="00BB70A5"/>
    <w:rsid w:val="00BC0328"/>
    <w:rsid w:val="00BC2E4F"/>
    <w:rsid w:val="00BC31BB"/>
    <w:rsid w:val="00BC6836"/>
    <w:rsid w:val="00BC72C1"/>
    <w:rsid w:val="00BD280B"/>
    <w:rsid w:val="00BE0202"/>
    <w:rsid w:val="00BE55CE"/>
    <w:rsid w:val="00BE60E1"/>
    <w:rsid w:val="00BF0EEC"/>
    <w:rsid w:val="00BF5BCE"/>
    <w:rsid w:val="00C01353"/>
    <w:rsid w:val="00C02C57"/>
    <w:rsid w:val="00C04E3F"/>
    <w:rsid w:val="00C07D9E"/>
    <w:rsid w:val="00C1212B"/>
    <w:rsid w:val="00C175A2"/>
    <w:rsid w:val="00C207D4"/>
    <w:rsid w:val="00C25B60"/>
    <w:rsid w:val="00C25F9E"/>
    <w:rsid w:val="00C2685B"/>
    <w:rsid w:val="00C26D0E"/>
    <w:rsid w:val="00C36540"/>
    <w:rsid w:val="00C42B57"/>
    <w:rsid w:val="00C44816"/>
    <w:rsid w:val="00C4619B"/>
    <w:rsid w:val="00C53111"/>
    <w:rsid w:val="00C532F1"/>
    <w:rsid w:val="00C636CF"/>
    <w:rsid w:val="00C63B76"/>
    <w:rsid w:val="00C63F00"/>
    <w:rsid w:val="00C65F8F"/>
    <w:rsid w:val="00C74C70"/>
    <w:rsid w:val="00C76942"/>
    <w:rsid w:val="00C773FB"/>
    <w:rsid w:val="00C8264A"/>
    <w:rsid w:val="00C86102"/>
    <w:rsid w:val="00C92B9F"/>
    <w:rsid w:val="00CA278D"/>
    <w:rsid w:val="00CA4604"/>
    <w:rsid w:val="00CA7873"/>
    <w:rsid w:val="00CB3AE3"/>
    <w:rsid w:val="00CB59EC"/>
    <w:rsid w:val="00CC469D"/>
    <w:rsid w:val="00CC6D19"/>
    <w:rsid w:val="00CD4DDB"/>
    <w:rsid w:val="00CD5140"/>
    <w:rsid w:val="00CE27AF"/>
    <w:rsid w:val="00CE2AF5"/>
    <w:rsid w:val="00CF2825"/>
    <w:rsid w:val="00CF3F6E"/>
    <w:rsid w:val="00D00F92"/>
    <w:rsid w:val="00D0569B"/>
    <w:rsid w:val="00D10C54"/>
    <w:rsid w:val="00D21D29"/>
    <w:rsid w:val="00D21F46"/>
    <w:rsid w:val="00D22EE7"/>
    <w:rsid w:val="00D25C29"/>
    <w:rsid w:val="00D3280F"/>
    <w:rsid w:val="00D33284"/>
    <w:rsid w:val="00D417E0"/>
    <w:rsid w:val="00D41EB8"/>
    <w:rsid w:val="00D4281D"/>
    <w:rsid w:val="00D42918"/>
    <w:rsid w:val="00D44291"/>
    <w:rsid w:val="00D44D63"/>
    <w:rsid w:val="00D50035"/>
    <w:rsid w:val="00D51E86"/>
    <w:rsid w:val="00D52A91"/>
    <w:rsid w:val="00D52DF7"/>
    <w:rsid w:val="00D5366E"/>
    <w:rsid w:val="00D537DC"/>
    <w:rsid w:val="00D61B4C"/>
    <w:rsid w:val="00D65FF9"/>
    <w:rsid w:val="00D677F0"/>
    <w:rsid w:val="00D67A78"/>
    <w:rsid w:val="00D73959"/>
    <w:rsid w:val="00D7496E"/>
    <w:rsid w:val="00D80D2F"/>
    <w:rsid w:val="00D825C2"/>
    <w:rsid w:val="00D83135"/>
    <w:rsid w:val="00D8365D"/>
    <w:rsid w:val="00D87D3B"/>
    <w:rsid w:val="00D909E9"/>
    <w:rsid w:val="00D935A8"/>
    <w:rsid w:val="00D95461"/>
    <w:rsid w:val="00DA57CA"/>
    <w:rsid w:val="00DA6A8B"/>
    <w:rsid w:val="00DA751D"/>
    <w:rsid w:val="00DB0DDC"/>
    <w:rsid w:val="00DB3E32"/>
    <w:rsid w:val="00DB3F30"/>
    <w:rsid w:val="00DB4200"/>
    <w:rsid w:val="00DB42B4"/>
    <w:rsid w:val="00DB5B31"/>
    <w:rsid w:val="00DC186E"/>
    <w:rsid w:val="00DC1F59"/>
    <w:rsid w:val="00DC2A60"/>
    <w:rsid w:val="00DC74FF"/>
    <w:rsid w:val="00DE7CFD"/>
    <w:rsid w:val="00DF19A3"/>
    <w:rsid w:val="00DF65B0"/>
    <w:rsid w:val="00DF6C96"/>
    <w:rsid w:val="00DF6FAA"/>
    <w:rsid w:val="00E029F6"/>
    <w:rsid w:val="00E02F6A"/>
    <w:rsid w:val="00E05BA6"/>
    <w:rsid w:val="00E05E49"/>
    <w:rsid w:val="00E12E19"/>
    <w:rsid w:val="00E13EFE"/>
    <w:rsid w:val="00E20661"/>
    <w:rsid w:val="00E2362E"/>
    <w:rsid w:val="00E245A7"/>
    <w:rsid w:val="00E26F90"/>
    <w:rsid w:val="00E335BF"/>
    <w:rsid w:val="00E3522D"/>
    <w:rsid w:val="00E35562"/>
    <w:rsid w:val="00E35706"/>
    <w:rsid w:val="00E3774D"/>
    <w:rsid w:val="00E4296F"/>
    <w:rsid w:val="00E46F7D"/>
    <w:rsid w:val="00E50A95"/>
    <w:rsid w:val="00E51912"/>
    <w:rsid w:val="00E5521E"/>
    <w:rsid w:val="00E60A4A"/>
    <w:rsid w:val="00E6188D"/>
    <w:rsid w:val="00E65CF7"/>
    <w:rsid w:val="00E707FD"/>
    <w:rsid w:val="00E71F03"/>
    <w:rsid w:val="00E7586A"/>
    <w:rsid w:val="00E76CD6"/>
    <w:rsid w:val="00E93254"/>
    <w:rsid w:val="00E9342D"/>
    <w:rsid w:val="00E96B2F"/>
    <w:rsid w:val="00EA6F4A"/>
    <w:rsid w:val="00EB159D"/>
    <w:rsid w:val="00EB31A0"/>
    <w:rsid w:val="00EB383A"/>
    <w:rsid w:val="00EB46CE"/>
    <w:rsid w:val="00EC240A"/>
    <w:rsid w:val="00EC43CD"/>
    <w:rsid w:val="00ED04FF"/>
    <w:rsid w:val="00ED05BF"/>
    <w:rsid w:val="00ED7FCC"/>
    <w:rsid w:val="00EE16D5"/>
    <w:rsid w:val="00EE61DA"/>
    <w:rsid w:val="00EF1170"/>
    <w:rsid w:val="00EF44F7"/>
    <w:rsid w:val="00EF4A37"/>
    <w:rsid w:val="00EF671E"/>
    <w:rsid w:val="00EF7645"/>
    <w:rsid w:val="00EF7D97"/>
    <w:rsid w:val="00F1209A"/>
    <w:rsid w:val="00F12AC7"/>
    <w:rsid w:val="00F2231D"/>
    <w:rsid w:val="00F23657"/>
    <w:rsid w:val="00F26944"/>
    <w:rsid w:val="00F423B2"/>
    <w:rsid w:val="00F463DB"/>
    <w:rsid w:val="00F57989"/>
    <w:rsid w:val="00F619E5"/>
    <w:rsid w:val="00F61E6D"/>
    <w:rsid w:val="00F63275"/>
    <w:rsid w:val="00F65105"/>
    <w:rsid w:val="00F66C2E"/>
    <w:rsid w:val="00F70801"/>
    <w:rsid w:val="00F71495"/>
    <w:rsid w:val="00F714A2"/>
    <w:rsid w:val="00F71559"/>
    <w:rsid w:val="00F726CE"/>
    <w:rsid w:val="00F73ECD"/>
    <w:rsid w:val="00F7484C"/>
    <w:rsid w:val="00F82573"/>
    <w:rsid w:val="00F83F55"/>
    <w:rsid w:val="00F85194"/>
    <w:rsid w:val="00F90342"/>
    <w:rsid w:val="00F9342F"/>
    <w:rsid w:val="00FA0664"/>
    <w:rsid w:val="00FA1E4D"/>
    <w:rsid w:val="00FB115A"/>
    <w:rsid w:val="00FB19D2"/>
    <w:rsid w:val="00FB2A1E"/>
    <w:rsid w:val="00FC0167"/>
    <w:rsid w:val="00FC21DF"/>
    <w:rsid w:val="00FC2242"/>
    <w:rsid w:val="00FC388D"/>
    <w:rsid w:val="00FC38BF"/>
    <w:rsid w:val="00FC3B5D"/>
    <w:rsid w:val="00FC4516"/>
    <w:rsid w:val="00FC7A32"/>
    <w:rsid w:val="00FD1762"/>
    <w:rsid w:val="00FD2159"/>
    <w:rsid w:val="00FD2287"/>
    <w:rsid w:val="00FD6041"/>
    <w:rsid w:val="00FE329A"/>
    <w:rsid w:val="00FE6878"/>
    <w:rsid w:val="00FE7C07"/>
    <w:rsid w:val="00FE7FD9"/>
    <w:rsid w:val="00FF579E"/>
    <w:rsid w:val="00FF579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267">
    <w:lsdException w:name="Normal" w:locked="1" w:qFormat="1"/>
    <w:lsdException w:name="heading 1" w:locked="1" w:qFormat="1"/>
    <w:lsdException w:name="heading 2" w:lock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caption" w:locked="1" w:semiHidden="1" w:unhideWhenUsed="1" w:qFormat="1"/>
    <w:lsdException w:name="Title" w:locked="1" w:qFormat="1"/>
    <w:lsdException w:name="Default Paragraph Font" w:locked="1" w:uiPriority="1"/>
    <w:lsdException w:name="Body Text" w:locked="1"/>
    <w:lsdException w:name="Subtitle" w:locked="1" w:qFormat="1"/>
    <w:lsdException w:name="Strong" w:locked="1" w:qFormat="1"/>
    <w:lsdException w:name="Emphasis" w:locked="1" w:uiPriority="20"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C25F9E"/>
    <w:pPr>
      <w:spacing w:after="200" w:line="276" w:lineRule="auto"/>
    </w:pPr>
    <w:rPr>
      <w:rFonts w:ascii="Calibri" w:eastAsia="Calibri" w:hAnsi="Calibri"/>
      <w:sz w:val="22"/>
      <w:szCs w:val="22"/>
      <w:lang w:eastAsia="en-US"/>
    </w:rPr>
  </w:style>
  <w:style w:type="paragraph" w:styleId="Heading1">
    <w:name w:val="heading 1"/>
    <w:basedOn w:val="Normal"/>
    <w:next w:val="Normal"/>
    <w:link w:val="Heading1Char"/>
    <w:qFormat/>
    <w:pPr>
      <w:keepNext/>
      <w:outlineLvl w:val="0"/>
    </w:pPr>
    <w:rPr>
      <w:b/>
      <w:bCs/>
      <w:u w:val="single"/>
    </w:rPr>
  </w:style>
  <w:style w:type="paragraph" w:styleId="Heading2">
    <w:name w:val="heading 2"/>
    <w:basedOn w:val="Normal"/>
    <w:next w:val="Normal"/>
    <w:link w:val="Heading2Char"/>
    <w:qFormat/>
    <w:pPr>
      <w:keepNext/>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locked/>
    <w:rPr>
      <w:rFonts w:ascii="Cambria" w:hAnsi="Cambria" w:cs="Times New Roman"/>
      <w:b/>
      <w:bCs/>
      <w:kern w:val="32"/>
      <w:sz w:val="32"/>
      <w:szCs w:val="32"/>
    </w:rPr>
  </w:style>
  <w:style w:type="character" w:customStyle="1" w:styleId="Heading2Char">
    <w:name w:val="Heading 2 Char"/>
    <w:link w:val="Heading2"/>
    <w:semiHidden/>
    <w:locked/>
    <w:rPr>
      <w:rFonts w:ascii="Cambria" w:hAnsi="Cambria" w:cs="Times New Roman"/>
      <w:b/>
      <w:bCs/>
      <w:i/>
      <w:iCs/>
      <w:sz w:val="28"/>
      <w:szCs w:val="28"/>
    </w:rPr>
  </w:style>
  <w:style w:type="paragraph" w:styleId="Footer">
    <w:name w:val="footer"/>
    <w:basedOn w:val="Normal"/>
    <w:link w:val="FooterChar"/>
    <w:pPr>
      <w:tabs>
        <w:tab w:val="center" w:pos="4320"/>
        <w:tab w:val="right" w:pos="8640"/>
      </w:tabs>
    </w:pPr>
  </w:style>
  <w:style w:type="character" w:customStyle="1" w:styleId="FooterChar">
    <w:name w:val="Footer Char"/>
    <w:link w:val="Footer"/>
    <w:semiHidden/>
    <w:locked/>
    <w:rPr>
      <w:rFonts w:cs="Times New Roman"/>
      <w:sz w:val="24"/>
      <w:szCs w:val="24"/>
    </w:rPr>
  </w:style>
  <w:style w:type="paragraph" w:styleId="Header">
    <w:name w:val="header"/>
    <w:basedOn w:val="Normal"/>
    <w:link w:val="HeaderChar"/>
    <w:pPr>
      <w:tabs>
        <w:tab w:val="center" w:pos="4320"/>
        <w:tab w:val="right" w:pos="8640"/>
      </w:tabs>
    </w:pPr>
  </w:style>
  <w:style w:type="character" w:customStyle="1" w:styleId="HeaderChar">
    <w:name w:val="Header Char"/>
    <w:link w:val="Header"/>
    <w:semiHidden/>
    <w:locked/>
    <w:rPr>
      <w:rFonts w:cs="Times New Roman"/>
      <w:sz w:val="24"/>
      <w:szCs w:val="24"/>
    </w:rPr>
  </w:style>
  <w:style w:type="character" w:styleId="PageNumber">
    <w:name w:val="page number"/>
    <w:rPr>
      <w:rFonts w:cs="Times New Roman"/>
    </w:rPr>
  </w:style>
  <w:style w:type="character" w:customStyle="1" w:styleId="highlight">
    <w:name w:val="highlight"/>
    <w:rPr>
      <w:rFonts w:cs="Times New Roman"/>
    </w:rPr>
  </w:style>
  <w:style w:type="paragraph" w:styleId="BodyText">
    <w:name w:val="Body Text"/>
    <w:basedOn w:val="Normal"/>
    <w:link w:val="BodyTextChar"/>
    <w:semiHidden/>
    <w:pPr>
      <w:jc w:val="both"/>
    </w:pPr>
    <w:rPr>
      <w:rFonts w:ascii="Univers" w:hAnsi="Univers"/>
      <w:sz w:val="20"/>
      <w:szCs w:val="20"/>
    </w:rPr>
  </w:style>
  <w:style w:type="character" w:customStyle="1" w:styleId="BodyTextChar">
    <w:name w:val="Body Text Char"/>
    <w:link w:val="BodyText"/>
    <w:semiHidden/>
    <w:locked/>
    <w:rPr>
      <w:rFonts w:ascii="Univers" w:hAnsi="Univers" w:cs="Times New Roman"/>
    </w:rPr>
  </w:style>
  <w:style w:type="paragraph" w:styleId="BalloonText">
    <w:name w:val="Balloon Text"/>
    <w:basedOn w:val="Normal"/>
    <w:link w:val="BalloonTextChar"/>
    <w:semiHidden/>
    <w:rPr>
      <w:rFonts w:ascii="Lucida Grande" w:hAnsi="Lucida Grande"/>
      <w:sz w:val="18"/>
      <w:szCs w:val="18"/>
    </w:rPr>
  </w:style>
  <w:style w:type="character" w:customStyle="1" w:styleId="BalloonTextChar">
    <w:name w:val="Balloon Text Char"/>
    <w:link w:val="BalloonText"/>
    <w:semiHidden/>
    <w:locked/>
    <w:rPr>
      <w:rFonts w:ascii="Lucida Grande" w:hAnsi="Lucida Grande" w:cs="Times New Roman"/>
      <w:sz w:val="18"/>
    </w:rPr>
  </w:style>
  <w:style w:type="character" w:styleId="CommentReference">
    <w:name w:val="annotation reference"/>
    <w:semiHidden/>
    <w:rPr>
      <w:rFonts w:cs="Times New Roman"/>
      <w:sz w:val="18"/>
    </w:rPr>
  </w:style>
  <w:style w:type="paragraph" w:styleId="CommentText">
    <w:name w:val="annotation text"/>
    <w:basedOn w:val="Normal"/>
    <w:link w:val="CommentTextChar"/>
  </w:style>
  <w:style w:type="character" w:customStyle="1" w:styleId="CommentTextChar">
    <w:name w:val="Comment Text Char"/>
    <w:link w:val="CommentText"/>
    <w:locked/>
    <w:rPr>
      <w:rFonts w:cs="Times New Roman"/>
      <w:sz w:val="24"/>
    </w:rPr>
  </w:style>
  <w:style w:type="paragraph" w:styleId="CommentSubject">
    <w:name w:val="annotation subject"/>
    <w:basedOn w:val="CommentText"/>
    <w:next w:val="CommentText"/>
    <w:link w:val="CommentSubjectChar"/>
    <w:semiHidden/>
    <w:rPr>
      <w:b/>
      <w:bCs/>
    </w:rPr>
  </w:style>
  <w:style w:type="character" w:customStyle="1" w:styleId="CommentSubjectChar">
    <w:name w:val="Comment Subject Char"/>
    <w:link w:val="CommentSubject"/>
    <w:semiHidden/>
    <w:locked/>
    <w:rPr>
      <w:rFonts w:cs="Times New Roman"/>
      <w:b/>
      <w:sz w:val="24"/>
    </w:rPr>
  </w:style>
  <w:style w:type="paragraph" w:customStyle="1" w:styleId="ColorfulShading-Accent11">
    <w:name w:val="Colorful Shading - Accent 11"/>
    <w:hidden/>
    <w:semiHidden/>
    <w:rPr>
      <w:sz w:val="24"/>
      <w:szCs w:val="24"/>
      <w:lang w:val="en-US" w:eastAsia="en-US"/>
    </w:rPr>
  </w:style>
  <w:style w:type="paragraph" w:styleId="Revision">
    <w:name w:val="Revision"/>
    <w:hidden/>
    <w:uiPriority w:val="99"/>
    <w:semiHidden/>
    <w:rPr>
      <w:sz w:val="24"/>
      <w:szCs w:val="24"/>
      <w:lang w:val="en-US" w:eastAsia="en-US"/>
    </w:rPr>
  </w:style>
  <w:style w:type="paragraph" w:styleId="ListParagraph">
    <w:name w:val="List Paragraph"/>
    <w:basedOn w:val="Normal"/>
    <w:uiPriority w:val="34"/>
    <w:qFormat/>
    <w:pPr>
      <w:ind w:left="720"/>
    </w:pPr>
  </w:style>
  <w:style w:type="paragraph" w:customStyle="1" w:styleId="html-xx">
    <w:name w:val="html-xx"/>
    <w:basedOn w:val="Normal"/>
    <w:pPr>
      <w:spacing w:before="100" w:beforeAutospacing="1" w:after="100" w:afterAutospacing="1"/>
    </w:pPr>
  </w:style>
  <w:style w:type="character" w:customStyle="1" w:styleId="html-italic">
    <w:name w:val="html-italic"/>
    <w:basedOn w:val="DefaultParagraphFont"/>
  </w:style>
  <w:style w:type="character" w:styleId="Emphasis">
    <w:name w:val="Emphasis"/>
    <w:uiPriority w:val="20"/>
    <w:qFormat/>
    <w:locked/>
    <w:rPr>
      <w:i/>
      <w:iCs/>
    </w:rPr>
  </w:style>
  <w:style w:type="paragraph" w:styleId="NormalWeb">
    <w:name w:val="Normal (Web)"/>
    <w:basedOn w:val="Normal"/>
    <w:uiPriority w:val="99"/>
    <w:unhideWhenUsed/>
    <w:pPr>
      <w:spacing w:before="100" w:beforeAutospacing="1" w:after="100" w:afterAutospacing="1"/>
    </w:pPr>
  </w:style>
  <w:style w:type="character" w:customStyle="1" w:styleId="apple-tab-span">
    <w:name w:val="apple-tab-span"/>
    <w:basedOn w:val="DefaultParagraphFont"/>
  </w:style>
  <w:style w:type="table" w:styleId="TableGrid">
    <w:name w:val="Table Grid"/>
    <w:basedOn w:val="TableNormal"/>
    <w:lock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Pr>
      <w:color w:val="467886"/>
      <w:u w:val="single"/>
    </w:rPr>
  </w:style>
  <w:style w:type="character" w:customStyle="1" w:styleId="UnresolvedMention">
    <w:name w:val="Unresolved Mention"/>
    <w:uiPriority w:val="99"/>
    <w:semiHidden/>
    <w:unhideWhenUsed/>
    <w:rPr>
      <w:color w:val="605E5C"/>
      <w:shd w:val="clear" w:color="auto" w:fill="E1DFDD"/>
    </w:rPr>
  </w:style>
  <w:style w:type="character" w:styleId="FollowedHyperlink">
    <w:name w:val="FollowedHyperlink"/>
    <w:rPr>
      <w:color w:val="96607D"/>
      <w:u w:val="single"/>
    </w:rPr>
  </w:style>
  <w:style w:type="paragraph" w:customStyle="1" w:styleId="TXT">
    <w:name w:val="TXT"/>
    <w:basedOn w:val="Normal"/>
    <w:pPr>
      <w:tabs>
        <w:tab w:val="center" w:pos="4320"/>
        <w:tab w:val="right" w:pos="8640"/>
      </w:tabs>
    </w:pPr>
  </w:style>
  <w:style w:type="character" w:customStyle="1" w:styleId="Tag">
    <w:name w:val="Tag"/>
  </w:style>
  <w:style w:type="paragraph" w:customStyle="1" w:styleId="CN">
    <w:name w:val="CN"/>
    <w:qFormat/>
    <w:rPr>
      <w:sz w:val="24"/>
      <w:szCs w:val="24"/>
      <w:lang w:val="en-US" w:eastAsia="en-US"/>
    </w:rPr>
  </w:style>
  <w:style w:type="character" w:customStyle="1" w:styleId="CN0">
    <w:name w:val="CN"/>
  </w:style>
  <w:style w:type="character" w:customStyle="1" w:styleId="CW">
    <w:name w:val="CW"/>
  </w:style>
  <w:style w:type="paragraph" w:customStyle="1" w:styleId="CT">
    <w:name w:val="CT"/>
    <w:qFormat/>
    <w:rPr>
      <w:sz w:val="24"/>
      <w:szCs w:val="24"/>
      <w:lang w:val="en-US" w:eastAsia="en-US"/>
    </w:rPr>
  </w:style>
  <w:style w:type="paragraph" w:customStyle="1" w:styleId="CAU">
    <w:name w:val="CAU"/>
    <w:qFormat/>
    <w:rPr>
      <w:sz w:val="24"/>
      <w:szCs w:val="24"/>
      <w:lang w:val="en-US" w:eastAsia="en-US"/>
    </w:rPr>
  </w:style>
  <w:style w:type="paragraph" w:customStyle="1" w:styleId="PMI">
    <w:name w:val="PMI"/>
    <w:qFormat/>
    <w:rsid w:val="00A21A78"/>
    <w:pPr>
      <w:widowControl w:val="0"/>
      <w:autoSpaceDE w:val="0"/>
      <w:autoSpaceDN w:val="0"/>
      <w:adjustRightInd w:val="0"/>
      <w:spacing w:line="480" w:lineRule="auto"/>
    </w:pPr>
    <w:rPr>
      <w:sz w:val="24"/>
      <w:szCs w:val="24"/>
      <w:lang w:val="en-US" w:eastAsia="en-US"/>
    </w:rPr>
  </w:style>
  <w:style w:type="paragraph" w:customStyle="1" w:styleId="REFH1">
    <w:name w:val="REFH1"/>
    <w:basedOn w:val="REF"/>
    <w:qFormat/>
    <w:rsid w:val="00A21A78"/>
    <w:pPr>
      <w:widowControl w:val="0"/>
      <w:autoSpaceDE w:val="0"/>
      <w:autoSpaceDN w:val="0"/>
      <w:adjustRightInd w:val="0"/>
      <w:spacing w:line="480" w:lineRule="auto"/>
    </w:pPr>
  </w:style>
  <w:style w:type="character" w:customStyle="1" w:styleId="TableCitation">
    <w:name w:val="TableCitation"/>
  </w:style>
  <w:style w:type="paragraph" w:customStyle="1" w:styleId="TBL2-MID">
    <w:name w:val="TBL2-MID"/>
    <w:basedOn w:val="TBL-MID"/>
    <w:qFormat/>
    <w:rsid w:val="00863DAB"/>
    <w:pPr>
      <w:widowControl w:val="0"/>
      <w:autoSpaceDE w:val="0"/>
      <w:autoSpaceDN w:val="0"/>
      <w:adjustRightInd w:val="0"/>
      <w:spacing w:line="480" w:lineRule="auto"/>
      <w:ind w:left="720" w:hanging="360"/>
    </w:pPr>
  </w:style>
  <w:style w:type="paragraph" w:customStyle="1" w:styleId="T">
    <w:name w:val="T]"/>
    <w:basedOn w:val="T2"/>
    <w:qFormat/>
    <w:rsid w:val="00863DAB"/>
    <w:pPr>
      <w:widowControl w:val="0"/>
      <w:autoSpaceDE w:val="0"/>
      <w:autoSpaceDN w:val="0"/>
      <w:adjustRightInd w:val="0"/>
      <w:spacing w:line="480" w:lineRule="auto"/>
    </w:pPr>
  </w:style>
  <w:style w:type="paragraph" w:customStyle="1" w:styleId="T3">
    <w:name w:val="T3"/>
    <w:basedOn w:val="Normal"/>
    <w:qFormat/>
    <w:rsid w:val="00863DAB"/>
    <w:pPr>
      <w:widowControl w:val="0"/>
      <w:autoSpaceDE w:val="0"/>
      <w:autoSpaceDN w:val="0"/>
      <w:adjustRightInd w:val="0"/>
      <w:spacing w:line="480" w:lineRule="auto"/>
      <w:jc w:val="center"/>
    </w:pPr>
    <w:rPr>
      <w:rFonts w:ascii="Times" w:hAnsi="Times" w:cs="Times"/>
    </w:rPr>
  </w:style>
  <w:style w:type="paragraph" w:customStyle="1" w:styleId="TXT-FLUSH">
    <w:name w:val="TXT-FLUSH"/>
    <w:qFormat/>
    <w:rPr>
      <w:sz w:val="24"/>
      <w:szCs w:val="24"/>
      <w:lang w:val="en-US" w:eastAsia="en-US"/>
    </w:rPr>
  </w:style>
  <w:style w:type="character" w:customStyle="1" w:styleId="citebib">
    <w:name w:val="cite_bib"/>
    <w:rsid w:val="00C25F9E"/>
    <w:rPr>
      <w:sz w:val="24"/>
      <w:bdr w:val="none" w:sz="0" w:space="0" w:color="auto"/>
      <w:shd w:val="clear" w:color="auto" w:fill="CCFFFF"/>
    </w:rPr>
  </w:style>
  <w:style w:type="paragraph" w:customStyle="1" w:styleId="TAB35-1">
    <w:name w:val="TAB35-1"/>
    <w:qFormat/>
    <w:rPr>
      <w:sz w:val="24"/>
      <w:szCs w:val="24"/>
      <w:lang w:val="en-US" w:eastAsia="en-US"/>
    </w:rPr>
  </w:style>
  <w:style w:type="paragraph" w:customStyle="1" w:styleId="H1">
    <w:name w:val="H1"/>
    <w:qFormat/>
    <w:rPr>
      <w:sz w:val="24"/>
      <w:szCs w:val="24"/>
      <w:lang w:val="en-US" w:eastAsia="en-US"/>
    </w:rPr>
  </w:style>
  <w:style w:type="paragraph" w:customStyle="1" w:styleId="TAB35-3">
    <w:name w:val="TAB35-3"/>
    <w:qFormat/>
    <w:rPr>
      <w:sz w:val="24"/>
      <w:szCs w:val="24"/>
      <w:lang w:val="en-US" w:eastAsia="en-US"/>
    </w:rPr>
  </w:style>
  <w:style w:type="paragraph" w:customStyle="1" w:styleId="TAB35-6">
    <w:name w:val="TAB35-6"/>
    <w:qFormat/>
    <w:rPr>
      <w:sz w:val="24"/>
      <w:szCs w:val="24"/>
      <w:lang w:val="en-US" w:eastAsia="en-US"/>
    </w:rPr>
  </w:style>
  <w:style w:type="paragraph" w:customStyle="1" w:styleId="TXT0">
    <w:name w:val="TXT"/>
    <w:qFormat/>
    <w:rsid w:val="00A21A78"/>
    <w:pPr>
      <w:spacing w:line="480" w:lineRule="auto"/>
    </w:pPr>
    <w:rPr>
      <w:sz w:val="24"/>
      <w:szCs w:val="24"/>
      <w:lang w:val="en-US" w:eastAsia="en-US"/>
    </w:rPr>
  </w:style>
  <w:style w:type="paragraph" w:customStyle="1" w:styleId="TablePlaceHolder">
    <w:name w:val="Table_Place_Holder"/>
    <w:qFormat/>
    <w:rPr>
      <w:sz w:val="24"/>
      <w:szCs w:val="24"/>
      <w:lang w:val="en-US" w:eastAsia="en-US"/>
    </w:rPr>
  </w:style>
  <w:style w:type="character" w:customStyle="1" w:styleId="EgyptianCopticCharacters">
    <w:name w:val="EgyptianCopticCharacters"/>
  </w:style>
  <w:style w:type="character" w:customStyle="1" w:styleId="GreekCharacters">
    <w:name w:val="GreekCharacters"/>
  </w:style>
  <w:style w:type="paragraph" w:customStyle="1" w:styleId="REF">
    <w:name w:val="REF"/>
    <w:qFormat/>
    <w:rPr>
      <w:sz w:val="24"/>
      <w:szCs w:val="24"/>
      <w:lang w:val="en-US" w:eastAsia="en-US"/>
    </w:rPr>
  </w:style>
  <w:style w:type="paragraph" w:customStyle="1" w:styleId="REF-N">
    <w:name w:val="REF-N"/>
    <w:qFormat/>
    <w:rPr>
      <w:sz w:val="24"/>
      <w:szCs w:val="24"/>
      <w:lang w:val="en-US" w:eastAsia="en-US"/>
    </w:rPr>
  </w:style>
  <w:style w:type="character" w:customStyle="1" w:styleId="bibfpage">
    <w:name w:val="bib_fpage"/>
    <w:rsid w:val="00C25F9E"/>
    <w:rPr>
      <w:rFonts w:ascii="Times New Roman" w:hAnsi="Times New Roman"/>
      <w:sz w:val="24"/>
      <w:bdr w:val="none" w:sz="0" w:space="0" w:color="auto"/>
      <w:shd w:val="clear" w:color="auto" w:fill="E6E6E6"/>
    </w:rPr>
  </w:style>
  <w:style w:type="character" w:customStyle="1" w:styleId="bibjournal">
    <w:name w:val="bib_journal"/>
    <w:rsid w:val="00C25F9E"/>
    <w:rPr>
      <w:rFonts w:ascii="Times New Roman" w:hAnsi="Times New Roman"/>
      <w:sz w:val="24"/>
      <w:bdr w:val="none" w:sz="0" w:space="0" w:color="auto"/>
      <w:shd w:val="clear" w:color="auto" w:fill="F9DECF"/>
    </w:rPr>
  </w:style>
  <w:style w:type="character" w:customStyle="1" w:styleId="biblpage">
    <w:name w:val="bib_lpage"/>
    <w:rsid w:val="00C25F9E"/>
    <w:rPr>
      <w:rFonts w:ascii="Times New Roman" w:hAnsi="Times New Roman"/>
      <w:sz w:val="24"/>
      <w:bdr w:val="none" w:sz="0" w:space="0" w:color="auto"/>
      <w:shd w:val="clear" w:color="auto" w:fill="D9D9D9"/>
    </w:rPr>
  </w:style>
  <w:style w:type="character" w:customStyle="1" w:styleId="bibyear">
    <w:name w:val="bib_year"/>
    <w:rsid w:val="00C25F9E"/>
    <w:rPr>
      <w:rFonts w:ascii="Times New Roman" w:hAnsi="Times New Roman"/>
      <w:sz w:val="24"/>
      <w:bdr w:val="none" w:sz="0" w:space="0" w:color="auto"/>
      <w:shd w:val="clear" w:color="auto" w:fill="FFCCFF"/>
    </w:rPr>
  </w:style>
  <w:style w:type="character" w:customStyle="1" w:styleId="bibissue">
    <w:name w:val="bib_issue"/>
    <w:rsid w:val="00C25F9E"/>
    <w:rPr>
      <w:rFonts w:ascii="Times New Roman" w:hAnsi="Times New Roman"/>
      <w:sz w:val="24"/>
      <w:bdr w:val="none" w:sz="0" w:space="0" w:color="auto"/>
      <w:shd w:val="clear" w:color="auto" w:fill="FFFFAB"/>
    </w:rPr>
  </w:style>
  <w:style w:type="character" w:customStyle="1" w:styleId="bibvolume">
    <w:name w:val="bib_volume"/>
    <w:rsid w:val="00C25F9E"/>
    <w:rPr>
      <w:rFonts w:ascii="Times New Roman" w:hAnsi="Times New Roman"/>
      <w:sz w:val="24"/>
      <w:bdr w:val="none" w:sz="0" w:space="0" w:color="auto"/>
      <w:shd w:val="clear" w:color="auto" w:fill="CCECFF"/>
    </w:rPr>
  </w:style>
  <w:style w:type="character" w:customStyle="1" w:styleId="bibfname">
    <w:name w:val="bib_fname"/>
    <w:rsid w:val="00C25F9E"/>
    <w:rPr>
      <w:rFonts w:ascii="Times New Roman" w:hAnsi="Times New Roman"/>
      <w:sz w:val="24"/>
      <w:bdr w:val="none" w:sz="0" w:space="0" w:color="auto"/>
      <w:shd w:val="clear" w:color="auto" w:fill="FFFFCC"/>
    </w:rPr>
  </w:style>
  <w:style w:type="character" w:customStyle="1" w:styleId="bibsurname">
    <w:name w:val="bib_surname"/>
    <w:rsid w:val="00C25F9E"/>
    <w:rPr>
      <w:rFonts w:ascii="Times New Roman" w:hAnsi="Times New Roman"/>
      <w:sz w:val="24"/>
      <w:bdr w:val="none" w:sz="0" w:space="0" w:color="auto"/>
      <w:shd w:val="clear" w:color="auto" w:fill="CCFF99"/>
    </w:rPr>
  </w:style>
  <w:style w:type="character" w:customStyle="1" w:styleId="bibarticle">
    <w:name w:val="bib_article"/>
    <w:rsid w:val="00C25F9E"/>
    <w:rPr>
      <w:rFonts w:ascii="Times New Roman" w:hAnsi="Times New Roman"/>
      <w:sz w:val="24"/>
      <w:bdr w:val="none" w:sz="0" w:space="0" w:color="auto"/>
      <w:shd w:val="clear" w:color="auto" w:fill="CCFFFF"/>
    </w:rPr>
  </w:style>
  <w:style w:type="character" w:customStyle="1" w:styleId="biborganization">
    <w:name w:val="bib_organization"/>
    <w:rsid w:val="00C25F9E"/>
    <w:rPr>
      <w:rFonts w:ascii="Times New Roman" w:hAnsi="Times New Roman"/>
      <w:sz w:val="24"/>
      <w:bdr w:val="none" w:sz="0" w:space="0" w:color="auto"/>
      <w:shd w:val="clear" w:color="auto" w:fill="CCFF99"/>
    </w:rPr>
  </w:style>
  <w:style w:type="character" w:customStyle="1" w:styleId="bibtitle">
    <w:name w:val="bib_title"/>
    <w:rsid w:val="00C25F9E"/>
    <w:rPr>
      <w:sz w:val="24"/>
      <w:effect w:val="none"/>
      <w:bdr w:val="none" w:sz="0" w:space="0" w:color="auto"/>
      <w:shd w:val="clear" w:color="auto" w:fill="D99594"/>
    </w:rPr>
  </w:style>
  <w:style w:type="paragraph" w:customStyle="1" w:styleId="SupplementaryLegends">
    <w:name w:val="SupplementaryLegends"/>
    <w:qFormat/>
    <w:rPr>
      <w:sz w:val="24"/>
      <w:szCs w:val="24"/>
      <w:lang w:val="en-US" w:eastAsia="en-US"/>
    </w:rPr>
  </w:style>
  <w:style w:type="paragraph" w:customStyle="1" w:styleId="TableCaptions">
    <w:name w:val="TableCaptions"/>
    <w:qFormat/>
    <w:rPr>
      <w:sz w:val="24"/>
      <w:szCs w:val="24"/>
      <w:lang w:val="en-US" w:eastAsia="en-US"/>
    </w:rPr>
  </w:style>
  <w:style w:type="character" w:customStyle="1" w:styleId="TN">
    <w:name w:val="TN"/>
  </w:style>
  <w:style w:type="paragraph" w:customStyle="1" w:styleId="T1">
    <w:name w:val="T1"/>
    <w:qFormat/>
    <w:rPr>
      <w:sz w:val="24"/>
      <w:szCs w:val="24"/>
      <w:lang w:val="en-US" w:eastAsia="en-US"/>
    </w:rPr>
  </w:style>
  <w:style w:type="paragraph" w:customStyle="1" w:styleId="T2">
    <w:name w:val="T2"/>
    <w:qFormat/>
    <w:rPr>
      <w:sz w:val="24"/>
      <w:szCs w:val="24"/>
      <w:lang w:val="en-US" w:eastAsia="en-US"/>
    </w:rPr>
  </w:style>
  <w:style w:type="character" w:customStyle="1" w:styleId="BulletManualBodyList">
    <w:name w:val="BulletManualBodyList"/>
  </w:style>
  <w:style w:type="paragraph" w:customStyle="1" w:styleId="TBL-MID">
    <w:name w:val="TBL-MID"/>
    <w:qFormat/>
    <w:rPr>
      <w:sz w:val="24"/>
      <w:szCs w:val="24"/>
      <w:lang w:val="en-US" w:eastAsia="en-US"/>
    </w:rPr>
  </w:style>
  <w:style w:type="paragraph" w:customStyle="1" w:styleId="T0">
    <w:name w:val="T"/>
    <w:qFormat/>
    <w:rPr>
      <w:sz w:val="24"/>
      <w:szCs w:val="24"/>
      <w:lang w:val="en-US" w:eastAsia="en-US"/>
    </w:rPr>
  </w:style>
  <w:style w:type="paragraph" w:customStyle="1" w:styleId="TFN">
    <w:name w:val="TFN"/>
    <w:qFormat/>
    <w:rPr>
      <w:sz w:val="24"/>
      <w:szCs w:val="24"/>
      <w:lang w:val="en-US" w:eastAsia="en-US"/>
    </w:rPr>
  </w:style>
  <w:style w:type="paragraph" w:customStyle="1" w:styleId="TBL-LAST">
    <w:name w:val="TBL-LAST"/>
    <w:qFormat/>
    <w:rPr>
      <w:sz w:val="24"/>
      <w:szCs w:val="24"/>
      <w:lang w:val="en-US" w:eastAsia="en-US"/>
    </w:rPr>
  </w:style>
  <w:style w:type="paragraph" w:customStyle="1" w:styleId="BL2-MID">
    <w:name w:val="BL2-MID"/>
    <w:qFormat/>
    <w:rPr>
      <w:sz w:val="24"/>
      <w:szCs w:val="24"/>
      <w:lang w:val="en-US" w:eastAsia="en-US"/>
    </w:rPr>
  </w:style>
  <w:style w:type="paragraph" w:customStyle="1" w:styleId="TableList">
    <w:name w:val="TableList"/>
    <w:qFormat/>
    <w:rPr>
      <w:sz w:val="24"/>
      <w:szCs w:val="24"/>
      <w:lang w:val="en-US" w:eastAsia="en-US"/>
    </w:rPr>
  </w:style>
  <w:style w:type="paragraph" w:customStyle="1" w:styleId="TBL-FIRST">
    <w:name w:val="TBL-FIRST"/>
    <w:qFormat/>
    <w:rPr>
      <w:sz w:val="24"/>
      <w:szCs w:val="24"/>
      <w:lang w:val="en-US" w:eastAsia="en-US"/>
    </w:rPr>
  </w:style>
  <w:style w:type="paragraph" w:customStyle="1" w:styleId="T20">
    <w:name w:val="T2"/>
    <w:basedOn w:val="Normal"/>
    <w:unhideWhenUsed/>
    <w:qFormat/>
    <w:pPr>
      <w:spacing w:before="100" w:beforeAutospacing="1" w:after="100" w:afterAutospacing="1"/>
    </w:pPr>
  </w:style>
  <w:style w:type="paragraph" w:customStyle="1" w:styleId="TFN0">
    <w:name w:val="TFN"/>
    <w:basedOn w:val="Normal"/>
    <w:uiPriority w:val="99"/>
    <w:unhideWhenUsed/>
    <w:pPr>
      <w:spacing w:before="100" w:beforeAutospacing="1" w:after="100" w:afterAutospacing="1"/>
    </w:pPr>
  </w:style>
  <w:style w:type="paragraph" w:customStyle="1" w:styleId="T4">
    <w:name w:val="T"/>
    <w:basedOn w:val="Normal"/>
    <w:uiPriority w:val="99"/>
    <w:unhideWhenUsed/>
    <w:pPr>
      <w:spacing w:before="100" w:beforeAutospacing="1" w:after="100" w:afterAutospacing="1"/>
    </w:pPr>
  </w:style>
  <w:style w:type="paragraph" w:customStyle="1" w:styleId="BL3-MID">
    <w:name w:val="BL3-MID"/>
    <w:qFormat/>
    <w:rPr>
      <w:sz w:val="24"/>
      <w:szCs w:val="24"/>
      <w:lang w:val="en-US" w:eastAsia="en-US"/>
    </w:rPr>
  </w:style>
  <w:style w:type="character" w:customStyle="1" w:styleId="bibalt-year">
    <w:name w:val="bib_alt-year"/>
    <w:rsid w:val="00C25F9E"/>
    <w:rPr>
      <w:rFonts w:ascii="Times New Roman" w:hAnsi="Times New Roman"/>
      <w:sz w:val="24"/>
      <w:szCs w:val="24"/>
      <w:bdr w:val="none" w:sz="0" w:space="0" w:color="auto"/>
      <w:shd w:val="clear" w:color="auto" w:fill="CC99FF"/>
    </w:rPr>
  </w:style>
  <w:style w:type="character" w:customStyle="1" w:styleId="bibbase">
    <w:name w:val="bib_base"/>
    <w:rsid w:val="00C25F9E"/>
    <w:rPr>
      <w:rFonts w:ascii="Times New Roman" w:hAnsi="Times New Roman"/>
      <w:sz w:val="24"/>
    </w:rPr>
  </w:style>
  <w:style w:type="character" w:customStyle="1" w:styleId="bibbook">
    <w:name w:val="bib_book"/>
    <w:rsid w:val="00C25F9E"/>
    <w:rPr>
      <w:rFonts w:ascii="Times New Roman" w:hAnsi="Times New Roman"/>
      <w:sz w:val="24"/>
      <w:bdr w:val="none" w:sz="0" w:space="0" w:color="auto"/>
      <w:shd w:val="clear" w:color="auto" w:fill="99CCFF"/>
    </w:rPr>
  </w:style>
  <w:style w:type="character" w:customStyle="1" w:styleId="bibchapterno">
    <w:name w:val="bib_chapterno"/>
    <w:rsid w:val="00C25F9E"/>
    <w:rPr>
      <w:rFonts w:ascii="Times New Roman" w:hAnsi="Times New Roman"/>
      <w:sz w:val="24"/>
      <w:bdr w:val="none" w:sz="0" w:space="0" w:color="auto"/>
      <w:shd w:val="clear" w:color="auto" w:fill="D9D9D9"/>
    </w:rPr>
  </w:style>
  <w:style w:type="character" w:customStyle="1" w:styleId="bibchaptertitle">
    <w:name w:val="bib_chaptertitle"/>
    <w:rsid w:val="00C25F9E"/>
    <w:rPr>
      <w:rFonts w:ascii="Times New Roman" w:hAnsi="Times New Roman"/>
      <w:sz w:val="24"/>
      <w:bdr w:val="none" w:sz="0" w:space="0" w:color="auto"/>
      <w:shd w:val="clear" w:color="auto" w:fill="FF9D5B"/>
    </w:rPr>
  </w:style>
  <w:style w:type="character" w:customStyle="1" w:styleId="bibcomment">
    <w:name w:val="bib_comment"/>
    <w:rsid w:val="00C25F9E"/>
    <w:rPr>
      <w:rFonts w:ascii="Times New Roman" w:hAnsi="Times New Roman"/>
      <w:sz w:val="24"/>
    </w:rPr>
  </w:style>
  <w:style w:type="character" w:customStyle="1" w:styleId="bibconfacronym">
    <w:name w:val="bib_confacronym"/>
    <w:rsid w:val="00C25F9E"/>
    <w:rPr>
      <w:rFonts w:ascii="Times New Roman" w:hAnsi="Times New Roman"/>
      <w:sz w:val="24"/>
      <w:bdr w:val="none" w:sz="0" w:space="0" w:color="auto"/>
      <w:shd w:val="clear" w:color="auto" w:fill="FD77F3"/>
    </w:rPr>
  </w:style>
  <w:style w:type="character" w:customStyle="1" w:styleId="bibconfdate">
    <w:name w:val="bib_confdate"/>
    <w:rsid w:val="00C25F9E"/>
    <w:rPr>
      <w:rFonts w:ascii="Times New Roman" w:hAnsi="Times New Roman"/>
      <w:sz w:val="24"/>
      <w:bdr w:val="none" w:sz="0" w:space="0" w:color="auto"/>
      <w:shd w:val="clear" w:color="auto" w:fill="3CE0C1"/>
    </w:rPr>
  </w:style>
  <w:style w:type="character" w:customStyle="1" w:styleId="bibconference">
    <w:name w:val="bib_conference"/>
    <w:rsid w:val="00C25F9E"/>
    <w:rPr>
      <w:rFonts w:ascii="Times New Roman" w:hAnsi="Times New Roman"/>
      <w:sz w:val="24"/>
      <w:bdr w:val="none" w:sz="0" w:space="0" w:color="auto"/>
      <w:shd w:val="clear" w:color="auto" w:fill="9CB3FE"/>
    </w:rPr>
  </w:style>
  <w:style w:type="character" w:customStyle="1" w:styleId="bibconflocation">
    <w:name w:val="bib_conflocation"/>
    <w:rsid w:val="00C25F9E"/>
    <w:rPr>
      <w:rFonts w:ascii="Times New Roman" w:hAnsi="Times New Roman"/>
      <w:sz w:val="24"/>
      <w:bdr w:val="none" w:sz="0" w:space="0" w:color="auto"/>
      <w:shd w:val="clear" w:color="auto" w:fill="EC493C"/>
    </w:rPr>
  </w:style>
  <w:style w:type="character" w:customStyle="1" w:styleId="bibconfpaper">
    <w:name w:val="bib_confpaper"/>
    <w:rsid w:val="00C25F9E"/>
    <w:rPr>
      <w:rFonts w:ascii="Times New Roman" w:hAnsi="Times New Roman"/>
      <w:sz w:val="24"/>
      <w:bdr w:val="none" w:sz="0" w:space="0" w:color="auto"/>
      <w:shd w:val="clear" w:color="auto" w:fill="61FF65"/>
    </w:rPr>
  </w:style>
  <w:style w:type="character" w:customStyle="1" w:styleId="bibconfproceedings">
    <w:name w:val="bib_confproceedings"/>
    <w:rsid w:val="00C25F9E"/>
    <w:rPr>
      <w:rFonts w:ascii="Times New Roman" w:hAnsi="Times New Roman"/>
      <w:sz w:val="24"/>
      <w:bdr w:val="none" w:sz="0" w:space="0" w:color="auto"/>
      <w:shd w:val="clear" w:color="auto" w:fill="FDBA35"/>
    </w:rPr>
  </w:style>
  <w:style w:type="character" w:customStyle="1" w:styleId="bibday">
    <w:name w:val="bib_day"/>
    <w:rsid w:val="00C25F9E"/>
    <w:rPr>
      <w:rFonts w:ascii="Times New Roman" w:hAnsi="Times New Roman"/>
      <w:sz w:val="24"/>
      <w:bdr w:val="none" w:sz="0" w:space="0" w:color="auto"/>
      <w:shd w:val="clear" w:color="auto" w:fill="FFFF66"/>
    </w:rPr>
  </w:style>
  <w:style w:type="character" w:customStyle="1" w:styleId="bibdeg">
    <w:name w:val="bib_deg"/>
    <w:rsid w:val="00C25F9E"/>
    <w:rPr>
      <w:rFonts w:ascii="Times New Roman" w:hAnsi="Times New Roman"/>
      <w:sz w:val="24"/>
    </w:rPr>
  </w:style>
  <w:style w:type="character" w:customStyle="1" w:styleId="bibdoi">
    <w:name w:val="bib_doi"/>
    <w:rsid w:val="00C25F9E"/>
    <w:rPr>
      <w:rFonts w:ascii="Times New Roman" w:hAnsi="Times New Roman"/>
      <w:sz w:val="24"/>
      <w:bdr w:val="none" w:sz="0" w:space="0" w:color="auto"/>
      <w:shd w:val="clear" w:color="auto" w:fill="CCFFCC"/>
    </w:rPr>
  </w:style>
  <w:style w:type="character" w:customStyle="1" w:styleId="bibed-etal">
    <w:name w:val="bib_ed-etal"/>
    <w:rsid w:val="00C25F9E"/>
    <w:rPr>
      <w:rFonts w:ascii="Times New Roman" w:hAnsi="Times New Roman"/>
      <w:sz w:val="24"/>
      <w:bdr w:val="none" w:sz="0" w:space="0" w:color="auto"/>
      <w:shd w:val="clear" w:color="auto" w:fill="00F4EE"/>
    </w:rPr>
  </w:style>
  <w:style w:type="character" w:customStyle="1" w:styleId="bibed-fname">
    <w:name w:val="bib_ed-fname"/>
    <w:rsid w:val="00C25F9E"/>
    <w:rPr>
      <w:rFonts w:ascii="Times New Roman" w:hAnsi="Times New Roman"/>
      <w:sz w:val="24"/>
      <w:bdr w:val="none" w:sz="0" w:space="0" w:color="auto"/>
      <w:shd w:val="clear" w:color="auto" w:fill="FFFFB7"/>
    </w:rPr>
  </w:style>
  <w:style w:type="character" w:customStyle="1" w:styleId="bibeditionno">
    <w:name w:val="bib_editionno"/>
    <w:rsid w:val="00C25F9E"/>
    <w:rPr>
      <w:rFonts w:ascii="Times New Roman" w:hAnsi="Times New Roman"/>
      <w:sz w:val="24"/>
      <w:bdr w:val="none" w:sz="0" w:space="0" w:color="auto"/>
      <w:shd w:val="clear" w:color="auto" w:fill="FFCC00"/>
    </w:rPr>
  </w:style>
  <w:style w:type="character" w:customStyle="1" w:styleId="bibed-organization">
    <w:name w:val="bib_ed-organization"/>
    <w:rsid w:val="00C25F9E"/>
    <w:rPr>
      <w:rFonts w:ascii="Times New Roman" w:hAnsi="Times New Roman"/>
      <w:sz w:val="24"/>
      <w:bdr w:val="none" w:sz="0" w:space="0" w:color="auto"/>
      <w:shd w:val="clear" w:color="auto" w:fill="FCAAC3"/>
    </w:rPr>
  </w:style>
  <w:style w:type="character" w:customStyle="1" w:styleId="bibed-suffix">
    <w:name w:val="bib_ed-suffix"/>
    <w:rsid w:val="00C25F9E"/>
    <w:rPr>
      <w:rFonts w:ascii="Times New Roman" w:hAnsi="Times New Roman"/>
      <w:sz w:val="24"/>
      <w:bdr w:val="none" w:sz="0" w:space="0" w:color="auto"/>
      <w:shd w:val="clear" w:color="auto" w:fill="CCFFCC"/>
    </w:rPr>
  </w:style>
  <w:style w:type="character" w:customStyle="1" w:styleId="bibed-surname">
    <w:name w:val="bib_ed-surname"/>
    <w:rsid w:val="00C25F9E"/>
    <w:rPr>
      <w:rFonts w:ascii="Times New Roman" w:hAnsi="Times New Roman"/>
      <w:sz w:val="24"/>
      <w:bdr w:val="none" w:sz="0" w:space="0" w:color="auto"/>
      <w:shd w:val="clear" w:color="auto" w:fill="FFFF00"/>
    </w:rPr>
  </w:style>
  <w:style w:type="character" w:customStyle="1" w:styleId="bibetal">
    <w:name w:val="bib_etal"/>
    <w:rsid w:val="00C25F9E"/>
    <w:rPr>
      <w:rFonts w:ascii="Times New Roman" w:hAnsi="Times New Roman"/>
      <w:sz w:val="24"/>
      <w:bdr w:val="none" w:sz="0" w:space="0" w:color="auto"/>
      <w:shd w:val="clear" w:color="auto" w:fill="CCFF99"/>
    </w:rPr>
  </w:style>
  <w:style w:type="character" w:customStyle="1" w:styleId="bibextlink">
    <w:name w:val="bib_extlink"/>
    <w:rsid w:val="00C25F9E"/>
    <w:rPr>
      <w:rFonts w:ascii="Times New Roman" w:hAnsi="Times New Roman"/>
      <w:sz w:val="20"/>
      <w:bdr w:val="none" w:sz="0" w:space="0" w:color="auto"/>
      <w:shd w:val="clear" w:color="auto" w:fill="6CCE9D"/>
    </w:rPr>
  </w:style>
  <w:style w:type="character" w:customStyle="1" w:styleId="bibinstitution">
    <w:name w:val="bib_institution"/>
    <w:rsid w:val="00C25F9E"/>
    <w:rPr>
      <w:rFonts w:ascii="Times New Roman" w:hAnsi="Times New Roman"/>
      <w:sz w:val="24"/>
      <w:bdr w:val="none" w:sz="0" w:space="0" w:color="auto"/>
      <w:shd w:val="clear" w:color="auto" w:fill="CCFFCC"/>
    </w:rPr>
  </w:style>
  <w:style w:type="character" w:customStyle="1" w:styleId="bibisbn">
    <w:name w:val="bib_isbn"/>
    <w:rsid w:val="00C25F9E"/>
    <w:rPr>
      <w:rFonts w:ascii="Times New Roman" w:hAnsi="Times New Roman"/>
      <w:sz w:val="24"/>
      <w:shd w:val="clear" w:color="auto" w:fill="D9D9D9"/>
    </w:rPr>
  </w:style>
  <w:style w:type="character" w:customStyle="1" w:styleId="biblocation">
    <w:name w:val="bib_location"/>
    <w:rsid w:val="00C25F9E"/>
    <w:rPr>
      <w:rFonts w:ascii="Times New Roman" w:hAnsi="Times New Roman"/>
      <w:sz w:val="24"/>
      <w:bdr w:val="none" w:sz="0" w:space="0" w:color="auto"/>
      <w:shd w:val="clear" w:color="auto" w:fill="FFCCCC"/>
    </w:rPr>
  </w:style>
  <w:style w:type="character" w:customStyle="1" w:styleId="bibmedline">
    <w:name w:val="bib_medline"/>
    <w:rsid w:val="00C25F9E"/>
    <w:rPr>
      <w:rFonts w:ascii="Times New Roman" w:hAnsi="Times New Roman"/>
      <w:sz w:val="24"/>
    </w:rPr>
  </w:style>
  <w:style w:type="character" w:customStyle="1" w:styleId="bibmonth">
    <w:name w:val="bib_month"/>
    <w:rsid w:val="00C25F9E"/>
    <w:rPr>
      <w:rFonts w:ascii="Times New Roman" w:hAnsi="Times New Roman"/>
      <w:sz w:val="24"/>
      <w:szCs w:val="24"/>
      <w:bdr w:val="none" w:sz="0" w:space="0" w:color="auto"/>
      <w:shd w:val="clear" w:color="auto" w:fill="CCFF33"/>
    </w:rPr>
  </w:style>
  <w:style w:type="character" w:customStyle="1" w:styleId="bibnumber">
    <w:name w:val="bib_number"/>
    <w:rsid w:val="00C25F9E"/>
    <w:rPr>
      <w:rFonts w:ascii="Times New Roman" w:hAnsi="Times New Roman"/>
      <w:sz w:val="24"/>
      <w:bdr w:val="none" w:sz="0" w:space="0" w:color="auto"/>
      <w:shd w:val="clear" w:color="auto" w:fill="CCCCFF"/>
    </w:rPr>
  </w:style>
  <w:style w:type="character" w:customStyle="1" w:styleId="bibpagecount">
    <w:name w:val="bib_pagecount"/>
    <w:rsid w:val="00C25F9E"/>
    <w:rPr>
      <w:rFonts w:ascii="Times New Roman" w:hAnsi="Times New Roman"/>
      <w:sz w:val="24"/>
      <w:bdr w:val="none" w:sz="0" w:space="0" w:color="auto"/>
      <w:shd w:val="clear" w:color="auto" w:fill="00FF00"/>
    </w:rPr>
  </w:style>
  <w:style w:type="character" w:customStyle="1" w:styleId="bibpapernumber">
    <w:name w:val="bib_papernumber"/>
    <w:uiPriority w:val="1"/>
    <w:rsid w:val="00C25F9E"/>
    <w:rPr>
      <w:rFonts w:ascii="Times New Roman" w:hAnsi="Times New Roman"/>
      <w:sz w:val="24"/>
      <w:bdr w:val="none" w:sz="0" w:space="0" w:color="auto"/>
      <w:shd w:val="clear" w:color="auto" w:fill="FFFF66"/>
    </w:rPr>
  </w:style>
  <w:style w:type="character" w:customStyle="1" w:styleId="bibpatent">
    <w:name w:val="bib_patent"/>
    <w:rsid w:val="00C25F9E"/>
    <w:rPr>
      <w:rFonts w:ascii="Times New Roman" w:hAnsi="Times New Roman"/>
      <w:sz w:val="24"/>
      <w:bdr w:val="none" w:sz="0" w:space="0" w:color="auto"/>
      <w:shd w:val="clear" w:color="auto" w:fill="66FFCC"/>
    </w:rPr>
  </w:style>
  <w:style w:type="character" w:customStyle="1" w:styleId="bibpublisher">
    <w:name w:val="bib_publisher"/>
    <w:rsid w:val="00C25F9E"/>
    <w:rPr>
      <w:rFonts w:ascii="Times New Roman" w:hAnsi="Times New Roman"/>
      <w:sz w:val="24"/>
      <w:bdr w:val="none" w:sz="0" w:space="0" w:color="auto"/>
      <w:shd w:val="clear" w:color="auto" w:fill="FF99CC"/>
    </w:rPr>
  </w:style>
  <w:style w:type="character" w:customStyle="1" w:styleId="bibreportnum">
    <w:name w:val="bib_reportnum"/>
    <w:rsid w:val="00C25F9E"/>
    <w:rPr>
      <w:rFonts w:ascii="Times New Roman" w:hAnsi="Times New Roman"/>
      <w:sz w:val="24"/>
      <w:bdr w:val="none" w:sz="0" w:space="0" w:color="auto"/>
      <w:shd w:val="clear" w:color="auto" w:fill="CCCCFF"/>
    </w:rPr>
  </w:style>
  <w:style w:type="character" w:customStyle="1" w:styleId="bibschool">
    <w:name w:val="bib_school"/>
    <w:rsid w:val="00C25F9E"/>
    <w:rPr>
      <w:rFonts w:ascii="Times New Roman" w:hAnsi="Times New Roman"/>
      <w:sz w:val="24"/>
      <w:bdr w:val="none" w:sz="0" w:space="0" w:color="auto"/>
      <w:shd w:val="clear" w:color="auto" w:fill="FFCC66"/>
    </w:rPr>
  </w:style>
  <w:style w:type="character" w:customStyle="1" w:styleId="bibseason">
    <w:name w:val="bib_season"/>
    <w:rsid w:val="00C25F9E"/>
    <w:rPr>
      <w:rFonts w:ascii="Times New Roman" w:hAnsi="Times New Roman"/>
      <w:sz w:val="24"/>
      <w:szCs w:val="24"/>
      <w:bdr w:val="none" w:sz="0" w:space="0" w:color="auto"/>
      <w:shd w:val="clear" w:color="auto" w:fill="FF6600"/>
    </w:rPr>
  </w:style>
  <w:style w:type="character" w:customStyle="1" w:styleId="bibseries">
    <w:name w:val="bib_series"/>
    <w:rsid w:val="00C25F9E"/>
    <w:rPr>
      <w:rFonts w:ascii="Times New Roman" w:hAnsi="Times New Roman"/>
      <w:sz w:val="24"/>
      <w:shd w:val="clear" w:color="auto" w:fill="FFCC99"/>
    </w:rPr>
  </w:style>
  <w:style w:type="character" w:customStyle="1" w:styleId="bibseriesno">
    <w:name w:val="bib_seriesno"/>
    <w:rsid w:val="00C25F9E"/>
    <w:rPr>
      <w:rFonts w:ascii="Times New Roman" w:hAnsi="Times New Roman"/>
      <w:sz w:val="24"/>
      <w:shd w:val="clear" w:color="auto" w:fill="FFFF99"/>
    </w:rPr>
  </w:style>
  <w:style w:type="character" w:customStyle="1" w:styleId="bibsuffix">
    <w:name w:val="bib_suffix"/>
    <w:rsid w:val="00C25F9E"/>
    <w:rPr>
      <w:rFonts w:ascii="Times New Roman" w:hAnsi="Times New Roman"/>
      <w:sz w:val="24"/>
    </w:rPr>
  </w:style>
  <w:style w:type="character" w:customStyle="1" w:styleId="bibsuppl">
    <w:name w:val="bib_suppl"/>
    <w:rsid w:val="00C25F9E"/>
    <w:rPr>
      <w:rFonts w:ascii="Times New Roman" w:hAnsi="Times New Roman"/>
      <w:sz w:val="24"/>
      <w:bdr w:val="none" w:sz="0" w:space="0" w:color="auto"/>
      <w:shd w:val="clear" w:color="auto" w:fill="FFCC66"/>
    </w:rPr>
  </w:style>
  <w:style w:type="character" w:customStyle="1" w:styleId="bibtrans">
    <w:name w:val="bib_trans"/>
    <w:rsid w:val="00C25F9E"/>
    <w:rPr>
      <w:rFonts w:ascii="Times New Roman" w:hAnsi="Times New Roman"/>
      <w:sz w:val="24"/>
      <w:shd w:val="clear" w:color="auto" w:fill="99CC00"/>
    </w:rPr>
  </w:style>
  <w:style w:type="character" w:customStyle="1" w:styleId="bibunpubl">
    <w:name w:val="bib_unpubl"/>
    <w:rsid w:val="00C25F9E"/>
    <w:rPr>
      <w:rFonts w:ascii="Times New Roman" w:hAnsi="Times New Roman"/>
      <w:sz w:val="24"/>
    </w:rPr>
  </w:style>
  <w:style w:type="character" w:customStyle="1" w:styleId="biburl">
    <w:name w:val="bib_url"/>
    <w:rsid w:val="00C25F9E"/>
    <w:rPr>
      <w:rFonts w:ascii="Times New Roman" w:hAnsi="Times New Roman"/>
      <w:sz w:val="24"/>
      <w:bdr w:val="none" w:sz="0" w:space="0" w:color="auto"/>
      <w:shd w:val="clear" w:color="auto" w:fill="CCFF66"/>
    </w:rPr>
  </w:style>
  <w:style w:type="character" w:customStyle="1" w:styleId="bibvolcount">
    <w:name w:val="bib_volcount"/>
    <w:rsid w:val="00C25F9E"/>
    <w:rPr>
      <w:rFonts w:ascii="Times New Roman" w:hAnsi="Times New Roman"/>
      <w:sz w:val="20"/>
      <w:bdr w:val="none" w:sz="0" w:space="0" w:color="auto"/>
      <w:shd w:val="clear" w:color="auto" w:fill="00FF00"/>
    </w:rPr>
  </w:style>
  <w:style w:type="character" w:customStyle="1" w:styleId="AccessedDate">
    <w:name w:val="AccessedDate"/>
    <w:rsid w:val="00C25F9E"/>
  </w:style>
  <w:style w:type="character" w:customStyle="1" w:styleId="italic">
    <w:name w:val="_italic"/>
    <w:uiPriority w:val="99"/>
    <w:rsid w:val="00C25F9E"/>
    <w:rPr>
      <w:i/>
      <w:iCs/>
    </w:rPr>
  </w:style>
  <w:style w:type="paragraph" w:customStyle="1" w:styleId="TUL2-MID">
    <w:name w:val="TUL2-MID"/>
    <w:qFormat/>
    <w:rsid w:val="006B0720"/>
    <w:pPr>
      <w:spacing w:after="200" w:line="480" w:lineRule="auto"/>
      <w:ind w:left="576"/>
    </w:pPr>
    <w:rPr>
      <w:rFonts w:eastAsia="Calibri"/>
      <w:sz w:val="24"/>
      <w:szCs w:val="24"/>
      <w:lang w:eastAsia="en-US"/>
    </w:rPr>
  </w:style>
  <w:style w:type="character" w:customStyle="1" w:styleId="Abbreviation">
    <w:name w:val="Abbreviation"/>
    <w:rsid w:val="00C25F9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
      <w:marLeft w:val="0"/>
      <w:marRight w:val="0"/>
      <w:marTop w:val="0"/>
      <w:marBottom w:val="0"/>
      <w:divBdr>
        <w:top w:val="none" w:sz="0" w:space="0" w:color="auto"/>
        <w:left w:val="none" w:sz="0" w:space="0" w:color="auto"/>
        <w:bottom w:val="none" w:sz="0" w:space="0" w:color="auto"/>
        <w:right w:val="none" w:sz="0" w:space="0" w:color="auto"/>
      </w:divBdr>
      <w:divsChild>
        <w:div w:id="3">
          <w:marLeft w:val="0"/>
          <w:marRight w:val="0"/>
          <w:marTop w:val="0"/>
          <w:marBottom w:val="0"/>
          <w:divBdr>
            <w:top w:val="none" w:sz="0" w:space="0" w:color="auto"/>
            <w:left w:val="none" w:sz="0" w:space="0" w:color="auto"/>
            <w:bottom w:val="none" w:sz="0" w:space="0" w:color="auto"/>
            <w:right w:val="none" w:sz="0" w:space="0" w:color="auto"/>
          </w:divBdr>
          <w:divsChild>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558844">
      <w:bodyDiv w:val="1"/>
      <w:marLeft w:val="0"/>
      <w:marRight w:val="0"/>
      <w:marTop w:val="0"/>
      <w:marBottom w:val="0"/>
      <w:divBdr>
        <w:top w:val="none" w:sz="0" w:space="0" w:color="auto"/>
        <w:left w:val="none" w:sz="0" w:space="0" w:color="auto"/>
        <w:bottom w:val="none" w:sz="0" w:space="0" w:color="auto"/>
        <w:right w:val="none" w:sz="0" w:space="0" w:color="auto"/>
      </w:divBdr>
    </w:div>
    <w:div w:id="1373264734">
      <w:bodyDiv w:val="1"/>
      <w:marLeft w:val="0"/>
      <w:marRight w:val="0"/>
      <w:marTop w:val="0"/>
      <w:marBottom w:val="0"/>
      <w:divBdr>
        <w:top w:val="none" w:sz="0" w:space="0" w:color="auto"/>
        <w:left w:val="none" w:sz="0" w:space="0" w:color="auto"/>
        <w:bottom w:val="none" w:sz="0" w:space="0" w:color="auto"/>
        <w:right w:val="none" w:sz="0" w:space="0" w:color="auto"/>
      </w:divBdr>
      <w:divsChild>
        <w:div w:id="1202472697">
          <w:marLeft w:val="288"/>
          <w:marRight w:val="0"/>
          <w:marTop w:val="0"/>
          <w:marBottom w:val="0"/>
          <w:divBdr>
            <w:top w:val="none" w:sz="0" w:space="0" w:color="auto"/>
            <w:left w:val="none" w:sz="0" w:space="0" w:color="auto"/>
            <w:bottom w:val="none" w:sz="0" w:space="0" w:color="auto"/>
            <w:right w:val="none" w:sz="0" w:space="0" w:color="auto"/>
          </w:divBdr>
        </w:div>
      </w:divsChild>
    </w:div>
    <w:div w:id="1380863912">
      <w:bodyDiv w:val="1"/>
      <w:marLeft w:val="0"/>
      <w:marRight w:val="0"/>
      <w:marTop w:val="0"/>
      <w:marBottom w:val="0"/>
      <w:divBdr>
        <w:top w:val="none" w:sz="0" w:space="0" w:color="auto"/>
        <w:left w:val="none" w:sz="0" w:space="0" w:color="auto"/>
        <w:bottom w:val="none" w:sz="0" w:space="0" w:color="auto"/>
        <w:right w:val="none" w:sz="0" w:space="0" w:color="auto"/>
      </w:divBdr>
    </w:div>
    <w:div w:id="1636594340">
      <w:bodyDiv w:val="1"/>
      <w:marLeft w:val="0"/>
      <w:marRight w:val="0"/>
      <w:marTop w:val="0"/>
      <w:marBottom w:val="0"/>
      <w:divBdr>
        <w:top w:val="none" w:sz="0" w:space="0" w:color="auto"/>
        <w:left w:val="none" w:sz="0" w:space="0" w:color="auto"/>
        <w:bottom w:val="none" w:sz="0" w:space="0" w:color="auto"/>
        <w:right w:val="none" w:sz="0" w:space="0" w:color="auto"/>
      </w:divBdr>
    </w:div>
    <w:div w:id="2121338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8.xml"/><Relationship Id="rId13" Type="http://schemas.openxmlformats.org/officeDocument/2006/relationships/settings" Target="settings.xm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customXml" Target="../customXml/item7.xml"/><Relationship Id="rId12" Type="http://schemas.microsoft.com/office/2007/relationships/stylesWithEffects" Target="stylesWithEffects.xml"/><Relationship Id="rId17" Type="http://schemas.openxmlformats.org/officeDocument/2006/relationships/comments" Target="comments.xml"/><Relationship Id="rId25" Type="http://schemas.microsoft.com/office/2018/08/relationships/commentsExtensible" Target="commentsExtensible.xml"/><Relationship Id="rId2" Type="http://schemas.openxmlformats.org/officeDocument/2006/relationships/customXml" Target="../customXml/item2.xml"/><Relationship Id="rId16" Type="http://schemas.openxmlformats.org/officeDocument/2006/relationships/endnotes" Target="endnotes.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styles" Target="styles.xml"/><Relationship Id="rId24" Type="http://schemas.microsoft.com/office/2011/relationships/people" Target="people.xml"/><Relationship Id="rId5" Type="http://schemas.openxmlformats.org/officeDocument/2006/relationships/customXml" Target="../customXml/item5.xml"/><Relationship Id="rId15" Type="http://schemas.openxmlformats.org/officeDocument/2006/relationships/footnotes" Target="footnotes.xml"/><Relationship Id="rId23" Type="http://schemas.microsoft.com/office/2016/09/relationships/commentsIds" Target="commentsIds.xml"/><Relationship Id="rId10" Type="http://schemas.openxmlformats.org/officeDocument/2006/relationships/numbering" Target="numbering.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customXml" Target="../customXml/item9.xml"/><Relationship Id="rId14" Type="http://schemas.openxmlformats.org/officeDocument/2006/relationships/webSettings" Target="webSettings.xml"/><Relationship Id="rId22" Type="http://schemas.microsoft.com/office/2011/relationships/commentsExtended" Target="commentsExtended.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uderaeymondj\AppData\Roaming\Microsoft\Templates\Lww-REF.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wp15="http://schemas.microsoft.com/office/word/2012/wordprocessingDrawing" xmlns:a18hc="http://schemas.microsoft.com/office/drawing/2018/hyperlinkcolor" xmlns:adec="http://schemas.microsoft.com/office/drawing/2017/decorative" xmlns:a16svg="http://schemas.microsoft.com/office/drawing/2016/SVG/main" xmlns:dgm1612="http://schemas.microsoft.com/office/drawing/2016/12/diagram" xmlns:a1611="http://schemas.microsoft.com/office/drawing/2016/11/main" xmlns:a16="http://schemas.microsoft.com/office/drawing/2014/main" xmlns:c16ac="http://schemas.microsoft.com/office/drawing/2014/chart/ac" xmlns:pic14="http://schemas.microsoft.com/office/drawing/2010/picture" xmlns:a15="http://schemas.microsoft.com/office/drawing/2012/main" xmlns:dgm14="http://schemas.microsoft.com/office/drawing/2010/diagram" xmlns:lc="http://schemas.openxmlformats.org/drawingml/2006/lockedCanvas" xmlns:comp="http://schemas.openxmlformats.org/drawingml/2006/compatibility" xmlns:we="http://schemas.microsoft.com/office/webextensions/webextension/2010/11" xmlns:wetp="http://schemas.microsoft.com/office/webextensions/taskpanes/2010/11" xmlns:w16cid="http://schemas.microsoft.com/office/word/2016/wordml/cid" xmlns:w16se="http://schemas.microsoft.com/office/word/2015/wordml/symex" xmlns:wpg="http://schemas.microsoft.com/office/word/2010/wordprocessingGroup" xmlns:wpc="http://schemas.microsoft.com/office/word/2010/wordprocessingCanvas" xmlns:wps="http://schemas.microsoft.com/office/word/2010/wordprocessingShape" xmlns:thm15="http://schemas.microsoft.com/office/thememl/2012/main" xmlns:iact="http://schemas.microsoft.com/office/powerpoint/2014/inkAction" xmlns:anam3d="http://schemas.microsoft.com/office/drawing/2018/animation/model3d" xmlns:an18="http://schemas.microsoft.com/office/drawing/2018/animation" xmlns:am3d="http://schemas.microsoft.com/office/drawing/2017/model3d" xmlns:c173="http://schemas.microsoft.com/office/drawing/2017/03/chart" xmlns:dgm1611="http://schemas.microsoft.com/office/drawing/2016/11/diagram" xmlns:c16="http://schemas.microsoft.com/office/drawing/2014/chart" xmlns:cx="http://schemas.microsoft.com/office/drawing/2014/chartex" xmlns:a13cmd="http://schemas.microsoft.com/office/drawing/2013/main/command" xmlns:ns39="http://www.w3.org/2003/InkML" xmlns:ns38="http://www.w3.org/1998/Math/MathML" xmlns:cs="http://schemas.microsoft.com/office/drawing/2012/chartStyle" xmlns:c15="http://schemas.microsoft.com/office/drawing/2012/chart" xmlns:cdr14="http://schemas.microsoft.com/office/drawing/2010/chartDrawing" xmlns:msink="http://schemas.microsoft.com/ink/2010/main" xmlns:b="http://schemas.openxmlformats.org/officeDocument/2006/bibliography" xmlns:odgm="http://opendope.org/SmartArt/DataHierarchy" xmlns:odi="http://opendope.org/components" xmlns:oda="http://opendope.org/answers" xmlns:odq="http://opendope.org/questions" xmlns:odc="http://opendope.org/conditions" xmlns:odx="http://opendope.org/xpaths" xmlns:cppr="http://schemas.microsoft.com/office/2006/coverPageProps" xmlns:pvml="urn:schemas-microsoft-com:office:powerpoint" xmlns:w10="urn:schemas-microsoft-com:office:word" xmlns:v="urn:schemas-microsoft-com:vml" xmlns:o="urn:schemas-microsoft-com:office:office" xmlns:xvml="urn:schemas-microsoft-com:office:excel" xmlns:dsp="http://schemas.microsoft.com/office/drawing/2008/diagram" xmlns:xdr="http://schemas.openxmlformats.org/drawingml/2006/spreadsheetDrawing" xmlns:pic="http://schemas.openxmlformats.org/drawingml/2006/picture" xmlns:dgm="http://schemas.openxmlformats.org/drawingml/2006/diagram" xmlns:c14="http://schemas.microsoft.com/office/drawing/2007/8/2/chart" xmlns:cdr="http://schemas.openxmlformats.org/drawingml/2006/chartDrawing" xmlns:c="http://schemas.openxmlformats.org/drawingml/2006/chart" xmlns:wne="http://schemas.microsoft.com/office/word/2006/wordml" xmlns:sl="http://schemas.openxmlformats.org/schemaLibrary/2006/main" xmlns:mc="http://schemas.openxmlformats.org/markup-compatibility/2006" xmlns:w15="http://schemas.microsoft.com/office/word/2012/wordml" xmlns:wp14="http://schemas.microsoft.com/office/word/2010/wordprocessingDrawing" xmlns:wp="http://schemas.openxmlformats.org/drawingml/2006/wordprocessingDrawing" xmlns:m="http://schemas.openxmlformats.org/officeDocument/2006/math" xmlns:w="http://schemas.openxmlformats.org/wordprocessingml/2006/main" xmlns:a14="http://schemas.microsoft.com/office/drawing/2010/main" xmlns:r="http://schemas.openxmlformats.org/officeDocument/2006/relationships" xmlns:w14="http://schemas.microsoft.com/office/word/2010/wordml"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_rels/item9.xml.rels><?xml version="1.0" encoding="UTF-8" standalone="yes"?>
<Relationships xmlns="http://schemas.openxmlformats.org/package/2006/relationships"><Relationship Id="rId1" Type="http://schemas.openxmlformats.org/officeDocument/2006/relationships/customXmlProps" Target="itemProps9.xml"/></Relationships>
</file>

<file path=customXml/item1.xml><?xml version="1.0" encoding="utf-8"?>
<preedit xmlns="http://www.machineedit.net/AMOD/CustomXML/Abbreviations.htm">[{"b-find":"NEC","e-paracontent":"Globally, more than 1 in 4 of all live births are newborns small for gestational age, of low birthweight, or preterm, and these \u201csmall vulnerable newborns\u201d account for more than 1 million deaths yearly.  The preterm infant (&lt; 37 weeks gestation) is born with limited nutrient stores, the highest nutrient demands (per kg) in the lifecycle, and organ system immaturity that present substantial challenges for replicating in utero growth and development (Table 35-1). Complications of prematurity such as osteopenia, anemia, and respiratory distress add to metabolic demand and some, like necrotizing enterocolitis &lt;mark&gt;NEC&lt;\/mark&gt;), disrupt nutrient delivery (Table 35-2).  Multidisciplinary teams in neonatal intensive care units (NICU) strive to optimize growth and nutrient delivery despite these challenges to ensure optimal developmental, cardiometabolic, body composition and overall health outcomes.1 ","c-replace":["Necrotizing Enterocolitis (NEC)","NEC"],"ab-name":"Abbreviations","a-name":"Abbreviation","g-rebookmarkname":"","i-wm":"NEC","d-description":"An abbreviation must appear with its expanded form first and can then only be reused.","k-color":"#a24c29","f-bookmark":"BMABBRE100008","j-groupid":18},{"b-find":"neonatal intensive care units (NICU)","e-paracontent":"Globally, more than 1 in 4 of all live births are newborns small for gestational age, of low birthweight, or preterm, and these \u201csmall vulnerable newborns\u201d account for more than 1 million deaths yearly.  The preterm infant (&lt; 37 weeks gestation) is born with limited nutrient stores, the highest nutrient demands (per kg) in the lifecycle, and organ system immaturity that present substantial challenges for replicating in utero growth and development (Table 35-1). Complications of prematurity such as osteopenia, anemia, and respiratory distress add to metabolic demand and some, like necrotizing enterocolitis (NEC), disrupt nutrient delivery (Table 35-2).  Multidisciplinary teams in&lt;mark&gt;neonatal intensive care units (NICU)&lt;\/mark&gt; strive to optimize growth and nutrient delivery despite these challenges to ensure optimal developmental, cardiometabolic, body composition and overall health outcomes.1 ","c-replace":["neonatal intensive care units (NICU)","NICU"],"ab-name":"Abbreviations","a-name":"Abbreviation","g-rebookmarkname":"","i-wm":"neonatal intensive care units (NICU)","d-description":"An abbreviation must appear with its expanded form first and can then only be reused.","k-color":"#a24c29","f-bookmark":"BMABBRE100009","j-groupid":2},{"b-find":"small for gestational age","e-paracontent":"Globally, more than 1 in 4 of all live births are newborns&lt;mark&gt;small for gestational age&lt;\/mark&gt;, of low birthweight, or preterm, and these \u201csmall vulnerable newborns\u201d account for more than 1 million deaths yearly.  The preterm infant (&lt; 37 weeks gestation) is born with limited nutrient stores, the highest nutrient demands (per kg) in the lifecycle, and organ system immaturity that present substantial challenges for replicating in utero growth and development (Table 35-1). Complications of prematurity such as osteopenia, anemia, and respiratory distress add to metabolic demand and some, like necrotizing enterocolitis (NEC), disrupt nutrient delivery (Table 35-2).  Multidisciplinary teams in neonatal intensive care units (NICU) strive to optimize growth and nutrient delivery despite these challenges to ensure optimal developmental, cardiometabolic, body composition and overall health outcomes.1 ","c-replace":["small for gestational age (SGA)","SGA"],"ab-name":"Abbreviations","a-name":"Abbreviation_Defined_Twice_or_More","g-rebookmarkname":"","i-wm":"small for gestational age","d-description":"An abbreviation is defined more than once. The definition may also be inconsistent.","k-color":"#a24c29","f-bookmark":"BMABBRE100010","j-groupid":3},{"b-find":"low birthweight","e-paracontent":"Globally, more than 1 in 4 of all live births are newborns small for gestational age, of&lt;mark&gt;low birthweight&lt;\/mark&gt;, or preterm, and these \u201csmall vulnerable newborns\u201d account for more than 1 million deaths yearly.  The preterm infant (&lt; 37 weeks gestation) is born with limited nutrient stores, the highest nutrient demands (per kg) in the lifecycle, and organ system immaturity that present substantial challenges for replicating in utero growth and development (Table 35-1). Complications of prematurity such as osteopenia, anemia, and respiratory distress add to metabolic demand and some, like necrotizing enterocolitis (NEC), disrupt nutrient delivery (Table 35-2).  Multidisciplinary teams in neonatal intensive care units (NICU) strive to optimize growth and nutrient delivery despite these challenges to ensure optimal developmental, cardiometabolic, body composition and overall health outcomes.1 ","c-replace":["Low Birth Weight (LBW)","LBW"],"ab-name":"Abbreviations","a-name":"Abbreviation_Defined_Twice_or_More","g-rebookmarkname":"","i-wm":"low birthweight","d-description":"An abbreviation is defined more than once. The definition may also be inconsistent.","k-color":"#a24c29","f-bookmark":"BMABBRE100011","j-groupid":23},{"b-find":"necrotizing enterocolitis","e-paracontent":"Globally, more than 1 in 4 of all live births are newborns small for gestational age, of low birthweight, or preterm, and these \u201csmall vulnerable newborns\u201d account for more than 1 million deaths yearly.  The preterm infant (&lt; 37 weeks gestation) is born with limited nutrient stores, the highest nutrient demands (per kg) in the lifecycle, and organ system immaturity that present substantial challenges for replicating in utero growth and development (Table 35-1). Complications of prematurity such as osteopenia, anemia, and respiratory distress add to metabolic demand and some, like&lt;mark&gt;necrotizing enterocolitis&lt;\/mark&gt; (NEC), disrupt nutrient delivery (Table 35-2).  Multidisciplinary teams in neonatal intensive care units (NICU) strive to optimize growth and nutrient delivery despite these challenges to ensure optimal developmental, cardiometabolic, body composition and overall health outcomes.1 ","c-replace":["Necrotizing Enterocolitis (NEC)","NEC"],"ab-name":"Abbreviations","a-name":"Abbreviation_Defined_Twice_or_More","g-rebookmarkname":"","i-wm":"necrotizing enterocolitis","d-description":"An abbreviation is defined more than once. The definition may also be inconsistent.","k-color":"#a24c29","f-bookmark":"BMABBRE100012","j-groupid":18},{"b-find":"TAB","e-paracontent":"&lt;TAB35-1&gt;&lt;mark&gt;TAB&lt;\/mark&gt;35-2&gt;","c-replace":[""],"ab-name":"Abbreviations","a-name":"Possible_Abbreviations","g-rebookmarkname":"","i-wm":"TAB","d-description":"Word in all caps may be an abbreviation.","k-color":"","f-bookmark":"BMABBRE100029","j-groupid":1},{"b-find":"small for gestational age (SGA)","e-paracontent":"The nutritional assessment of preterm infants begins immediately after birth with the measurements of birth weight, length, and head circumference. These anthropometrics provide the basis for nutrient needs and growth expectations (Table 35-3). Intrauterine growth charts (Fenton or Olsen) should be used to assess whether the infant is&lt;mark&gt;small for gestational age (SGA)&lt;\/mark&gt;, appropriate for gestational age (AGA) or large for gestational age (LGA) and can be used until at least 42 weeks postmenstrual age (PMA).2, 3, 4 The most recent intrauterine chart was published in 20254\u2014an update to the Fenton 2013 charts. The \u201cgold standard\u201d for postnatal growth of preterm infants remains the expected rate of weight gain seen in utero (Table 35-4).2  However, this model does not account for physiologic auto-diuresis  (the expected fluid loss and extra- to intracellular fluid shift that occurs in the first one to two weeks of postnatal life) (Table 35-5). Disregarding this expected loss of fluid weight may promote nutritional strategies that result in rapid weight gain (primarily as adipose tissue). Determining the change in weight-for-age Z score since birth augments the growth assessment by distinguishing between a \u201chealthful\u201d decline in Z score and growth faltering.2  The INTERGROWTH-21st charts do take this phenomenon into account, but they are limited by a small sample size at the lowest gestational ages.2 Weight- and length-for-age Z score changes are included as part of the neonatal malnutrition assessment,5 however these criteria have not yet been consistently validated to predict neurodevelopmental or neuro-disability outcomes at all levels of malnutrition. Weight-for-length Z scores are not available for preterm infants. BMI Z scores are available, but as with older children, BMI measures do not distinguish between fat and lean mass and the outcome significance for preterm infants is unknown.2","c-replace":["small for gestational age (SGA)","SGA"],"ab-name":"Abbreviations","a-name":"Abbreviation_Defined_Twice_or_More","g-rebookmarkname":"","i-wm":"small for gestational age (SGA)","d-description":"An abbreviation is defined more than once. The definition may also be inconsistent.","k-color":"#a24c29","f-bookmark":"BMABBRE100031","j-groupid":3},{"b-find":"appropriate for gestational age (AGA)","e-paracontent":"The nutritional assessment of preterm infants begins immediately after birth with the measurements of birth weight, length, and head circumference. These anthropometrics provide the basis for nutrient needs and growth expectations (Table 35-3). Intrauterine growth charts (Fenton or Olsen) should be used to assess whether the infant is small for gestational age (SGA),&lt;mark&gt;appropriate for gestational age (AGA)&lt;\/mark&gt; or large for gestational age (LGA) and can be used until at least 42 weeks postmenstrual age (PMA).2, 3, 4 The most recent intrauterine chart was published in 20254\u2014an update to the Fenton 2013 charts. The \u201cgold standard\u201d for postnatal growth of preterm infants remains the expected rate of weight gain seen in utero (Table 35-4).2  However, this model does not account for physiologic auto-diuresis  (the expected fluid loss and extra- to intracellular fluid shift that occurs in the first one to two weeks of postnatal life) (Table 35-5). Disregarding this expected loss of fluid weight may promote nutritional strategies that result in rapid weight gain (primarily as adipose tissue). Determining the change in weight-for-age Z score since birth augments the growth assessment by distinguishing between a \u201chealthful\u201d decline in Z score and growth faltering.2  The INTERGROWTH-21st charts do take this phenomenon into account, but they are limited by a small sample size at the lowest gestational ages.2 Weight- and length-for-age Z score changes are included as part of the neonatal malnutrition assessment,5 however these criteria have not yet been consistently validated to predict neurodevelopmental or neuro-disability outcomes at all levels of malnutrition. Weight-for-length Z scores are not available for preterm infants. BMI Z scores are available, but as with older children, BMI measures do not distinguish between fat and lean mass and the outcome significance for preterm infants is unknown.2","c-replace":["appropriate for gestational age (AGA)","AGA"],"ab-name":"Abbreviations","a-name":"Abbreviation_Defined_Twice_or_More","g-rebookmarkname":"","i-wm":"appropriate for gestational age (AGA)","d-description":"An abbreviation is defined more than once. The definition may also be inconsistent.","k-color":"#a24c29","f-bookmark":"BMABBRE100032","j-groupid":4},{"b-find":"large for gestational age (LGA)","e-paracontent":"The nutritional assessment of preterm infants begins immediately after birth with the measurements of birth weight, length, and head circumference. These anthropometrics provide the basis for nutrient needs and growth expectations (Table 35-3). Intrauterine growth charts (Fenton or Olsen) should be used to assess whether the infant is small for gestational age (SGA), appropriate for gestational age (AGA) or&lt;mark&gt;large for gestational age (LGA)&lt;\/mark&gt; and can be used until at least 42 weeks postmenstrual age (PMA).2, 3, 4 The most recent intrauterine chart was published in 20254\u2014an update to the Fenton 2013 charts. The \u201cgold standard\u201d for postnatal growth of preterm infants remains the expected rate of weight gain seen in utero (Table 35-4).2  However, this model does not account for physiologic auto-diuresis  (the expected fluid loss and extra- to intracellular fluid shift that occurs in the first one to two weeks of postnatal life) (Table 35-5). Disregarding this expected loss of fluid weight may promote nutritional strategies that result in rapid weight gain (primarily as adipose tissue). Determining the change in weight-for-age Z score since birth augments the growth assessment by distinguishing between a \u201chealthful\u201d decline in Z score and growth faltering.2  The INTERGROWTH-21st charts do take this phenomenon into account, but they are limited by a small sample size at the lowest gestational ages.2 Weight- and length-for-age Z score changes are included as part of the neonatal malnutrition assessment,5 however these criteria have not yet been consistently validated to predict neurodevelopmental or neuro-disability outcomes at all levels of malnutrition. Weight-for-length Z scores are not available for preterm infants. BMI Z scores are available, but as with older children, BMI measures do not distinguish between fat and lean mass and the outcome significance for preterm infants is unknown.2","c-replace":["large for gestational age (LGA)","LGA"],"ab-name":"Abbreviations","a-name":"Abbreviation_Defined_Twice_or_More","g-rebookmarkname":"","i-wm":"large for gestational age (LGA)","d-description":"An abbreviation is defined more than once. The definition may also be inconsistent.","k-color":"#a24c29","f-bookmark":"BMABBRE100033","j-groupid":5},{"b-find":"postmenstrual age (PMA)","e-paracontent":"The nutritional assessment of preterm infants begins immediately after birth with the measurements of birth weight, length, and head circumference. These anthropometrics provide the basis for nutrient needs and growth expectations (Table 35-3). Intrauterine growth charts (Fenton or Olsen) should be used to assess whether the infant is small for gestational age (SGA), appropriate for gestational age (AGA) or large for gestational age (LGA) and can be used until at least 42 weeks&lt;mark&gt;postmenstrual age (PMA)&lt;\/mark&gt;.2, 3, 4 The most recent intrauterine chart was published in 20254\u2014an update to the Fenton 2013 charts. The \u201cgold standard\u201d for postnatal growth of preterm infants remains the expected rate of weight gain seen in utero (Table 35-4).2  However, this model does not account for physiologic auto-diuresis  (the expected fluid loss and extra- to intracellular fluid shift that occurs in the first one to two weeks of postnatal life) (Table 35-5). Disregarding this expected loss of fluid weight may promote nutritional strategies that result in rapid weight gain (primarily as adipose tissue). Determining the change in weight-for-age Z score since birth augments the growth assessment by distinguishing between a \u201chealthful\u201d decline in Z score and growth faltering.2  The INTERGROWTH-21st charts do take this phenomenon into account, but they are limited by a small sample size at the lowest gestational ages.2 Weight- and length-for-age Z score changes are included as part of the neonatal malnutrition assessment,5 however these criteria have not yet been consistently validated to predict neurodevelopmental or neuro-disability outcomes at all levels of malnutrition. Weight-for-length Z scores are not available for preterm infants. BMI Z scores are available, but as with older children, BMI measures do not distinguish between fat and lean mass and the outcome significance for preterm infants is unknown.2","c-replace":["postmenstrual age (PMA)","PMA"],"ab-name":"Abbreviations","a-name":"Abbreviation_Defined_Twice_or_More","g-rebookmarkname":"","i-wm":"postmenstrual age (PMA)","d-description":"An abbreviation is defined more than once. The definition may also be inconsistent.","k-color":"#a24c29","f-bookmark":"BMABBRE100034","j-groupid":6},{"b-find":"INTERGROWTH","e-paracontent":"The nutritional assessment of preterm infants begins immediately after birth with the measurements of birth weight, length, and head circumference. These anthropometrics provide the basis for nutrient needs and growth expectations (Table 35-3). Intrauterine growth charts (Fenton or Olsen) should be used to assess whether the infant is small for gestational age (SGA), appropriate for gestational age (AGA) or large for gestational age (LGA) and can be used until at least 42 weeks postmenstrual age (PMA).2, 3, 4 The most recent intrauterine chart was published in 20254\u2014an update to the Fenton 2013 charts. The \u201cgold standard\u201d for postnatal growth of preterm infants remains the expected rate of weight gain seen in utero (Table 35-4).2  However, this model does not account for physiologic auto-diuresis  (the expected fluid loss and extra- to intracellular fluid shift that occurs in the first one to two weeks of postnatal life) (Table 35-5). Disregarding this expected loss of fluid weight may promote nutritional strategies that result in rapid weight gain (primarily as adipose tissue). Determining the change in weight-for-age Z score since birth augments the growth assessment by distinguishing between a \u201chealthful\u201d decline in Z score and growth faltering.2  The&lt;mark&gt;INTERGROWTH&lt;\/mark&gt;-21st charts do take this phenomenon into account, but they are limited by a small sample size at the lowest gestational ages.2 Weight- and length-for-age Z score changes are included as part of the neonatal malnutrition assessment,5 however these criteria have not yet been consistently validated to predict neurodevelopmental or neuro-disability outcomes at all levels of malnutrition. Weight-for-length Z scores are not available for preterm infants. BMI Z scores are available, but as with older children, BMI measures do not distinguish between fat and lean mass and the outcome significance for preterm infants is unknown.2","c-replace":[""],"ab-name":"Abbreviations","a-name":"Possible_Abbreviations","g-rebookmarkname":"","i-wm":"INTERGROWTH","d-description":"Word in all caps may be an abbreviation.","k-color":"","f-bookmark":"BMABBRE100035","j-groupid":1},{"b-find":"BMI","e-paracontent":"The nutritional assessment of preterm infants begins immediately after birth with the measurements of birth weight, length, and head circumference. These anthropometrics provide the basis for nutrient needs and growth expectations (Table 35-3). Intrauterine growth charts (Fenton or Olsen) should be used to assess whether the infant is small for gestational age (SGA), appropriate for gestational age (AGA) or large for gestational age (LGA) and can be used until at least 42 weeks postmenstrual age (PMA).2, 3, 4 The most recent intrauterine chart was published in 20254\u2014an update to the Fenton 2013 charts. The \u201cgold standard\u201d for postnatal growth of preterm infants remains the expected rate of weight gain seen in utero (Table 35-4).2  However, this model does not account for physiologic auto-diuresis  (the expected fluid loss and extra- to intracellular fluid shift that occurs in the first one to two weeks of postnatal life) (Table 35-5). Disregarding this expected loss of fluid weight may promote nutritional strategies that result in rapid weight gain (primarily as adipose tissue). Determining the change in weight-for-age Z score since birth augments the growth assessment by distinguishing between a \u201chealthful\u201d decline in Z score and growth faltering.2  The INTERGROWTH-21st charts do take this phenomenon into account, but they are limited by a small sample size at the lowest gestational ages.2 Weight- and length-for-age Z score changes are included as part of the neonatal malnutrition assessment,5 however these criteria have not yet been consistently validated to predict neurodevelopmental or neuro-disability outcomes at all levels of malnutrition. Weight-for-length Z scores are not available for preterm infants.&lt;mark&gt;BMI&lt;\/mark&gt; Z scores are available, but as with older children, BMI measures do not distinguish between fat and lean mass and the outcome significance for preterm infants is unknown.2","c-replace":[""],"ab-name":"Abbreviations","a-name":"Possible_Abbreviations","g-rebookmarkname":"","i-wm":"BMI","d-description":"Word in all caps may be an abbreviation.","k-color":"","f-bookmark":"BMABBRE100036","j-groupid":1},{"b-find":"BMI","e-paracontent":"The nutritional assessment of preterm infants begins immediately after birth with the measurements of birth weight, length, and head circumference. These anthropometrics provide the basis for nutrient needs and growth expectations (Table 35-3). Intrauterine growth charts (Fenton or Olsen) should be used to assess whether the infant is small for gestational age (SGA), appropriate for gestational age (AGA) or large for gestational age (LGA) and can be used until at least 42 weeks postmenstrual age (PMA).2, 3, 4 The most recent intrauterine chart was published in 20254\u2014an update to the Fenton 2013 charts. The \u201cgold standard\u201d for postnatal growth of preterm infants remains the expected rate of weight gain seen in utero (Table 35-4).2  However, this model does not account for physiologic auto-diuresis  (the expected fluid loss and extra- to intracellular fluid shift that occurs in the first one to two weeks of postnatal life) (Table 35-5). Disregarding this expected loss of fluid weight may promote nutritional strategies that result in rapid weight gain (primarily as adipose tissue). Determining the change in weight-for-age Z score since birth augments the growth assessment by distinguishing between a \u201chealthful\u201d decline in Z score and growth faltering.2  The INTERGROWTH-21st charts do take this phenomenon into account, but they are limited by a small sample size at the lowest gestational ages.2 Weight- and length-for-age Z score changes are included as part of the neonatal malnutrition assessment,5 however these criteria have not yet been consistently validated to predict neurodevelopmental or neuro-disability outcomes at all levels of malnutrition. Weight-for-length Z scores are not available for preterm infants. BMI Z scores are available, but as with older children,&lt;mark&gt;BMI&lt;\/mark&gt; measures do not distinguish between fat and lean mass and the outcome significance for preterm infants is unknown.2","c-replace":[""],"ab-name":"Abbreviations","a-name":"Possible_Abbreviations","g-rebookmarkname":"","i-wm":"BMI","d-description":"Word in all caps may be an abbreviation.","k-color":"","f-bookmark":"BMABBRE100037","j-groupid":1},{"b-find":"TAB","e-paracontent":"&lt;TAB35-3&gt;&lt;mark&gt;TAB&lt;\/mark&gt;35-4&gt;&lt;TAB35-5&gt;","c-replace":[""],"ab-name":"Abbreviations","a-name":"Possible_Abbreviations","g-rebookmarkname":"","i-wm":"TAB","d-description":"Word in all caps may be an abbreviation.","k-color":"","f-bookmark":"BMABBRE100064","j-groupid":1},{"b-find":"TAB","e-paracontent":"&lt;TAB35-3&gt;&lt;TAB35-4&gt;&lt;mark&gt;TAB&lt;\/mark&gt;35-5&gt;","c-replace":[""],"ab-name":"Abbreviations","a-name":"Possible_Abbreviations","g-rebookmarkname":"","i-wm":"TAB","d-description":"Word in all caps may be an abbreviation.","k-color":"","f-bookmark":"BMABBRE100065","j-groupid":1},{"b-find":"World Health Organization (WHO)","e-paracontent":"Fenton growth curves are merged with the&lt;mark&gt;World Health Organization (WHO)&lt;\/mark&gt; curves for term infants, which combines intrauterine growth with postnatal growth and results in a \u201cfetal-infant\u201d growth curve that can be used to plot the growth of preterm infants on the same chart until 50 weeks PMA.2,3,4  However, transitioning to the WHO chart earlier (approximately 42-44 weeks PMA) has the added capability of assessing weight-for-length in term (or corrected to term) infants thereby distinguishing between wasting and global (but proportionate) growth faltering. Preterm infants should be plotted on the WHO chart by corrected age. An infant\u2019s corrected age (CA) is the number of weeks the infant was born preterm subtracted from the infant\u2019s chronologic age thereby \u201ccorrecting\u201d the postnatal age for prematurity.6 For example, a preterm infant who is born at 32 weeks GA is born 8 weeks early (40 weeks full term \u2013 32 weeks GA = 8 weeks).  At a chronological age of 12 weeks, this infant would have a corrected age of 4 weeks (12 weeks of age \u2013 8 weeks preterm = 4 weeks CA).  This infant\u2019s weight, length, and head circumference should therefore all be plotted at the 4-week position on the WHO curves.","c-replace":["World Health Organization (WHO)","WHO"],"ab-name":"Abbreviations","a-name":"Abbreviation","g-rebookmarkname":"","i-wm":"World Health Organization (WHO)","d-description":"An abbreviation must appear with its expanded form first and can then only be reused.","k-color":"#a24c29","f-bookmark":"BMABBRE100067","j-groupid":7},{"b-find":"PMA","e-paracontent":"Fenton growth curves are merged with the World Health Organization (WHO) curves for term infants, which combines intrauterine growth with postnatal growth and results in a \u201cfetal-infant\u201d growth curve that can be used to plot the growth of preterm infants on the same chart until 50 weeks&lt;mark&gt;PMA&lt;\/mark&gt;.2,3,4  However, transitioning to the WHO chart earlier (approximately 42-44 weeks PMA) has the added capability of assessing weight-for-length in term (or corrected to term) infants thereby distinguishing between wasting and global (but proportionate) growth faltering. Preterm infants should be plotted on the WHO chart by corrected age. An infant\u2019s corrected age (CA) is the number of weeks the infant was born preterm subtracted from the infant\u2019s chronologic age thereby \u201ccorrecting\u201d the postnatal age for prematurity.6 For example, a preterm infant who is born at 32 weeks GA is born 8 weeks early (40 weeks full term \u2013 32 weeks GA = 8 weeks).  At a chronological age of 12 weeks, this infant would have a corrected age of 4 weeks (12 weeks of age \u2013 8 weeks preterm = 4 weeks CA).  This infant\u2019s weight, length, and head circumference should therefore all be plotted at the 4-week position on the WHO curves.","c-replace":["postmenstrual age (PMA)","PMA"],"ab-name":"Abbreviations","a-name":"Abbreviation","g-rebookmarkname":"","i-wm":"PMA","d-description":"An abbreviation must appear with its expanded form first and can then only be reused.","k-color":"#a24c29","f-bookmark":"BMABBRE100068","j-groupid":6},{"b-find":"WHO","e-paracontent":"Fenton growth curves are merged with the World Health Organization (WHO) curves for term infants, which combines intrauterine growth with postnatal growth and results in a \u201cfetal-infant\u201d growth curve that can be used to plot the growth of preterm infants on the same chart until 50 weeks PMA.2,3,4  However, transitioning to the&lt;mark&gt;WHO&lt;\/mark&gt; chart earlier (approximately 42-44 weeks PMA) has the added capability of assessing weight-for-length in term (or corrected to term) infants thereby distinguishing between wasting and global (but proportionate) growth faltering. Preterm infants should be plotted on the WHO chart by corrected age. An infant\u2019s corrected age (CA) is the number of weeks the infant was born preterm subtracted from the infant\u2019s chronologic age thereby \u201ccorrecting\u201d the postnatal age for prematurity.6 For example, a preterm infant who is born at 32 weeks GA is born 8 weeks early (40 weeks full term \u2013 32 weeks GA = 8 weeks).  At a chronological age of 12 weeks, this infant would have a corrected age of 4 weeks (12 weeks of age \u2013 8 weeks preterm = 4 weeks CA).  This infant\u2019s weight, length, and head circumference should therefore all be plotted at the 4-week position on the WHO curves.","c-replace":["World Health Organization (WHO)","WHO"],"ab-name":"Abbreviations","a-name":"Abbreviation","g-rebookmarkname":"","i-wm":"WHO","d-description":"An abbreviation must appear with its expanded form first and can then only be reused.","k-color":"#a24c29","f-bookmark":"BMABBRE100069","j-groupid":7},{"b-find":"PMA","e-paracontent":"Fenton growth curves are merged with the World Health Organization (WHO) curves for term infants, which combines intrauterine growth with postnatal growth and results in a \u201cfetal-infant\u201d growth curve that can be used to plot the growth of preterm infants on the same chart until 50 weeks PMA.2,3,4  However, transitioning to the WHO chart earlier (approximately 42-44 weeks&lt;mark&gt;PMA&lt;\/mark&gt;) has the added capability of assessing weight-for-length in term (or corrected to term) infants thereby distinguishing between wasting and global (but proportionate) growth faltering. Preterm infants should be plotted on the WHO chart by corrected age. An infant\u2019s corrected age (CA) is the number of weeks the infant was born preterm subtracted from the infant\u2019s chronologic age thereby \u201ccorrecting\u201d the postnatal age for prematurity.6 For example, a preterm infant who is born at 32 weeks GA is born 8 weeks early (40 weeks full term \u2013 32 weeks GA = 8 weeks).  At a chronological age of 12 weeks, this infant would have a corrected age of 4 weeks (12 weeks of age \u2013 8 weeks preterm = 4 weeks CA).  This infant\u2019s weight, length, and head circumference should therefore all be plotted at the 4-week position on the WHO curves.","c-replace":["postmenstrual age (PMA)","PMA"],"ab-name":"Abbreviations","a-name":"Abbreviation","g-rebookmarkname":"","i-wm":"PMA","d-description":"An abbreviation must appear with its expanded form first and can then only be reused.","k-color":"#a24c29","f-bookmark":"BMABBRE100070","j-groupid":6},{"b-find":"WHO","e-paracontent":"Fenton growth curves are merged with the World Health Organization (WHO) curves for term infants, which combines intrauterine growth with postnatal growth and results in a \u201cfetal-infant\u201d growth curve that can be used to plot the growth of preterm infants on the same chart until 50 weeks PMA.2,3,4  However, transitioning to the WHO chart earlier (approximately 42-44 weeks PMA) has the added capability of assessing weight-for-length in term (or corrected to term) infants thereby distinguishing between wasting and global (but proportionate) growth faltering. Preterm infants should be plotted on the&lt;mark&gt;WHO&lt;\/mark&gt; chart by corrected age. An infant\u2019s corrected age (CA) is the number of weeks the infant was born preterm subtracted from the infant\u2019s chronologic age thereby \u201ccorrecting\u201d the postnatal age for prematurity.6 For example, a preterm infant who is born at 32 weeks GA is born 8 weeks early (40 weeks full term \u2013 32 weeks GA = 8 weeks).  At a chronological age of 12 weeks, this infant would have a corrected age of 4 weeks (12 weeks of age \u2013 8 weeks preterm = 4 weeks CA).  This infant\u2019s weight, length, and head circumference should therefore all be plotted at the 4-week position on the WHO curves.","c-replace":["World Health Organization (WHO)","WHO"],"ab-name":"Abbreviations","a-name":"Abbreviation","g-rebookmarkname":"","i-wm":"WHO","d-description":"An abbreviation must appear with its expanded form first and can then only be reused.","k-color":"#a24c29","f-bookmark":"BMABBRE100071","j-groupid":7},{"b-find":"WHO","e-paracontent":"Fenton growth curves are merged with the World Health Organization (WHO) curves for term infants, which combines intrauterine growth with postnatal growth and results in a \u201cfetal-infant\u201d growth curve that can be used to plot the growth of preterm infants on the same chart until 50 weeks PMA.2,3,4  However, transitioning to the WHO chart earlier (approximately 42-44 weeks PMA) has the added capability of assessing weight-for-length in term (or corrected to term) infants thereby distinguishing between wasting and global (but proportionate) growth faltering. Preterm infants should be plotted on the WHO chart by corrected age. An infant\u2019s corrected age (CA) is the number of weeks the infant was born preterm subtracted from the infant\u2019s chronologic age thereby \u201ccorrecting\u201d the postnatal age for prematurity.6 For example, a preterm infant who is born at 32 weeks GA is born 8 weeks early (40 weeks full term \u2013 32 weeks GA = 8 weeks).  At a chronological age of 12 weeks, this infant would have a corrected age of 4 weeks (12 weeks of age \u2013 8 weeks preterm = 4 weeks CA).  This infant\u2019s weight, length, and head circumference should therefore all be plotted at the 4-week position on the&lt;mark&gt;WHO&lt;\/mark&gt; curves.","c-replace":["World Health Organization (WHO)","WHO"],"ab-name":"Abbreviations","a-name":"Abbreviation","g-rebookmarkname":"","i-wm":"WHO","d-description":"An abbreviation must appear with its expanded form first and can then only be reused.","k-color":"#a24c29","f-bookmark":"BMABBRE100072","j-groupid":7},{"b-find":"corrected age","e-paracontent":"Fenton growth curves are merged with the World Health Organization (WHO) curves for term infants, which combines intrauterine growth with postnatal growth and results in a \u201cfetal-infant\u201d growth curve that can be used to plot the growth of preterm infants on the same chart until 50 weeks PMA.2,3,4  However, transitioning to the WHO chart earlier (approximately 42-44 weeks PMA) has the added capability of assessing weight-for-length in term (or corrected to term) infants thereby distinguishing between wasting and global (but proportionate) growth faltering. Preterm infants should be plotted on the WHO chart by&lt;mark&gt;corrected age&lt;\/mark&gt;. An infant\u2019s corrected age (CA) is the number of weeks the infant was born preterm subtracted from the infant\u2019s chronologic age thereby \u201ccorrecting\u201d the postnatal age for prematurity.6 For example, a preterm infant who is born at 32 weeks GA is born 8 weeks early (40 weeks full term \u2013 32 weeks GA = 8 weeks).  At a chronological age of 12 weeks, this infant would have a corrected age of 4 weeks (12 weeks of age \u2013 8 weeks preterm = 4 weeks CA).  This infant\u2019s weight, length, and head circumference should therefore all be plotted at the 4-week position on the WHO curves.","c-replace":["corrected age (CA)","CA"],"ab-name":"Abbreviations","a-name":"Abbreviation_Defined_Twice_or_More","g-rebookmarkname":"","i-wm":"corrected age","d-description":"An abbreviation is defined more than once. The definition may also be inconsistent.","k-color":"#a24c29","f-bookmark":"BMABBRE100073","j-groupid":8},{"b-find":"corrected age (CA)","e-paracontent":"Fenton growth curves are merged with the World Health Organization (WHO) curves for term infants, which combines intrauterine growth with postnatal growth and results in a \u201cfetal-infant\u201d growth curve that can be used to plot the growth of preterm infants on the same chart until 50 weeks PMA.2,3,4  However, transitioning to the WHO chart earlier (approximately 42-44 weeks PMA) has the added capability of assessing weight-for-length in term (or corrected to term) infants thereby distinguishing between wasting and global (but proportionate) growth faltering. Preterm infants should be plotted on the WHO chart by corrected age. An infant\u2019s&lt;mark&gt;corrected age (CA)&lt;\/mark&gt; is the number of weeks the infant was born preterm subtracted from the infant\u2019s chronologic age thereby \u201ccorrecting\u201d the postnatal age for prematurity.6 For example, a preterm infant who is born at 32 weeks GA is born 8 weeks early (40 weeks full term \u2013 32 weeks GA = 8 weeks).  At a chronological age of 12 weeks, this infant would have a corrected age of 4 weeks (12 weeks of age \u2013 8 weeks preterm = 4 weeks CA).  This infant\u2019s weight, length, and head circumference should therefore all be plotted at the 4-week position on the WHO curves.","c-replace":["corrected age (CA)","CA"],"ab-name":"Abbreviations","a-name":"Abbreviation_Defined_Twice_or_More","g-rebookmarkname":"","i-wm":"corrected age (CA)","d-description":"An abbreviation is defined more than once. The definition may also be inconsistent.","k-color":"#a24c29","f-bookmark":"BMABBRE100074","j-groupid":8},{"b-find":"corrected age","e-paracontent":"Fenton growth curves are merged with the World Health Organization (WHO) curves for term infants, which combines intrauterine growth with postnatal growth and results in a \u201cfetal-infant\u201d growth curve that can be used to plot the growth of preterm infants on the same chart until 50 weeks PMA.2,3,4  However, transitioning to the WHO chart earlier (approximately 42-44 weeks PMA) has the added capability of assessing weight-for-length in term (or corrected to term) infants thereby distinguishing between wasting and global (but proportionate) growth faltering. Preterm infants should be plotted on the WHO chart by corrected age. An infant\u2019s corrected age (CA) is the number of weeks the infant was born preterm subtracted from the infant\u2019s chronologic age thereby \u201ccorrecting\u201d the postnatal age for prematurity.6 For example, a preterm infant who is born at 32 weeks GA is born 8 weeks early (40 weeks full term \u2013 32 weeks GA = 8 weeks).  At a chronological age of 12 weeks, this infant would have a&lt;mark&gt;corrected age&lt;\/mark&gt; of 4 weeks (12 weeks of age \u2013 8 weeks preterm = 4 weeks CA).  This infant\u2019s weight, length, and head circumference should therefore all be plotted at the 4-week position on the WHO curves.","c-replace":["corrected age (CA)","CA"],"ab-name":"Abbreviations","a-name":"Abbreviation_Defined_Twice_or_More","g-rebookmarkname":"","i-wm":"corrected age","d-description":"An abbreviation is defined more than once. The definition may also be inconsistent.","k-color":"#a24c29","f-bookmark":"BMABBRE100075","j-groupid":8},{"b-find":"GA","e-paracontent":"Fenton growth curves are merged with the World Health Organization (WHO) curves for term infants, which combines intrauterine growth with postnatal growth and results in a \u201cfetal-infant\u201d growth curve that can be used to plot the growth of preterm infants on the same chart until 50 weeks PMA.2,3,4  However, transitioning to the WHO chart earlier (approximately 42-44 weeks PMA) has the added capability of assessing weight-for-length in term (or corrected to term) infants thereby distinguishing between wasting and global (but proportionate) growth faltering. Preterm infants should be plotted on the WHO chart by corrected age. An infant\u2019s corrected age (CA) is the number of weeks the infant was born preterm subtracted from the infant\u2019s chronologic age thereby \u201ccorrecting\u201d the postnatal age for prematurity.6 For example, a preterm infant who is born at 32 weeks&lt;mark&gt;GA&lt;\/mark&gt; is born 8 weeks early (40 weeks full term \u2013 32 weeks GA = 8 weeks).  At a chronological age of 12 weeks, this infant would have a corrected age of 4 weeks (12 weeks of age \u2013 8 weeks preterm = 4 weeks CA).  This infant\u2019s weight, length, and head circumference should therefore all be plotted at the 4-week position on the WHO curves.","c-replace":["Gestational Age (GA)","GA"],"ab-name":"Abbreviations","a-name":"Abbreviation_Used_Before_Definition","g-rebookmarkname":"","i-wm":"GA","d-description":"An abbreviation is used even before it is defined. Normally an abbreviation is introduced alongwith its expanded form.","k-color":"#a24c29","f-bookmark":"BMABBRE100076","j-groupid":22},{"b-find":"GA","e-paracontent":"Fenton growth curves are merged with the World Health Organization (WHO) curves for term infants, which combines intrauterine growth with postnatal growth and results in a \u201cfetal-infant\u201d growth curve that can be used to plot the growth of preterm infants on the same chart until 50 weeks PMA.2,3,4  However, transitioning to the WHO chart earlier (approximately 42-44 weeks PMA) has the added capability of assessing weight-for-length in term (or corrected to term) infants thereby distinguishing between wasting and global (but proportionate) growth faltering. Preterm infants should be plotted on the WHO chart by corrected age. An infant\u2019s corrected age (CA) is the number of weeks the infant was born preterm subtracted from the infant\u2019s chronologic age thereby \u201ccorrecting\u201d the postnatal age for prematurity.6 For example, a preterm infant who is born at 32 weeks GA is born 8 weeks early (40 weeks full term \u2013 32 weeks&lt;mark&gt;GA&lt;\/mark&gt; = 8 weeks).  At a chronological age of 12 weeks, this infant would have a corrected age of 4 weeks (12 weeks of age \u2013 8 weeks preterm = 4 weeks CA).  This infant\u2019s weight, length, and head circumference should therefore all be plotted at the 4-week position on the WHO curves.","c-replace":["Gestational Age (GA)","GA"],"ab-name":"Abbreviations","a-name":"Abbreviation_Used_Before_Definition","g-rebookmarkname":"","i-wm":"GA","d-description":"An abbreviation is used even before it is defined. Normally an abbreviation is introduced alongwith its expanded form.","k-color":"#a24c29","f-bookmark":"BMABBRE100077","j-groupid":22},{"b-find":"CA","e-paracontent":"Fenton growth curves are merged with the World Health Organization (WHO) curves for term infants, which combines intrauterine growth with postnatal growth and results in a \u201cfetal-infant\u201d growth curve that can be used to plot the growth of preterm infants on the same chart until 50 weeks PMA.2,3,4  However, transitioning to the WHO chart earlier (approximately 42-44 weeks PMA) has the added capability of assessing weight-for-length in term (or corrected to term) infants thereby distinguishing between wasting and global (but proportionate) growth faltering. Preterm infants should be plotted on the WHO chart by corrected age. An infant\u2019s corrected age &lt;mark&gt;CA&lt;\/mark&gt;) is the number of weeks the infant was born preterm subtracted from the infant\u2019s chronologic age thereby \u201ccorrecting\u201d the postnatal age for prematurity.6 For example, a preterm infant who is born at 32 weeks GA is born 8 weeks early (40 weeks full term \u2013 32 weeks GA = 8 weeks).  At a chronological age of 12 weeks, this infant would have a corrected age of 4 weeks (12 weeks of age \u2013 8 weeks preterm = 4 weeks CA).  This infant\u2019s weight, length, and head circumference should therefore all be plotted at the 4-week position on the WHO curves.","c-replace":["corrected age (CA)","CA","ca","Ca"],"ab-name":"Abbreviations","a-name":"Two_Forms","g-rebookmarkname":"","i-wm":"CA","d-description":"An abbreviation that is not spelled consistently in the same document/book.","k-color":"#a24c29","f-bookmark":"BMABBRE100078","j-groupid":8},{"b-find":"CA","e-paracontent":"Fenton growth curves are merged with the World Health Organization (WHO) curves for term infants, which combines intrauterine growth with postnatal growth and results in a \u201cfetal-infant\u201d growth curve that can be used to plot the growth of preterm infants on the same chart until 50 weeks PMA.2,3,4  However, transitioning to the WHO chart earlier (approximately 42-44 weeks PMA) has the added capability of assessing weight-for-length in term (or corrected to term) infants thereby distinguishing between wasting and global (but proportionate) growth faltering. Preterm infants should be plotted on the WHO chart by corrected age. An infant\u2019s corrected age (CA) is the number of weeks the infant was born preterm subtracted from the infant\u2019s chronologic age thereby \u201ccorrecting\u201d the postnatal age for prematurity.6 For example, a preterm infant who is born at 32 weeks GA is born 8 weeks early (40 weeks full term \u2013 32 weeks GA = 8 weeks).  At a chronological age of 12 weeks, this infant would have a corrected age of 4 weeks (12 weeks of age \u2013 8 weeks preterm = 4 weeks&lt;mark&gt;CA&lt;\/mark&gt;).  This infant\u2019s weight, length, and head circumference should therefore all be plotted at the 4-week position on the WHO curves.","c-replace":["corrected age (CA)","CA","ca","Ca"],"ab-name":"Abbreviations","a-name":"Two_Forms","g-rebookmarkname":"","i-wm":"CA","d-description":"An abbreviation that is not spelled consistently in the same document/book.","k-color":"#a24c29","f-bookmark":"BMABBRE100079","j-groupid":8},{"b-find":"NEC","e-paracontent":"Parent\u2019s own human milk is the preferred feeding for nearly all infants (see Chapter 6, Breastfeeding and Human Milk), but it is especially important in preterm infants for immunological protection, intestinal maturation, and&lt;mark&gt;NEC&lt;\/mark&gt; prevention (when compared to formula).  Enteral nutrition should generally begin in the first 24 to 48 hours of life.7 The gestational age of the infant affects the decision to feed by mouth and/or gavage since suck/swallow/breathe coordination does not develop until 32 to 34 weeks\u2019 gestation (Table 35-6).  Feeding initiation and advancement is based on clinical status with close attention to feeding tolerance.  Most NICUs initiate feedings at \u201ctrophic\u201d or \u201cgut-priming\u201d volumes of 10 to 20 mL/kg/day to stimulate gastrointestinal hormones, motility, and maturation,7  followed by daily or twice daily 10-50 mL/kg feeding volume advancements until target volume is reached (typically 150-180 mL/kg/day) (Table 35-7). The youngest and smallest infants may receive gut priming feeds for 1-5 days and advance feedings the slowest. However, a Cochrane review has found no evidence that slow feeding advancement reduces the risk of NEC.8  Optimal timing for fortification is also not established; a wide range of fortification at 20-100 mL/kg has been studied9. The ability to achieve \u201cfull feeds\u201d (goal feeds) is dependent on many factors, including maturity of the gastrointestinal tract, stomach capacity, and respiratory status (Table 35-7).","c-replace":["Necrotizing Enterocolitis (NEC)","NEC"],"ab-name":"Abbreviations","a-name":"Abbreviation","g-rebookmarkname":"","i-wm":"NEC","d-description":"An abbreviation must appear with its expanded form first and can then only be reused.","k-color":"#a24c29","f-bookmark":"BMABBRE100102","j-groupid":18},{"b-find":"NEC","e-paracontent":"Parent\u2019s own human milk is the preferred feeding for nearly all infants (see Chapter 6, Breastfeeding and Human Milk), but it is especially important in preterm infants for immunological protection, intestinal maturation, and NEC prevention (when compared to formula).  Enteral nutrition should generally begin in the first 24 to 48 hours of life.7 The gestational age of the infant affects the decision to feed by mouth and/or gavage since suck/swallow/breathe coordination does not develop until 32 to 34 weeks\u2019 gestation (Table 35-6).  Feeding initiation and advancement is based on clinical status with close attention to feeding tolerance.  Most NICUs initiate feedings at \u201ctrophic\u201d or \u201cgut-priming\u201d volumes of 10 to 20 mL/kg/day to stimulate gastrointestinal hormones, motility, and maturation,7  followed by daily or twice daily 10-50 mL/kg feeding volume advancements until target volume is reached (typically 150-180 mL/kg/day) (Table 35-7). The youngest and smallest infants may receive gut priming feeds for 1-5 days and advance feedings the slowest. However, a Cochrane review has found no evidence that slow feeding advancement reduces the risk of&lt;mark&gt;NEC&lt;\/mark&gt;.8  Optimal timing for fortification is also not established; a wide range of fortification at 20-100 mL/kg has been studied9. The ability to achieve \u201cfull feeds\u201d (goal feeds) is dependent on many factors, including maturity of the gastrointestinal tract, stomach capacity, and respiratory status (Table 35-7).","c-replace":["Necrotizing Enterocolitis (NEC)","NEC"],"ab-name":"Abbreviations","a-name":"Abbreviation","g-rebookmarkname":"","i-wm":"NEC","d-description":"An abbreviation must appear with its expanded form first and can then only be reused.","k-color":"#a24c29","f-bookmark":"BMABBRE100103","j-groupid":18},{"b-find":"gestational age","e-paracontent":"Parent\u2019s own human milk is the preferred feeding for nearly all infants (see Chapter 6, Breastfeeding and Human Milk), but it is especially important in preterm infants for immunological protection, intestinal maturation, and NEC prevention (when compared to formula).  Enteral nutrition should generally begin in the first 24 to 48 hours of life.7 The&lt;mark&gt;gestational age&lt;\/mark&gt; of the infant affects the decision to feed by mouth and/or gavage since suck/swallow/breathe coordination does not develop until 32 to 34 weeks\u2019 gestation (Table 35-6).  Feeding initiation and advancement is based on clinical status with close attention to feeding tolerance.  Most NICUs initiate feedings at \u201ctrophic\u201d or \u201cgut-priming\u201d volumes of 10 to 20 mL/kg/day to stimulate gastrointestinal hormones, motility, and maturation,7  followed by daily or twice daily 10-50 mL/kg feeding volume advancements until target volume is reached (typically 150-180 mL/kg/day) (Table 35-7). The youngest and smallest infants may receive gut priming feeds for 1-5 days and advance feedings the slowest. However, a Cochrane review has found no evidence that slow feeding advancement reduces the risk of NEC.8  Optimal timing for fortification is also not established; a wide range of fortification at 20-100 mL/kg has been studied9. The ability to achieve \u201cfull feeds\u201d (goal feeds) is dependent on many factors, including maturity of the gastrointestinal tract, stomach capacity, and respiratory status (Table 35-7).","c-replace":["Gestational Age (GA)","GA"],"ab-name":"Abbreviations","a-name":"Abbreviation_Defined_Twice_or_More","g-rebookmarkname":"","i-wm":"gestational age","d-description":"An abbreviation is defined more than once. The definition may also be inconsistent.","k-color":"#a24c29","f-bookmark":"BMABBRE100104","j-groupid":22},{"b-find":"TAB","e-paracontent":"&lt;TAB35-6&gt;&lt;mark&gt;TAB&lt;\/mark&gt;35-7&gt;","c-replace":[""],"ab-name":"Abbreviations","a-name":"Possible_Abbreviations","g-rebookmarkname":"","i-wm":"TAB","d-description":"Word in all caps may be an abbreviation.","k-color":"","f-bookmark":"BMABBRE100120","j-groupid":1},{"b-find":"GA","e-paracontent":"Fortification of human milk with human milk fortifiers (HMF) is recommended for all infants born &lt; 32 weeks&lt;mark&gt;GA&lt;\/mark&gt; or with a birth weight of &lt; 1500 grams up until at least a late preterm PMA.10,11 Human milk fortifiers contain most macro- and micronutrients, but are particularly notable for their energy, protein, calcium, phosphorus, zinc, and vitamin A content. Bovine protein-based HMFs are available in different protein types (casein vs. whey), levels of hydrolysis (polymeric vs. partial vs. extensive), and protein content (low vs. high vs. standard). Human milk-based HMFs are also available. Generally, HMFs are added when tolerance to moderate volumes of human milk have been established (60-100 mL/kg), although NICU practices vary.12 Further fortification may be required in the setting of poor growth or in instances of fluid restriction.  A variety of macronutrient-specific additives (modulars) can be used to meet individualized patient needs (Table 35-8). Chapter 16, Enteral Nutrition, has additional information on specific fortification and modular products. If parent\u2019s own human milk is not available, the use of pasteurized or irradiated donor human milk should be considered.  Donor human milk is preferred for high-risk neonates, typically those &lt; 32 weeks PMA, &lt; 1500 grams, with a history of NEC, or with congenital cardiac defects at risk of developing ischemic bowel.11","c-replace":["Gestational Age (GA)","GA"],"ab-name":"Abbreviations","a-name":"Abbreviation","g-rebookmarkname":"","i-wm":"GA","d-description":"An abbreviation must appear with its expanded form first and can then only be reused.","k-color":"#a24c29","f-bookmark":"BMABBRE100121","j-groupid":22},{"b-find":"PMA","e-paracontent":"Fortification of human milk with human milk fortifiers (HMF) is recommended for all infants born &lt; 32 weeks GA or with a birth weight of &lt; 1500 grams up until at least a late preterm&lt;mark&gt;PMA&lt;\/mark&gt;.10,11 Human milk fortifiers contain most macro- and micronutrients, but are particularly notable for their energy, protein, calcium, phosphorus, zinc, and vitamin A content. Bovine protein-based HMFs are available in different protein types (casein vs. whey), levels of hydrolysis (polymeric vs. partial vs. extensive), and protein content (low vs. high vs. standard). Human milk-based HMFs are also available. Generally, HMFs are added when tolerance to moderate volumes of human milk have been established (60-100 mL/kg), although NICU practices vary.12 Further fortification may be required in the setting of poor growth or in instances of fluid restriction.  A variety of macronutrient-specific additives (modulars) can be used to meet individualized patient needs (Table 35-8). Chapter 16, Enteral Nutrition, has additional information on specific fortification and modular products. If parent\u2019s own human milk is not available, the use of pasteurized or irradiated donor human milk should be considered.  Donor human milk is preferred for high-risk neonates, typically those &lt; 32 weeks PMA, &lt; 1500 grams, with a history of NEC, or with congenital cardiac defects at risk of developing ischemic bowel.11","c-replace":["postmenstrual age (PMA)","PMA"],"ab-name":"Abbreviations","a-name":"Abbreviation","g-rebookmarkname":"","i-wm":"PMA","d-description":"An abbreviation must appear with its expanded form first and can then only be reused.","k-color":"#a24c29","f-bookmark":"BMABBRE100122","j-groupid":6},{"b-find":"NICU","e-paracontent":"Fortification of human milk with human milk fortifiers (HMF) is recommended for all infants born &lt; 32 weeks GA or with a birth weight of &lt; 1500 grams up until at least a late preterm PMA.10,11 Human milk fortifiers contain most macro- and micronutrients, but are particularly notable for their energy, protein, calcium, phosphorus, zinc, and vitamin A content. Bovine protein-based HMFs are available in different protein types (casein vs. whey), levels of hydrolysis (polymeric vs. partial vs. extensive), and protein content (low vs. high vs. standard). Human milk-based HMFs are also available. Generally, HMFs are added when tolerance to moderate volumes of human milk have been established (60-100 mL/kg), although&lt;mark&gt;NICU&lt;\/mark&gt; practices vary.12 Further fortification may be required in the setting of poor growth or in instances of fluid restriction.  A variety of macronutrient-specific additives (modulars) can be used to meet individualized patient needs (Table 35-8). Chapter 16, Enteral Nutrition, has additional information on specific fortification and modular products. If parent\u2019s own human milk is not available, the use of pasteurized or irradiated donor human milk should be considered.  Donor human milk is preferred for high-risk neonates, typically those &lt; 32 weeks PMA, &lt; 1500 grams, with a history of NEC, or with congenital cardiac defects at risk of developing ischemic bowel.11","c-replace":["neonatal intensive care units (NICU)","NICU"],"ab-name":"Abbreviations","a-name":"Abbreviation","g-rebookmarkname":"","i-wm":"NICU","d-description":"An abbreviation must appear with its expanded form first and can then only be reused.","k-color":"#a24c29","f-bookmark":"BMABBRE100123","j-groupid":2},{"b-find":"PMA","e-paracontent":"Fortification of human milk with human milk fortifiers (HMF) is recommended for all infants born &lt; 32 weeks GA or with a birth weight of &lt; 1500 grams up until at least a late preterm PMA.10,11 Human milk fortifiers contain most macro- and micronutrients, but are particularly notable for their energy, protein, calcium, phosphorus, zinc, and vitamin A content. Bovine protein-based HMFs are available in different protein types (casein vs. whey), levels of hydrolysis (polymeric vs. partial vs. extensive), and protein content (low vs. high vs. standard). Human milk-based HMFs are also available. Generally, HMFs are added when tolerance to moderate volumes of human milk have been established (60-100 mL/kg), although NICU practices vary.12 Further fortification may be required in the setting of poor growth or in instances of fluid restriction.  A variety of macronutrient-specific additives (modulars) can be used to meet individualized patient needs (Table 35-8). Chapter 16, Enteral Nutrition, has additional information on specific fortification and modular products. If parent\u2019s own human milk is not available, the use of pasteurized or irradiated donor human milk should be considered.  Donor human milk is preferred for high-risk neonates, typically those &lt; 32 weeks&lt;mark&gt;PMA&lt;\/mark&gt;, &lt; 1500 grams, with a history of NEC, or with congenital cardiac defects at risk of developing ischemic bowel.11","c-replace":["postmenstrual age (PMA)","PMA"],"ab-name":"Abbreviations","a-name":"Abbreviation","g-rebookmarkname":"","i-wm":"PMA","d-description":"An abbreviation must appear with its expanded form first and can then only be reused.","k-color":"#a24c29","f-bookmark":"BMABBRE100124","j-groupid":6},{"b-find":"NEC","e-paracontent":"Fortification of human milk with human milk fortifiers (HMF) is recommended for all infants born &lt; 32 weeks GA or with a birth weight of &lt; 1500 grams up until at least a late preterm PMA.10,11 Human milk fortifiers contain most macro- and micronutrients, but are particularly notable for their energy, protein, calcium, phosphorus, zinc, and vitamin A content. Bovine protein-based HMFs are available in different protein types (casein vs. whey), levels of hydrolysis (polymeric vs. partial vs. extensive), and protein content (low vs. high vs. standard). Human milk-based HMFs are also available. Generally, HMFs are added when tolerance to moderate volumes of human milk have been established (60-100 mL/kg), although NICU practices vary.12 Further fortification may be required in the setting of poor growth or in instances of fluid restriction.  A variety of macronutrient-specific additives (modulars) can be used to meet individualized patient needs (Table 35-8). Chapter 16, Enteral Nutrition, has additional information on specific fortification and modular products. If parent\u2019s own human milk is not available, the use of pasteurized or irradiated donor human milk should be considered.  Donor human milk is preferred for high-risk neonates, typically those &lt; 32 weeks PMA, &lt; 1500 grams, with a history of&lt;mark&gt;NEC&lt;\/mark&gt;, or with congenital cardiac defects at risk of developing ischemic bowel.11","c-replace":["Necrotizing Enterocolitis (NEC)","NEC"],"ab-name":"Abbreviations","a-name":"Abbreviation","g-rebookmarkname":"","i-wm":"NEC","d-description":"An abbreviation must appear with its expanded form first and can then only be reused.","k-color":"#a24c29","f-bookmark":"BMABBRE100125","j-groupid":18},{"b-find":"human milk fortifiers (HMF)","e-paracontent":"Fortification of human milk with&lt;mark&gt;human milk fortifiers (HMF)&lt;\/mark&gt; is recommended for all infants born &lt; 32 weeks GA or with a birth weight of &lt; 1500 grams up until at least a late preterm PMA.10,11 Human milk fortifiers contain most macro- and micronutrients, but are particularly notable for their energy, protein, calcium, phosphorus, zinc, and vitamin A content. Bovine protein-based HMFs are available in different protein types (casein vs. whey), levels of hydrolysis (polymeric vs. partial vs. extensive), and protein content (low vs. high vs. standard). Human milk-based HMFs are also available. Generally, HMFs are added when tolerance to moderate volumes of human milk have been established (60-100 mL/kg), although NICU practices vary.12 Further fortification may be required in the setting of poor growth or in instances of fluid restriction.  A variety of macronutrient-specific additives (modulars) can be used to meet individualized patient needs (Table 35-8). Chapter 16, Enteral Nutrition, has additional information on specific fortification and modular products. If parent\u2019s own human milk is not available, the use of pasteurized or irradiated donor human milk should be considered.  Donor human milk is preferred for high-risk neonates, typically those &lt; 32 weeks PMA, &lt; 1500 grams, with a history of NEC, or with congenital cardiac defects at risk of developing ischemic bowel.11","c-replace":["human milk fortifiers (HMF)","HMF"],"ab-name":"Abbreviations","a-name":"Abbreviation_Defined_Twice_or_More","g-rebookmarkname":"","i-wm":"human milk fortifiers (HMF)","d-description":"An abbreviation is defined more than once. The definition may also be inconsistent.","k-color":"#a24c29","f-bookmark":"BMABBRE100126","j-groupid":9},{"b-find":"Human milk fortifiers","e-paracontent":"Fortification of human milk with human milk fortifiers (HMF) is recommended for all infants born &lt; 32 weeks GA or with a birth weight of &lt; 1500 grams up until at least a late preterm PMA.10,11&lt;mark&gt;Human milk fortifiers&lt;\/mark&gt; contain most macro- and micronutrients, but are particularly notable for their energy, protein, calcium, phosphorus, zinc, and vitamin A content. Bovine protein-based HMFs are available in different protein types (casein vs. whey), levels of hydrolysis (polymeric vs. partial vs. extensive), and protein content (low vs. high vs. standard). Human milk-based HMFs are also available. Generally, HMFs are added when tolerance to moderate volumes of human milk have been established (60-100 mL/kg), although NICU practices vary.12 Further fortification may be required in the setting of poor growth or in instances of fluid restriction.  A variety of macronutrient-specific additives (modulars) can be used to meet individualized patient needs (Table 35-8). Chapter 16, Enteral Nutrition, has additional information on specific fortification and modular products. If parent\u2019s own human milk is not available, the use of pasteurized or irradiated donor human milk should be considered.  Donor human milk is preferred for high-risk neonates, typically those &lt; 32 weeks PMA, &lt; 1500 grams, with a history of NEC, or with congenital cardiac defects at risk of developing ischemic bowel.11","c-replace":["human milk fortifiers (HMF)","HMF"],"ab-name":"Abbreviations","a-name":"Abbreviation_Defined_Twice_or_More","g-rebookmarkname":"","i-wm":"Human milk fortifiers","d-description":"An abbreviation is defined more than once. The definition may also be inconsistent.","k-color":"#a24c29","f-bookmark":"BMABBRE100127","j-groupid":9},{"b-find":"HMF","e-paracontent":"Preterm infants require supplementation with 2-4 mg/kg/day of elemental iron due to anemia of prematurity.10,11 At a typical feeding volume of 150 mL/kg/day and energy density of 24 Cal/fl. oz., most iron fortified formulas provide 2.2 mg/kg/day; the iron content of human milk fortified with&lt;mark&gt;HMF&lt;\/mark&gt; needs to be calculated because iron content varies by HMF product. Supplementation with vitamin D is also routine with a minimum goal (feeds + supplementation) of 10 mcg/day.10 Higher dosing may be needed for infants with osteopenia of prematurity.","c-replace":["human milk fortifiers (HMF)","HMF"],"ab-name":"Abbreviations","a-name":"Abbreviation","g-rebookmarkname":"","i-wm":"HMF","d-description":"An abbreviation must appear with its expanded form first and can then only be reused.","k-color":"#a24c29","f-bookmark":"BMABBRE100157","j-groupid":9},{"b-find":"HMF","e-paracontent":"Preterm infants require supplementation with 2-4 mg/kg/day of elemental iron due to anemia of prematurity.10,11 At a typical feeding volume of 150 mL/kg/day and energy density of 24 Cal/fl. oz., most iron fortified formulas provide 2.2 mg/kg/day; the iron content of human milk fortified with HMF needs to be calculated because iron content varies by&lt;mark&gt;HMF&lt;\/mark&gt; product. Supplementation with vitamin D is also routine with a minimum goal (feeds + supplementation) of 10 mcg/day.10 Higher dosing may be needed for infants with osteopenia of prematurity.","c-replace":["human milk fortifiers (HMF)","HMF"],"ab-name":"Abbreviations","a-name":"Abbreviation","g-rebookmarkname":"","i-wm":"HMF","d-description":"An abbreviation must appear with its expanded form first and can then only be reused.","k-color":"#a24c29","f-bookmark":"BMABBRE100158","j-groupid":9},{"b-find":"NEC","e-paracontent":"During periods when enteral nutrition is incomplete (such as in the first days after birth while enteral feeds are advancing) or is contraindicated (due to severe hemodynamic instability,&lt;mark&gt;NEC&lt;\/mark&gt;, or other congenital gastrointestinal anomalies) parenteral nutrition (PN) should be initiated. Parenteral nutrition should begin within the first few hours of life for preterm infants born &lt; 32 weeks gestation or with a birth weight &lt; 1500 g to prevent catabolism and hypoglycemia secondary to limited glycogen stores.  The PN solution should be advanced daily to provide recommended fluid and nutrient estimates (Table 35-5) while enteral feeding volumes are low. PN can then be weaned as enteral feeds advance to reach goal volumes and energy density.","c-replace":["Necrotizing Enterocolitis (NEC)","NEC"],"ab-name":"Abbreviations","a-name":"Abbreviation","g-rebookmarkname":"","i-wm":"NEC","d-description":"An abbreviation must appear with its expanded form first and can then only be reused.","k-color":"#a24c29","f-bookmark":"BMABBRE100167","j-groupid":18},{"b-find":"PN","e-paracontent":"During periods when enteral nutrition is incomplete (such as in the first days after birth while enteral feeds are advancing) or is contraindicated (due to severe hemodynamic instability, NEC, or other congenital gastrointestinal anomalies) parenteral nutrition (PN) should be initiated. Parenteral nutrition should begin within the first few hours of life for preterm infants born &lt; 32 weeks gestation or with a birth weight &lt; 1500 g to prevent catabolism and hypoglycemia secondary to limited glycogen stores.  The&lt;mark&gt;PN&lt;\/mark&gt; solution should be advanced daily to provide recommended fluid and nutrient estimates (Table 35-5) while enteral feeding volumes are low. PN can then be weaned as enteral feeds advance to reach goal volumes and energy density.","c-replace":["parenteral nutrition (PN)","PN"],"ab-name":"Abbreviations","a-name":"Abbreviation","g-rebookmarkname":"","i-wm":"PN","d-description":"An abbreviation must appear with its expanded form first and can then only be reused.","k-color":"#a24c29","f-bookmark":"BMABBRE100168","j-groupid":10},{"b-find":"PN","e-paracontent":"During periods when enteral nutrition is incomplete (such as in the first days after birth while enteral feeds are advancing) or is contraindicated (due to severe hemodynamic instability, NEC, or other congenital gastrointestinal anomalies) parenteral nutrition (PN) should be initiated. Parenteral nutrition should begin within the first few hours of life for preterm infants born &lt; 32 weeks gestation or with a birth weight &lt; 1500 g to prevent catabolism and hypoglycemia secondary to limited glycogen stores.  The PN solution should be advanced daily to provide recommended fluid and nutrient estimates (Table 35-5) while enteral feeding volumes are low.&lt;mark&gt;PN&lt;\/mark&gt; can then be weaned as enteral feeds advance to reach goal volumes and energy density.","c-replace":["parenteral nutrition (PN)","PN"],"ab-name":"Abbreviations","a-name":"Abbreviation","g-rebookmarkname":"","i-wm":"PN","d-description":"An abbreviation must appear with its expanded form first and can then only be reused.","k-color":"#a24c29","f-bookmark":"BMABBRE100169","j-groupid":10},{"b-find":"parenteral nutrition (PN)","e-paracontent":"During periods when enteral nutrition is incomplete (such as in the first days after birth while enteral feeds are advancing) or is contraindicated (due to severe hemodynamic instability, NEC, or other congenital gastrointestinal anomalies)&lt;mark&gt;parenteral nutrition (PN)&lt;\/mark&gt; should be initiated. Parenteral nutrition should begin within the first few hours of life for preterm infants born &lt; 32 weeks gestation or with a birth weight &lt; 1500 g to prevent catabolism and hypoglycemia secondary to limited glycogen stores.  The PN solution should be advanced daily to provide recommended fluid and nutrient estimates (Table 35-5) while enteral feeding volumes are low. PN can then be weaned as enteral feeds advance to reach goal volumes and energy density.","c-replace":["parenteral nutrition (PN)","PN"],"ab-name":"Abbreviations","a-name":"Abbreviation_Defined_Twice_or_More","g-rebookmarkname":"","i-wm":"parenteral nutrition (PN)","d-description":"An abbreviation is defined more than once. The definition may also be inconsistent.","k-color":"#a24c29","f-bookmark":"BMABBRE100170","j-groupid":10},{"b-find":"Parenteral nutrition","e-paracontent":"During periods when enteral nutrition is incomplete (such as in the first days after birth while enteral feeds are advancing) or is contraindicated (due to severe hemodynamic instability, NEC, or other congenital gastrointestinal anomalies) parenteral nutrition (PN) should be initiated.&lt;mark&gt;Parenteral nutrition&lt;\/mark&gt; should begin within the first few hours of life for preterm infants born &lt; 32 weeks gestation or with a birth weight &lt; 1500 g to prevent catabolism and hypoglycemia secondary to limited glycogen stores.  The PN solution should be advanced daily to provide recommended fluid and nutrient estimates (Table 35-5) while enteral feeding volumes are low. PN can then be weaned as enteral feeds advance to reach goal volumes and energy density.","c-replace":["parenteral nutrition (PN)","PN"],"ab-name":"Abbreviations","a-name":"Abbreviation_Defined_Twice_or_More","g-rebookmarkname":"","i-wm":"Parenteral nutrition","d-description":"An abbreviation is defined more than once. The definition may also be inconsistent.","k-color":"#a24c29","f-bookmark":"BMABBRE100171","j-groupid":10},{"b-find":"PN","e-paracontent":"Amino acid requirements in preterm infants are different both qualitatively and quantitatively from term infants and older children.  Some amino acids, such as L-cysteine and taurine, are conditionally essential because preterm infants do not synthesize them in sufficient quantities as term infants do and can be added to&lt;mark&gt;PN&lt;\/mark&gt;.  A specialized amino acid blend, designed to approximate the blood amino acid profile of the human milk fed infant, is used for PN in the preterm infant. Extremely preterm and/or extremely low birth weight (ELBW) infants have increased rates of protein turnover. Therefore, they require higher protein intake than term infants to achieve ideal growth velocity and positive nitrogen balance. ","c-replace":["parenteral nutrition (PN)","PN"],"ab-name":"Abbreviations","a-name":"Abbreviation","g-rebookmarkname":"","i-wm":"PN","d-description":"An abbreviation must appear with its expanded form first and can then only be reused.","k-color":"#a24c29","f-bookmark":"BMABBRE100184","j-groupid":10},{"b-find":"PN","e-paracontent":"Amino acid requirements in preterm infants are different both qualitatively and quantitatively from term infants and older children.  Some amino acids, such as L-cysteine and taurine, are conditionally essential because preterm infants do not synthesize them in sufficient quantities as term infants do and can be added to PN.  A specialized amino acid blend, designed to approximate the blood amino acid profile of the human milk fed infant, is used for&lt;mark&gt;PN&lt;\/mark&gt; in the preterm infant. Extremely preterm and/or extremely low birth weight (ELBW) infants have increased rates of protein turnover. Therefore, they require higher protein intake than term infants to achieve ideal growth velocity and positive nitrogen balance. ","c-replace":["parenteral nutrition (PN)","PN"],"ab-name":"Abbreviations","a-name":"Abbreviation","g-rebookmarkname":"","i-wm":"PN","d-description":"An abbreviation must appear with its expanded form first and can then only be reused.","k-color":"#a24c29","f-bookmark":"BMABBRE100185","j-groupid":10},{"b-find":"extremely low birth weight (ELBW)","e-paracontent":"Amino acid requirements in preterm infants are different both qualitatively and quantitatively from term infants and older children.  Some amino acids, such as L-cysteine and taurine, are conditionally essential because preterm infants do not synthesize them in sufficient quantities as term infants do and can be added to PN.  A specialized amino acid blend, designed to approximate the blood amino acid profile of the human milk fed infant, is used for PN in the preterm infant. Extremely preterm and/or&lt;mark&gt;extremely low birth weight (ELBW)&lt;\/mark&gt; infants have increased rates of protein turnover. Therefore, they require higher protein intake than term infants to achieve ideal growth velocity and positive nitrogen balance. ","c-replace":["extremely low birth weight (ELBW)","ELBW"],"ab-name":"Abbreviations","a-name":"Abbreviation_Defined_Twice_or_More","g-rebookmarkname":"","i-wm":"extremely low birth weight (ELBW)","d-description":"An abbreviation is defined more than once. The definition may also be inconsistent.","k-color":"#a24c29","f-bookmark":"BMABBRE100186","j-groupid":11},{"b-find":"PN","e-paracontent":" For most preterm infants, a soybean or mixed oil based lipid solution is recommended as a calorically-dense energy source as well as to supply the essential fatty acids (α-linolenic and linoleic acids).13  Hypertriglyceridemia, fasting serum triglyceride level &gt; 250 mg/dL, may occur in preterm infants due to reduced lipoprotein lipase activity;14 treatment may require a dose reduction in the infusion of lipids or a cycled infusion (i.e., an infusion of the same volume over fewer hours).  Patient-specific lipid emulsion recommendations continue to evolve as more research on newer-to-market mixed oil and 100% fish oil emulsions become available. For infants on&lt;mark&gt;PN&lt;\/mark&gt; long-term (&gt; 3-4 weeks), a mixed oil or fish oil lipid emulsion may be utilized as prevention (mixed oil) or treatment (fish oil) for intestinal failure-associated liver disease (IFALD) or Parenteral Nutrition Associated Cholestasis (PNAC). Alternatively, a reduced dose of soybean oil lipid emulsion may reduce the risks of IFALD while also providing an adequate amount of essential fatty acids to prevent and treat essential fatty acid deficiency. Mixed oil lipid emulsions should not be dose restricted because there is a higher risk of developing an essential fatty acid deficiency than with soybean oil lipid emulsions. Serum fatty acid profiles should be monitored in all infants receiving reduced dosing of soybean oil emulsions or goal dosing of mixed and fish oil lipid injectable emulsions, especially if enteral fat intake is minimal. When lipid emulsions are dose restricted, high glucose infusion rates need to be tolerated to maintain adequate parenteral energy infusion. See also Chapter 17, Parenteral Nutrition.","c-replace":["parenteral nutrition (PN)","PN"],"ab-name":"Abbreviations","a-name":"Abbreviation","g-rebookmarkname":"","i-wm":"PN","d-description":"An abbreviation must appear with its expanded form first and can then only be reused.","k-color":"#a24c29","f-bookmark":"BMABBRE100199","j-groupid":10},{"b-find":"intestinal failure-associated liver disease (IFALD)","e-paracontent":" For most preterm infants, a soybean or mixed oil based lipid solution is recommended as a calorically-dense energy source as well as to supply the essential fatty acids (α-linolenic and linoleic acids).13  Hypertriglyceridemia, fasting serum triglyceride level &gt; 250 mg/dL, may occur in preterm infants due to reduced lipoprotein lipase activity;14 treatment may require a dose reduction in the infusion of lipids or a cycled infusion (i.e., an infusion of the same volume over fewer hours).  Patient-specific lipid emulsion recommendations continue to evolve as more research on newer-to-market mixed oil and 100% fish oil emulsions become available. For infants on PN long-term (&gt; 3-4 weeks), a mixed oil or fish oil lipid emulsion may be utilized as prevention (mixed oil) or treatment (fish oil) for&lt;mark&gt;intestinal failure-associated liver disease (IFALD)&lt;\/mark&gt; or Parenteral Nutrition Associated Cholestasis (PNAC). Alternatively, a reduced dose of soybean oil lipid emulsion may reduce the risks of IFALD while also providing an adequate amount of essential fatty acids to prevent and treat essential fatty acid deficiency. Mixed oil lipid emulsions should not be dose restricted because there is a higher risk of developing an essential fatty acid deficiency than with soybean oil lipid emulsions. Serum fatty acid profiles should be monitored in all infants receiving reduced dosing of soybean oil emulsions or goal dosing of mixed and fish oil lipid injectable emulsions, especially if enteral fat intake is minimal. When lipid emulsions are dose restricted, high glucose infusion rates need to be tolerated to maintain adequate parenteral energy infusion. See also Chapter 17, Parenteral Nutrition.","c-replace":["intestinal failure-associated liver disease (IFALD)","IFALD"],"ab-name":"Abbreviations","a-name":"Abbreviation","g-rebookmarkname":"","i-wm":"intestinal failure-associated liver disease (IFALD)","d-description":"An abbreviation must appear with its expanded form first and can then only be reused.","k-color":"#a24c29","f-bookmark":"BMABBRE100200","j-groupid":12},{"b-find":"IFALD","e-paracontent":" For most preterm infants, a soybean or mixed oil based lipid solution is recommended as a calorically-dense energy source as well as to supply the essential fatty acids (α-linolenic and linoleic acids).13  Hypertriglyceridemia, fasting serum triglyceride level &gt; 250 mg/dL, may occur in preterm infants due to reduced lipoprotein lipase activity;14 treatment may require a dose reduction in the infusion of lipids or a cycled infusion (i.e., an infusion of the same volume over fewer hours).  Patient-specific lipid emulsion recommendations continue to evolve as more research on newer-to-market mixed oil and 100% fish oil emulsions become available. For infants on PN long-term (&gt; 3-4 weeks), a mixed oil or fish oil lipid emulsion may be utilized as prevention (mixed oil) or treatment (fish oil) for intestinal failure-associated liver disease (IFALD) or Parenteral Nutrition Associated Cholestasis (PNAC). Alternatively, a reduced dose of soybean oil lipid emulsion may reduce the risks of&lt;mark&gt;IFALD&lt;\/mark&gt; while also providing an adequate amount of essential fatty acids to prevent and treat essential fatty acid deficiency. Mixed oil lipid emulsions should not be dose restricted because there is a higher risk of developing an essential fatty acid deficiency than with soybean oil lipid emulsions. Serum fatty acid profiles should be monitored in all infants receiving reduced dosing of soybean oil emulsions or goal dosing of mixed and fish oil lipid injectable emulsions, especially if enteral fat intake is minimal. When lipid emulsions are dose restricted, high glucose infusion rates need to be tolerated to maintain adequate parenteral energy infusion. See also Chapter 17, Parenteral Nutrition.","c-replace":["intestinal failure-associated liver disease (IFALD)","IFALD"],"ab-name":"Abbreviations","a-name":"Abbreviation","g-rebookmarkname":"","i-wm":"IFALD","d-description":"An abbreviation must appear with its expanded form first and can then only be reused.","k-color":"#a24c29","f-bookmark":"BMABBRE100201","j-groupid":12},{"b-find":"Parenteral Nutrition Associated Cholestasis (PNAC)","e-paracontent":" For most preterm infants, a soybean or mixed oil based lipid solution is recommended as a calorically-dense energy source as well as to supply the essential fatty acids (α-linolenic and linoleic acids).13  Hypertriglyceridemia, fasting serum triglyceride level &gt; 250 mg/dL, may occur in preterm infants due to reduced lipoprotein lipase activity;14 treatment may require a dose reduction in the infusion of lipids or a cycled infusion (i.e., an infusion of the same volume over fewer hours).  Patient-specific lipid emulsion recommendations continue to evolve as more research on newer-to-market mixed oil and 100% fish oil emulsions become available. For infants on PN long-term (&gt; 3-4 weeks), a mixed oil or fish oil lipid emulsion may be utilized as prevention (mixed oil) or treatment (fish oil) for intestinal failure-associated liver disease (IFALD) or&lt;mark&gt;Parenteral Nutrition Associated Cholestasis (PNAC)&lt;\/mark&gt;. Alternatively, a reduced dose of soybean oil lipid emulsion may reduce the risks of IFALD while also providing an adequate amount of essential fatty acids to prevent and treat essential fatty acid deficiency. Mixed oil lipid emulsions should not be dose restricted because there is a higher risk of developing an essential fatty acid deficiency than with soybean oil lipid emulsions. Serum fatty acid profiles should be monitored in all infants receiving reduced dosing of soybean oil emulsions or goal dosing of mixed and fish oil lipid injectable emulsions, especially if enteral fat intake is minimal. When lipid emulsions are dose restricted, high glucose infusion rates need to be tolerated to maintain adequate parenteral energy infusion. See also Chapter 17, Parenteral Nutrition.","c-replace":["Parenteral Nutrition Associated Cholestasis (PNAC)","PNAC"],"ab-name":"Abbreviations","a-name":"Abbreviation_Defined_Twice_or_More","g-rebookmarkname":"","i-wm":"Parenteral Nutrition Associated Cholestasis (PNAC)","d-description":"An abbreviation is defined more than once. The definition may also be inconsistent.","k-color":"#a24c29","f-bookmark":"BMABBRE100202","j-groupid":13},{"b-find":"Parenteral Nutrition","e-paracontent":" For most preterm infants, a soybean or mixed oil based lipid solution is recommended as a calorically-dense energy source as well as to supply the essential fatty acids (α-linolenic and linoleic acids).13  Hypertriglyceridemia, fasting serum triglyceride level &gt; 250 mg/dL, may occur in preterm infants due to reduced lipoprotein lipase activity;14 treatment may require a dose reduction in the infusion of lipids or a cycled infusion (i.e., an infusion of the same volume over fewer hours).  Patient-specific lipid emulsion recommendations continue to evolve as more research on newer-to-market mixed oil and 100% fish oil emulsions become available. For infants on PN long-term (&gt; 3-4 weeks), a mixed oil or fish oil lipid emulsion may be utilized as prevention (mixed oil) or treatment (fish oil) for intestinal failure-associated liver disease (IFALD) or Parenteral Nutrition Associated Cholestasis (PNAC). Alternatively, a reduced dose of soybean oil lipid emulsion may reduce the risks of IFALD while also providing an adequate amount of essential fatty acids to prevent and treat essential fatty acid deficiency. Mixed oil lipid emulsions should not be dose restricted because there is a higher risk of developing an essential fatty acid deficiency than with soybean oil lipid emulsions. Serum fatty acid profiles should be monitored in all infants receiving reduced dosing of soybean oil emulsions or goal dosing of mixed and fish oil lipid injectable emulsions, especially if enteral fat intake is minimal. When lipid emulsions are dose restricted, high glucose infusion rates need to be tolerated to maintain adequate parenteral energy infusion. See also Chapter 17,&lt;mark&gt;Parenteral Nutrition&lt;\/mark&gt;.","c-replace":["parenteral nutrition (PN)","PN"],"ab-name":"Abbreviations","a-name":"Abbreviation_Defined_Twice_or_More","g-rebookmarkname":"","i-wm":"Parenteral Nutrition","d-description":"An abbreviation is defined more than once. The definition may also be inconsistent.","k-color":"#a24c29","f-bookmark":"BMABBRE100203","j-groupid":10},{"b-find":"post-discharge\u201d formulas (PDF)","e-paracontent":"Preterm infant formulas and HMFs are not available for home use due to their high nutrient concentrations designed to meet the needs of infants who take smaller feeding volumes.  Close to hospital discharge, infants requiring non-human milk feedings should be transitioned to &lt;mark&gt;post-discharge\u201d formulas (PDF)&lt;\/mark&gt; or \u201ctransitional\u201d formulas for home use. Studies suggest that compared to term formula, preterm infants fed PDF demonstrate improved growth (weight, length, and head circumference).15 Evidence is mixed on whether PDF may also benefit body composition, bone mineralization, and neurodevelopment.15 Post-discharge formulas provide higher concentrations of energy, protein, vitamins, and minerals at a standard 22 kcal/oz. dilution than term infant formulas (standard 20 kcal/oz.), but less than those in preterm infant formulas and human milk fortified with HMF (standard 24 kcal/oz.). Preterm infants receiving human milk may require additional nutrients from PDF as well. There is no optimal practice15; common methods include adding formula powder to pumped human milk, alternating moderately concentrated formula bottles with direct breastfeeding, or mostly direct breastfeeding with few highly concentrated formula \u201cbooster\u201d bottles. PDF prescribed at higher than 22 kcal/oz. and fortified human milk at any energy density require specialized mixing recipes. Referral to a community lactation consultant, Special Supplemental Food Program for Women, Infants, and Children (WIC), Early Intervention Program (EIP), and/or home-health nursing may be beneficial for assistance with feeding skills and weight checks. Additionally, the American Academy of Pediatrics16 and countries throughout the world17 recommend that preterm infants receive multidisciplinary follow up care with attention to nutritional and neurodevelopmental needs.","c-replace":["post-discharge\u201d formulas (PDF)","PDF"],"ab-name":"Abbreviations","a-name":"Abbreviation","g-rebookmarkname":"","i-wm":"post-discharge\u201d formulas (PDF)","d-description":"An abbreviation must appear with its expanded form first and can then only be reused.","k-color":"#a24c29","f-bookmark":"BMABBRE100233","j-groupid":14},{"b-find":"PDF","e-paracontent":"Preterm infant formulas and HMFs are not available for home use due to their high nutrient concentrations designed to meet the needs of infants who take smaller feeding volumes.  Close to hospital discharge, infants requiring non-human milk feedings should be transitioned to \u201cpost-discharge\u201d formulas (PDF) or \u201ctransitional\u201d formulas for home use. Studies suggest that compared to term formula, preterm infants fed&lt;mark&gt;PDF&lt;\/mark&gt; demonstrate improved growth (weight, length, and head circumference).15 Evidence is mixed on whether PDF may also benefit body composition, bone mineralization, and neurodevelopment.15 Post-discharge formulas provide higher concentrations of energy, protein, vitamins, and minerals at a standard 22 kcal/oz. dilution than term infant formulas (standard 20 kcal/oz.), but less than those in preterm infant formulas and human milk fortified with HMF (standard 24 kcal/oz.). Preterm infants receiving human milk may require additional nutrients from PDF as well. There is no optimal practice15; common methods include adding formula powder to pumped human milk, alternating moderately concentrated formula bottles with direct breastfeeding, or mostly direct breastfeeding with few highly concentrated formula \u201cbooster\u201d bottles. PDF prescribed at higher than 22 kcal/oz. and fortified human milk at any energy density require specialized mixing recipes. Referral to a community lactation consultant, Special Supplemental Food Program for Women, Infants, and Children (WIC), Early Intervention Program (EIP), and/or home-health nursing may be beneficial for assistance with feeding skills and weight checks. Additionally, the American Academy of Pediatrics16 and countries throughout the world17 recommend that preterm infants receive multidisciplinary follow up care with attention to nutritional and neurodevelopmental needs.","c-replace":["post-discharge\u201d formulas (PDF)","PDF"],"ab-name":"Abbreviations","a-name":"Abbreviation","g-rebookmarkname":"","i-wm":"PDF","d-description":"An abbreviation must appear with its expanded form first and can then only be reused.","k-color":"#a24c29","f-bookmark":"BMABBRE100234","j-groupid":14},{"b-find":"PDF","e-paracontent":"Preterm infant formulas and HMFs are not available for home use due to their high nutrient concentrations designed to meet the needs of infants who take smaller feeding volumes.  Close to hospital discharge, infants requiring non-human milk feedings should be transitioned to \u201cpost-discharge\u201d formulas (PDF) or \u201ctransitional\u201d formulas for home use. Studies suggest that compared to term formula, preterm infants fed PDF demonstrate improved growth (weight, length, and head circumference).15 Evidence is mixed on whether&lt;mark&gt;PDF&lt;\/mark&gt; may also benefit body composition, bone mineralization, and neurodevelopment.15 Post-discharge formulas provide higher concentrations of energy, protein, vitamins, and minerals at a standard 22 kcal/oz. dilution than term infant formulas (standard 20 kcal/oz.), but less than those in preterm infant formulas and human milk fortified with HMF (standard 24 kcal/oz.). Preterm infants receiving human milk may require additional nutrients from PDF as well. There is no optimal practice15; common methods include adding formula powder to pumped human milk, alternating moderately concentrated formula bottles with direct breastfeeding, or mostly direct breastfeeding with few highly concentrated formula \u201cbooster\u201d bottles. PDF prescribed at higher than 22 kcal/oz. and fortified human milk at any energy density require specialized mixing recipes. Referral to a community lactation consultant, Special Supplemental Food Program for Women, Infants, and Children (WIC), Early Intervention Program (EIP), and/or home-health nursing may be beneficial for assistance with feeding skills and weight checks. Additionally, the American Academy of Pediatrics16 and countries throughout the world17 recommend that preterm infants receive multidisciplinary follow up care with attention to nutritional and neurodevelopmental needs.","c-replace":["post-discharge\u201d formulas (PDF)","PDF"],"ab-name":"Abbreviations","a-name":"Abbreviation","g-rebookmarkname":"","i-wm":"PDF","d-description":"An abbreviation must appear with its expanded form first and can then only be reused.","k-color":"#a24c29","f-bookmark":"BMABBRE100235","j-groupid":14},{"b-find":"HMF","e-paracontent":"Preterm infant formulas and HMFs are not available for home use due to their high nutrient concentrations designed to meet the needs of infants who take smaller feeding volumes.  Close to hospital discharge, infants requiring non-human milk feedings should be transitioned to \u201cpost-discharge\u201d formulas (PDF) or \u201ctransitional\u201d formulas for home use. Studies suggest that compared to term formula, preterm infants fed PDF demonstrate improved growth (weight, length, and head circumference).15 Evidence is mixed on whether PDF may also benefit body composition, bone mineralization, and neurodevelopment.15 Post-discharge formulas provide higher concentrations of energy, protein, vitamins, and minerals at a standard 22 kcal/oz. dilution than term infant formulas (standard 20 kcal/oz.), but less than those in preterm infant formulas and human milk fortified with&lt;mark&gt;HMF&lt;\/mark&gt; (standard 24 kcal/oz.). Preterm infants receiving human milk may require additional nutrients from PDF as well. There is no optimal practice15; common methods include adding formula powder to pumped human milk, alternating moderately concentrated formula bottles with direct breastfeeding, or mostly direct breastfeeding with few highly concentrated formula \u201cbooster\u201d bottles. PDF prescribed at higher than 22 kcal/oz. and fortified human milk at any energy density require specialized mixing recipes. Referral to a community lactation consultant, Special Supplemental Food Program for Women, Infants, and Children (WIC), Early Intervention Program (EIP), and/or home-health nursing may be beneficial for assistance with feeding skills and weight checks. Additionally, the American Academy of Pediatrics16 and countries throughout the world17 recommend that preterm infants receive multidisciplinary follow up care with attention to nutritional and neurodevelopmental needs.","c-replace":["human milk fortifiers (HMF)","HMF"],"ab-name":"Abbreviations","a-name":"Abbreviation","g-rebookmarkname":"","i-wm":"HMF","d-description":"An abbreviation must appear with its expanded form first and can then only be reused.","k-color":"#a24c29","f-bookmark":"BMABBRE100236","j-groupid":9},{"b-find":"PDF","e-paracontent":"Preterm infant formulas and HMFs are not available for home use due to their high nutrient concentrations designed to meet the needs of infants who take smaller feeding volumes.  Close to hospital discharge, infants requiring non-human milk feedings should be transitioned to \u201cpost-discharge\u201d formulas (PDF) or \u201ctransitional\u201d formulas for home use. Studies suggest that compared to term formula, preterm infants fed PDF demonstrate improved growth (weight, length, and head circumference).15 Evidence is mixed on whether PDF may also benefit body composition, bone mineralization, and neurodevelopment.15 Post-discharge formulas provide higher concentrations of energy, protein, vitamins, and minerals at a standard 22 kcal/oz. dilution than term infant formulas (standard 20 kcal/oz.), but less than those in preterm infant formulas and human milk fortified with HMF (standard 24 kcal/oz.). Preterm infants receiving human milk may require additional nutrients from&lt;mark&gt;PDF&lt;\/mark&gt; as well. There is no optimal practice15; common methods include adding formula powder to pumped human milk, alternating moderately concentrated formula bottles with direct breastfeeding, or mostly direct breastfeeding with few highly concentrated formula \u201cbooster\u201d bottles. PDF prescribed at higher than 22 kcal/oz. and fortified human milk at any energy density require specialized mixing recipes. Referral to a community lactation consultant, Special Supplemental Food Program for Women, Infants, and Children (WIC), Early Intervention Program (EIP), and/or home-health nursing may be beneficial for assistance with feeding skills and weight checks. Additionally, the American Academy of Pediatrics16 and countries throughout the world17 recommend that preterm infants receive multidisciplinary follow up care with attention to nutritional and neurodevelopmental needs.","c-replace":["post-discharge\u201d formulas (PDF)","PDF"],"ab-name":"Abbreviations","a-name":"Abbreviation","g-rebookmarkname":"","i-wm":"PDF","d-description":"An abbreviation must appear with its expanded form first and can then only be reused.","k-color":"#a24c29","f-bookmark":"BMABBRE100237","j-groupid":14},{"b-find":"PDF","e-paracontent":"Preterm infant formulas and HMFs are not available for home use due to their high nutrient concentrations designed to meet the needs of infants who take smaller feeding volumes.  Close to hospital discharge, infants requiring non-human milk feedings should be transitioned to \u201cpost-discharge\u201d formulas (PDF) or \u201ctransitional\u201d formulas for home use. Studies suggest that compared to term formula, preterm infants fed PDF demonstrate improved growth (weight, length, and head circumference).15 Evidence is mixed on whether PDF may also benefit body composition, bone mineralization, and neurodevelopment.15 Post-discharge formulas provide higher concentrations of energy, protein, vitamins, and minerals at a standard 22 kcal/oz. dilution than term infant formulas (standard 20 kcal/oz.), but less than those in preterm infant formulas and human milk fortified with HMF (standard 24 kcal/oz.). Preterm infants receiving human milk may require additional nutrients from PDF as well. There is no optimal practice15; common methods include adding formula powder to pumped human milk, alternating moderately concentrated formula bottles with direct breastfeeding, or mostly direct breastfeeding with few highly concentrated formula \u201cbooster\u201d bottles.&lt;mark&gt;PDF&lt;\/mark&gt; prescribed at higher than 22 kcal/oz. and fortified human milk at any energy density require specialized mixing recipes. Referral to a community lactation consultant, Special Supplemental Food Program for Women, Infants, and Children (WIC), Early Intervention Program (EIP), and/or home-health nursing may be beneficial for assistance with feeding skills and weight checks. Additionally, the American Academy of Pediatrics16 and countries throughout the world17 recommend that preterm infants receive multidisciplinary follow up care with attention to nutritional and neurodevelopmental needs.","c-replace":["post-discharge\u201d formulas (PDF)","PDF"],"ab-name":"Abbreviations","a-name":"Abbreviation","g-rebookmarkname":"","i-wm":"PDF","d-description":"An abbreviation must appear with its expanded form first and can then only be reused.","k-color":"#a24c29","f-bookmark":"BMABBRE100238","j-groupid":14},{"b-find":"Women, Infants, and Children (WIC)","e-paracontent":"Preterm infant formulas and HMFs are not available for home use due to their high nutrient concentrations designed to meet the needs of infants who take smaller feeding volumes.  Close to hospital discharge, infants requiring non-human milk feedings should be transitioned to \u201cpost-discharge\u201d formulas (PDF) or \u201ctransitional\u201d formulas for home use. Studies suggest that compared to term formula, preterm infants fed PDF demonstrate improved growth (weight, length, and head circumference).15 Evidence is mixed on whether PDF may also benefit body composition, bone mineralization, and neurodevelopment.15 Post-discharge formulas provide higher concentrations of energy, protein, vitamins, and minerals at a standard 22 kcal/oz. dilution than term infant formulas (standard 20 kcal/oz.), but less than those in preterm infant formulas and human milk fortified with HMF (standard 24 kcal/oz.). Preterm infants receiving human milk may require additional nutrients from PDF as well. There is no optimal practice15; common methods include adding formula powder to pumped human milk, alternating moderately concentrated formula bottles with direct breastfeeding, or mostly direct breastfeeding with few highly concentrated formula \u201cbooster\u201d bottles. PDF prescribed at higher than 22 kcal/oz. and fortified human milk at any energy density require specialized mixing recipes. Referral to a community lactation consultant, Special Supplemental Food Program for&lt;mark&gt;Women, Infants, and Children (WIC)&lt;\/mark&gt;, Early Intervention Program (EIP), and/or home-health nursing may be beneficial for assistance with feeding skills and weight checks. Additionally, the American Academy of Pediatrics16 and countries throughout the world17 recommend that preterm infants receive multidisciplinary follow up care with attention to nutritional and neurodevelopmental needs.","c-replace":["Women, Infants, and Children (WIC)","WIC"],"ab-name":"Abbreviations","a-name":"Abbreviation_Used_Only_Once","g-rebookmarkname":"","i-wm":"Women, Infants, and Children (WIC)","d-description":"An abbreviation is present with its expanded form, but not used subsequently.","k-color":"#a24c29","f-bookmark":"BMABBRE100239","j-groupid":15},{"b-find":"Early Intervention Program (EIP)","e-paracontent":"Preterm infant formulas and HMFs are not available for home use due to their high nutrient concentrations designed to meet the needs of infants who take smaller feeding volumes.  Close to hospital discharge, infants requiring non-human milk feedings should be transitioned to \u201cpost-discharge\u201d formulas (PDF) or \u201ctransitional\u201d formulas for home use. Studies suggest that compared to term formula, preterm infants fed PDF demonstrate improved growth (weight, length, and head circumference).15 Evidence is mixed on whether PDF may also benefit body composition, bone mineralization, and neurodevelopment.15 Post-discharge formulas provide higher concentrations of energy, protein, vitamins, and minerals at a standard 22 kcal/oz. dilution than term infant formulas (standard 20 kcal/oz.), but less than those in preterm infant formulas and human milk fortified with HMF (standard 24 kcal/oz.). Preterm infants receiving human milk may require additional nutrients from PDF as well. There is no optimal practice15; common methods include adding formula powder to pumped human milk, alternating moderately concentrated formula bottles with direct breastfeeding, or mostly direct breastfeeding with few highly concentrated formula \u201cbooster\u201d bottles. PDF prescribed at higher than 22 kcal/oz. and fortified human milk at any energy density require specialized mixing recipes. Referral to a community lactation consultant, Special Supplemental Food Program for Women, Infants, and Children (WIC),&lt;mark&gt;Early Intervention Program (EIP)&lt;\/mark&gt;, and/or home-health nursing may be beneficial for assistance with feeding skills and weight checks. Additionally, the American Academy of Pediatrics16 and countries throughout the world17 recommend that preterm infants receive multidisciplinary follow up care with attention to nutritional and neurodevelopmental needs.","c-replace":["Early Intervention Program (EIP)","EIP"],"ab-name":"Abbreviations","a-name":"Abbreviation_Used_Only_Once","g-rebookmarkname":"","i-wm":"Early Intervention Program (EIP)","d-description":"An abbreviation is present with its expanded form, but not used subsequently.","k-color":"#a24c29","f-bookmark":"BMABBRE100240","j-groupid":16},{"b-find":"GI","e-paracontent":"\u2022&lt;mark&gt;GI&lt;\/mark&gt; immaturity \u2013 intestinal hypomotility and reduced digestive enzyme activity impairs feeding tolerance and nutrient absorption","c-replace":[""],"ab-name":"Abbreviations","a-name":"Possible_Abbreviations","g-rebookmarkname":"","i-wm":"GI","d-description":"Word in all caps may be an abbreviation.","k-color":"","f-bookmark":"BMABBRE100407","j-groupid":1},{"b-find":"NEC","e-paracontent":"feeds held for procedures,&lt;mark&gt;NEC&lt;\/mark&gt;, clinical instability, blood transfusions","c-replace":["Necrotizing Enterocolitis (NEC)","NEC"],"ab-name":"Abbreviations","a-name":"Abbreviation","g-rebookmarkname":"","i-wm":"NEC","d-description":"An abbreviation must appear with its expanded form first and can then only be reused.","k-color":"#a24c29","f-bookmark":"BMABBRE100413","j-groupid":18},{"b-find":"PN","e-paracontent":"incomplete nutrient delivery during&lt;mark&gt;PN&lt;\/mark&gt;/enteral feeding advancement","c-replace":["parenteral nutrition (PN)","PN"],"ab-name":"Abbreviations","a-name":"Abbreviation","g-rebookmarkname":"","i-wm":"PN","d-description":"An abbreviation must appear with its expanded form first and can then only be reused.","k-color":"#a24c29","f-bookmark":"BMABBRE100414","j-groupid":10},{"b-find":"NEC","e-paracontent":"GI = gastrointestinal;&lt;mark&gt;NEC&lt;\/mark&gt; = necrotizing enterocolitis; PN= Parenteral Nutrition","c-replace":["Necrotizing Enterocolitis (NEC)","NEC"],"ab-name":"Abbreviations","a-name":"Abbreviation","g-rebookmarkname":"","i-wm":"NEC","d-description":"An abbreviation must appear with its expanded form first and can then only be reused.","k-color":"#a24c29","f-bookmark":"BMABBRE100416","j-groupid":18},{"b-find":"PN","e-paracontent":"GI = gastrointestinal; NEC = necrotizing enterocolitis;&lt;mark&gt;PN&lt;\/mark&gt;= Parenteral Nutrition","c-replace":["parenteral nutrition (PN)","PN"],"ab-name":"Abbreviations","a-name":"Abbreviation","g-rebookmarkname":"","i-wm":"PN","d-description":"An abbreviation must appear with its expanded form first and can then only be reused.","k-color":"#a24c29","f-bookmark":"BMABBRE100417","j-groupid":10},{"b-find":"necrotizing enterocolitis","e-paracontent":"GI = gastrointestinal; NEC =&lt;mark&gt;necrotizing enterocolitis&lt;\/mark&gt;; PN= Parenteral Nutrition","c-replace":["Necrotizing Enterocolitis (NEC)","NEC"],"ab-name":"Abbreviations","a-name":"Abbreviation_Defined_Twice_or_More","g-rebookmarkname":"","i-wm":"necrotizing enterocolitis","d-description":"An abbreviation is defined more than once. The definition may also be inconsistent.","k-color":"#a24c29","f-bookmark":"BMABBRE100418","j-groupid":18},{"b-find":"Parenteral Nutrition","e-paracontent":"GI = gastrointestinal; NEC = necrotizing enterocolitis; PN=&lt;mark&gt;Parenteral Nutrition&lt;\/mark&gt;","c-replace":["parenteral nutrition (PN)","PN"],"ab-name":"Abbreviations","a-name":"Abbreviation_Defined_Twice_or_More","g-rebookmarkname":"","i-wm":"Parenteral Nutrition","d-description":"An abbreviation is defined more than once. The definition may also be inconsistent.","k-color":"#a24c29","f-bookmark":"BMABBRE100419","j-groupid":10},{"b-find":"GI","e-paracontent":"&lt;mark&gt;GI&lt;\/mark&gt; = gastrointestinal; NEC = necrotizing enterocolitis; PN= Parenteral Nutrition","c-replace":[""],"ab-name":"Abbreviations","a-name":"Possible_Abbreviations","g-rebookmarkname":"","i-wm":"GI","d-description":"Word in all caps may be an abbreviation.","k-color":"","f-bookmark":"BMABBRE100420","j-groupid":1},{"b-find":"Necrotizing Enterocolitis (NEC)","e-paracontent":"&lt;mark&gt;Necrotizing Enterocolitis (NEC)&lt;\/mark&gt;","c-replace":["Necrotizing Enterocolitis (NEC)","NEC"],"ab-name":"Abbreviations","a-name":"Abbreviation_Defined_Twice_or_More","g-rebookmarkname":"","i-wm":"Necrotizing Enterocolitis (NEC)","d-description":"An abbreviation is defined more than once. The definition may also be inconsistent.","k-color":"#a24c29","f-bookmark":"BMABBRE100425","j-groupid":18},{"b-find":"GI","e-paracontent":"\u2022 Acquired infectious/ischemic&lt;mark&gt;GI&lt;\/mark&gt; disease of undetermined etiology, most common in","c-replace":[""],"ab-name":"Abbreviations","a-name":"Possible_Abbreviations","g-rebookmarkname":"","i-wm":"GI","d-description":"Word in all caps may be an abbreviation.","k-color":"","f-bookmark":"BMABBRE100429","j-groupid":1},{"b-find":"PN","e-paracontent":"\u2022 Treatment includes NPO, IV antibiotics,&lt;mark&gt;PN&lt;\/mark&gt;, gradual re-introduction of feeds","c-replace":["parenteral nutrition (PN)","PN"],"ab-name":"Abbreviations","a-name":"Abbreviation","g-rebookmarkname":"","i-wm":"PN","d-description":"An abbreviation must appear with its expanded form first and can then only be reused.","k-color":"#a24c29","f-bookmark":"BMABBRE100434","j-groupid":10},{"b-find":"NPO","e-paracontent":"\u2022 Treatment includes&lt;mark&gt;NPO&lt;\/mark&gt;, IV antibiotics, PN, gradual re-introduction of feeds","c-replace":[""],"ab-name":"Abbreviations","a-name":"Possible_Abbreviations","g-rebookmarkname":"","i-wm":"NPO","d-description":"Word in all caps may be an abbreviation.","k-color":"","f-bookmark":"BMABBRE100435","j-groupid":1},{"b-find":"Respiratory Distress Syndrome (RDS)","e-paracontent":"&lt;mark&gt;Respiratory Distress Syndrome (RDS)&lt;\/mark&gt;/Bronchopulmonary Dysplasia (BPD)","c-replace":["Respiratory Distress Syndrome (RDS)","RDS"],"ab-name":"Abbreviations","a-name":"Abbreviation_Defined_Twice_or_More","g-rebookmarkname":"","i-wm":"Respiratory Distress Syndrome (RDS)","d-description":"An abbreviation is defined more than once. The definition may also be inconsistent.","k-color":"#a24c29","f-bookmark":"BMABBRE100437","j-groupid":19},{"b-find":"Bronchopulmonary Dysplasia (BPD)","e-paracontent":"Respiratory Distress Syndrome (RDS)&lt;mark&gt;Bronchopulmonary Dysplasia (BPD)&lt;\/mark&gt;","c-replace":["Bronchopulmonary Dysplasia (BPD)","BPD"],"ab-name":"Abbreviations","a-name":"Abbreviation_Defined_Twice_or_More","g-rebookmarkname":"","i-wm":"Bronchopulmonary Dysplasia (BPD)","d-description":"An abbreviation is defined more than once. The definition may also be inconsistent.","k-color":"#a24c29","f-bookmark":"BMABBRE100438","j-groupid":20},{"b-find":"Respiratory Distress Syndrome (RDS)","e-paracontent":"&lt;mark&gt;Respiratory Distress Syndrome (RDS)&lt;\/mark&gt;/Bronchopulmonary Dysplasia (BPD)","c-replace":["Respiratory Distress Syndrome (RDS)","RDS"],"ab-name":"Abbreviations","a-name":"Abbreviation_Not_Used","g-rebookmarkname":"","i-wm":"Respiratory Distress Syndrome (RDS)","d-description":"An abbreviation is written out in full after it is defined.","k-color":"#a24c29","f-bookmark":"BMABBRE100439","j-groupid":19},{"b-find":"Patent Ductus Arteriosus (PDA)","e-paracontent":"&lt;mark&gt;Patent Ductus Arteriosus (PDA)&lt;\/mark&gt; ","c-replace":["Patent Ductus Arteriosus (PDA)","PDA"],"ab-name":"Abbreviations","a-name":"Abbreviation_Defined_Twice_or_More","g-rebookmarkname":"","i-wm":"Patent Ductus Arteriosus (PDA)","d-description":"An abbreviation is defined more than once. The definition may also be inconsistent.","k-color":"#a24c29","f-bookmark":"BMABBRE100456","j-groupid":21},{"b-find":"PN","e-paracontent":"\u2022 May require fluid restriction and subsequent increase in energy density of feedings or even NPO and&lt;mark&gt;PN&lt;\/mark&gt; if hemodynamically unstable","c-replace":["parenteral nutrition (PN)","PN"],"ab-name":"Abbreviations","a-name":"Abbreviation","g-rebookmarkname":"","i-wm":"PN","d-description":"An abbreviation must appear with its expanded form first and can then only be reused.","k-color":"#a24c29","f-bookmark":"BMABBRE100462","j-groupid":10},{"b-find":"NPO","e-paracontent":"\u2022 May require fluid restriction and subsequent increase in energy density of feedings or even&lt;mark&gt;NPO&lt;\/mark&gt; and PN if hemodynamically unstable","c-replace":[""],"ab-name":"Abbreviations","a-name":"Possible_Abbreviations","g-rebookmarkname":"","i-wm":"NPO","d-description":"Word in all caps may be an abbreviation.","k-color":"","f-bookmark":"BMABBRE100463","j-groupid":1},{"b-find":"PN","e-paracontent":"\u2022 Increased risk with immobility, medications that cause mineral excretion (diuretics, steroids), long term&lt;mark&gt;PN&lt;\/mark&gt; (due to limited calcium/phosphorus solubility of solution and inherent aluminum content) ","c-replace":["parenteral nutrition (PN)","PN"],"ab-name":"Abbreviations","a-name":"Abbreviation","g-rebookmarkname":"","i-wm":"PN","d-description":"An abbreviation must appear with its expanded form first and can then only be reused.","k-color":"#a24c29","f-bookmark":"BMABBRE100466","j-groupid":10},{"b-find":"EPO","e-paracontent":"  phlebotomy, shorter lifespan of fetal hemoglobin, reduced&lt;mark&gt;EPO&lt;\/mark&gt; responsiveness","c-replace":[""],"ab-name":"Abbreviations","a-name":"Possible_Abbreviations","g-rebookmarkname":"","i-wm":"EPO","d-description":"Word in all caps may be an abbreviation.","k-color":"","f-bookmark":"BMABBRE100475","j-groupid":1},{"b-find":"PRBC","e-paracontent":"\u2022 Treatment involves&lt;mark&gt;PRBC&lt;\/mark&gt;s, iron supplementation, minimizing phlebotomy as able","c-replace":[""],"ab-name":"Abbreviations","a-name":"Possible_Abbreviations","g-rebookmarkname":"","i-wm":"PRBC","d-description":"Word in all caps may be an abbreviation.","k-color":"","f-bookmark":"BMABBRE100479","j-groupid":1},{"b-find":"PN","e-paracontent":"GI = gastrointestinal; NPO = nil per os; IV = intravenous;&lt;mark&gt;PN&lt;\/mark&gt; = parenteral nutrition; O2 = oxygen; EPO = erythropoietin; PRBC = packed red blood cell","c-replace":["parenteral nutrition (PN)","PN"],"ab-name":"Abbreviations","a-name":"Abbreviation","g-rebookmarkname":"","i-wm":"PN","d-description":"An abbreviation must appear with its expanded form first and can then only be reused.","k-color":"#a24c29","f-bookmark":"BMABBRE100487","j-groupid":10},{"b-find":"parenteral nutrition","e-paracontent":"GI = gastrointestinal; NPO = nil per os; IV = intravenous; PN =&lt;mark&gt;parenteral nutrition&lt;\/mark&gt;; O2 = oxygen; EPO = erythropoietin; PRBC = packed red blood cell","c-replace":["parenteral nutrition (PN)","PN"],"ab-name":"Abbreviations","a-name":"Abbreviation_Defined_Twice_or_More","g-rebookmarkname":"","i-wm":"parenteral nutrition","d-description":"An abbreviation is defined more than once. The definition may also be inconsistent.","k-color":"#a24c29","f-bookmark":"BMABBRE100488","j-groupid":10},{"b-find":"GI","e-paracontent":"&lt;mark&gt;GI&lt;\/mark&gt; = gastrointestinal; NPO = nil per os; IV = intravenous; PN = parenteral nutrition; O2 = oxygen; EPO = erythropoietin; PRBC = packed red blood cell","c-replace":[""],"ab-name":"Abbreviations","a-name":"Possible_Abbreviations","g-rebookmarkname":"","i-wm":"GI","d-description":"Word in all caps may be an abbreviation.","k-color":"","f-bookmark":"BMABBRE100489","j-groupid":1},{"b-find":"NPO","e-paracontent":"GI = gastrointestinal;&lt;mark&gt;NPO&lt;\/mark&gt; = nil per os; IV = intravenous; PN = parenteral nutrition; O2 = oxygen; EPO = erythropoietin; PRBC = packed red blood cell","c-replace":[""],"ab-name":"Abbreviations","a-name":"Possible_Abbreviations","g-rebookmarkname":"","i-wm":"NPO","d-description":"Word in all caps may be an abbreviation.","k-color":"","f-bookmark":"BMABBRE100490","j-groupid":1},{"b-find":"EPO","e-paracontent":"GI = gastrointestinal; NPO = nil per os; IV = intravenous; PN = parenteral nutrition; O2 = oxygen;&lt;mark&gt;EPO&lt;\/mark&gt; = erythropoietin; PRBC = packed red blood cell","c-replace":[""],"ab-name":"Abbreviations","a-name":"Possible_Abbreviations","g-rebookmarkname":"","i-wm":"EPO","d-description":"Word in all caps may be an abbreviation.","k-color":"","f-bookmark":"BMABBRE100491","j-groupid":1},{"b-find":"PRBC","e-paracontent":"GI = gastrointestinal; NPO = nil per os; IV = intravenous; PN = parenteral nutrition; O2 = oxygen; EPO = erythropoietin;&lt;mark&gt;PRBC&lt;\/mark&gt; = packed red blood cell","c-replace":[""],"ab-name":"Abbreviations","a-name":"Possible_Abbreviations","g-rebookmarkname":"","i-wm":"PRBC","d-description":"Word in all caps may be an abbreviation.","k-color":"","f-bookmark":"BMABBRE100492","j-groupid":1},{"b-find":"Gestational Age (GA)","e-paracontent":"Maturity by&lt;mark&gt;Gestational Age (GA)&lt;\/mark&gt;","c-replace":["Gestational Age (GA)","GA"],"ab-name":"Abbreviations","a-name":"Abbreviation_Defined_Twice_or_More","g-rebookmarkname":"","i-wm":"Gestational Age (GA)","d-description":"An abbreviation is defined more than once. The definition may also be inconsistent.","k-color":"#a24c29","f-bookmark":"BMABBRE100497","j-groupid":22},{"b-find":"Low Birth Weight (LBW)","e-paracontent":"\u2022&lt;mark&gt;Low Birth Weight (LBW)&lt;\/mark&gt;: &lt; 2,500 g ","c-replace":["Low Birth Weight (LBW)","LBW"],"ab-name":"Abbreviations","a-name":"Abbreviation_Defined_Twice_or_More","g-rebookmarkname":"","i-wm":"Low Birth Weight (LBW)","d-description":"An abbreviation is defined more than once. The definition may also be inconsistent.","k-color":"#a24c29","f-bookmark":"BMABBRE100503","j-groupid":23},{"b-find":"Low Birth Weight (LBW)","e-paracontent":"\u2022&lt;mark&gt;Low Birth Weight (LBW)&lt;\/mark&gt;: &lt; 2,500 g ","c-replace":["Low Birth Weight (LBW)","LBW"],"ab-name":"Abbreviations","a-name":"Abbreviation_Not_Used","g-rebookmarkname":"","i-wm":"Low Birth Weight (LBW)","d-description":"An abbreviation is written out in full after it is defined.","k-color":"#a24c29","f-bookmark":"BMABBRE100504","j-groupid":23},{"b-find":"Very Low Birth Weight (VLBW)","e-paracontent":"\u2022&lt;mark&gt;Very Low Birth Weight (VLBW)&lt;\/mark&gt;: &lt; 1,500 g ","c-replace":["Very Low Birth Weight (VLBW)","VLBW"],"ab-name":"Abbreviations","a-name":"Abbreviation_Not_Used","g-rebookmarkname":"","i-wm":"Very Low Birth Weight (VLBW)","d-description":"An abbreviation is written out in full after it is defined.","k-color":"#a24c29","f-bookmark":"BMABBRE100509","j-groupid":24},{"b-find":"Extremely Low Birth Weight (ELBW)","e-paracontent":"\u2022&lt;mark&gt;Extremely Low Birth Weight (ELBW)&lt;\/mark&gt;: &lt; 1,000 g ","c-replace":["Extremely Low Birth Weight (ELBW)","ELBW"],"ab-name":"Abbreviations","a-name":"Abbreviation_Defined_Twice_or_More","g-rebookmarkname":"","i-wm":"Extremely Low Birth Weight (ELBW)","d-description":"An abbreviation is defined more than once. The definition may also be inconsistent.","k-color":"#a24c29","f-bookmark":"BMABBRE100514","j-groupid":11},{"b-find":"Low Birth Weight","e-paracontent":"\u2022 Extremely&lt;mark&gt;Low Birth Weight&lt;\/mark&gt; (ELBW): &lt; 1,000 g ","c-replace":["null"],"ab-name":"Abbreviations","a-name":"Abbreviation_Not_Used","g-rebookmarkname":"","i-wm":"Low Birth Weight","d-description":"An abbreviation is written out in full after it is defined.","k-color":"#a24c29","f-bookmark":"BMABBRE100515","j-groupid":0},{"b-find":"Gestational Age","e-paracontent":"Birth Weight for&lt;mark&gt;Gestational Age&lt;\/mark&gt;","c-replace":["Gestational Age (GA)","GA"],"ab-name":"Abbreviations","a-name":"Abbreviation_Defined_Twice_or_More","g-rebookmarkname":"","i-wm":"Gestational Age","d-description":"An abbreviation is defined more than once. The definition may also be inconsistent.","k-color":"#a24c29","f-bookmark":"BMABBRE100521","j-groupid":22},{"b-find":"Small for gestational age (SGA)","e-paracontent":"\u2022&lt;mark&gt;Small for gestational age (SGA)&lt;\/mark&gt;: &lt; 10th percentile","c-replace":["Small for gestational age (SGA)","SGA"],"ab-name":"Abbreviations","a-name":"Abbreviation_Defined_Twice_or_More","g-rebookmarkname":"","i-wm":"Small for gestational age (SGA)","d-description":"An abbreviation is defined more than once. The definition may also be inconsistent.","k-color":"#a24c29","f-bookmark":"BMABBRE100522","j-groupid":3},{"b-find":"Appropriate for gestational age (AGA)","e-paracontent":"\u2022&lt;mark&gt;Appropriate for gestational age (AGA)&lt;\/mark&gt;: 10th\u201390th percentile","c-replace":["Appropriate for gestational age (AGA)","AGA"],"ab-name":"Abbreviations","a-name":"Abbreviation_Defined_Twice_or_More","g-rebookmarkname":"","i-wm":"Appropriate for gestational age (AGA)","d-description":"An abbreviation is defined more than once. The definition may also be inconsistent.","k-color":"#a24c29","f-bookmark":"BMABBRE100526","j-groupid":4},{"b-find":"Large for gestational age (LGA)","e-paracontent":"\u2022&lt;mark&gt;Large for gestational age (LGA)&lt;\/mark&gt;: &gt; 90th percentile ","c-replace":["Large for gestational age (LGA)","LGA"],"ab-name":"Abbreviations","a-name":"Abbreviation_Defined_Twice_or_More","g-rebookmarkname":"","i-wm":"Large for gestational age (LGA)","d-description":"An abbreviation is defined more than once. The definition may also be inconsistent.","k-color":"#a24c29","f-bookmark":"BMABBRE100530","j-groupid":5},{"b-find":"HC","e-paracontent":"Target&lt;mark&gt;HC&lt;\/mark&gt; Gain","c-replace":[""],"ab-name":"Abbreviations","a-name":"Possible_Abbreviations","g-rebookmarkname":"","i-wm":"HC","d-description":"Word in all caps may be an abbreviation.","k-color":"","f-bookmark":"BMABBRE100540","j-groupid":1},{"b-find":"PMA","e-paracontent":"After&lt;mark&gt;PMA&lt;\/mark&gt; of 40 weeks \u2013 weight gain may be similar to that of FT infant.","c-replace":["postmenstrual age (PMA)","PMA"],"ab-name":"Abbreviations","a-name":"Abbreviation","g-rebookmarkname":"","i-wm":"PMA","d-description":"An abbreviation must appear with its expanded form first and can then only be reused.","k-color":"#a24c29","f-bookmark":"BMABBRE100542","j-groupid":6},{"b-find":"FT","e-paracontent":"After PMA of 40 weeks \u2013 weight gain may be similar to that of&lt;mark&gt;FT&lt;\/mark&gt; infant.","c-replace":[""],"ab-name":"Abbreviations","a-name":"Possible_Abbreviations","g-rebookmarkname":"","i-wm":"FT","d-description":"Word in all caps may be an abbreviation.","k-color":"","f-bookmark":"BMABBRE100543","j-groupid":1},{"b-find":"PMA","e-paracontent":"HC = head circumference;&lt;mark&gt;PMA&lt;\/mark&gt; = postmenstrual age; FT = full term.","c-replace":["postmenstrual age (PMA)","PMA"],"ab-name":"Abbreviations","a-name":"Abbreviation","g-rebookmarkname":"","i-wm":"PMA","d-description":"An abbreviation must appear with its expanded form first and can then only be reused.","k-color":"#a24c29","f-bookmark":"BMABBRE100544","j-groupid":6},{"b-find":"postmenstrual age","e-paracontent":"HC = head circumference; PMA =&lt;mark&gt;postmenstrual age&lt;\/mark&gt;; FT = full term.","c-replace":["postmenstrual age (PMA)","PMA"],"ab-name":"Abbreviations","a-name":"Abbreviation_Defined_Twice_or_More","g-rebookmarkname":"","i-wm":"postmenstrual age","d-description":"An abbreviation is defined more than once. The definition may also be inconsistent.","k-color":"#a24c29","f-bookmark":"BMABBRE100545","j-groupid":6},{"b-find":"HC","e-paracontent":"&lt;mark&gt;HC&lt;\/mark&gt; = head circumference; PMA = postmenstrual age; FT = full term.","c-replace":[""],"ab-name":"Abbreviations","a-name":"Possible_Abbreviations","g-rebookmarkname":"","i-wm":"HC","d-description":"Word in all caps may be an abbreviation.","k-color":"","f-bookmark":"BMABBRE100546","j-groupid":1},{"b-find":"FT","e-paracontent":"HC = head circumference; PMA = postmenstrual age;&lt;mark&gt;FT&lt;\/mark&gt; = full term.","c-replace":[""],"ab-name":"Abbreviations","a-name":"Possible_Abbreviations","g-rebookmarkname":"","i-wm":"FT","d-description":"Word in all caps may be an abbreviation.","k-color":"","f-bookmark":"BMABBRE100547","j-groupid":1},{"b-find":"Parenteral Nutrition","e-paracontent":"Table 35-5.&lt;mark&gt;Parenteral Nutrition&lt;\/mark&gt; in Preterm Infants","c-replace":["parenteral nutrition (PN)","PN"],"ab-name":"Abbreviations","a-name":"Abbreviation_Defined_Twice_or_More","g-rebookmarkname":"","i-wm":"Parenteral Nutrition","d-description":"An abbreviation is defined more than once. The definition may also be inconsistent.","k-color":"#a24c29","f-bookmark":"BMABBRE100550","j-groupid":10},{"b-find":"ECF","e-paracontent":"\u2022 Preterm infants have greater&lt;mark&gt;ECF&lt;\/mark&gt; volumes and body weight is a greater percentage of fluid compared with term infants","c-replace":[""],"ab-name":"Abbreviations","a-name":"Possible_Abbreviations","g-rebookmarkname":"","i-wm":"ECF","d-description":"Word in all caps may be an abbreviation.","k-color":"","f-bookmark":"BMABBRE100553","j-groupid":1},{"b-find":"ELBW","e-paracontent":"\u2022 Initial physiologic diuresis occurs within the first week of life with 10-15% loss of body weight for preterm infants, can be up to 20% for&lt;mark&gt;ELBW&lt;\/mark&gt;","c-replace":["extremely low birth weight (ELBW)","ELBW"],"ab-name":"Abbreviations","a-name":"Abbreviation","g-rebookmarkname":"","i-wm":"ELBW","d-description":"An abbreviation must appear with its expanded form first and can then only be reused.","k-color":"#a24c29","f-bookmark":"BMABBRE100555","j-groupid":11},{"b-find":"PDA","e-paracontent":"\u2022 Fluid restrictions may be required in cardiac or lung disease,&lt;mark&gt;PDA&lt;\/mark&gt;, neuromuscular blockade","c-replace":["Patent Ductus Arteriosus (PDA)","PDA"],"ab-name":"Abbreviations","a-name":"Abbreviation","g-rebookmarkname":"","i-wm":"PDA","d-description":"An abbreviation must appear with its expanded form first and can then only be reused.","k-color":"#a24c29","f-bookmark":"BMABBRE100561","j-groupid":21},{"b-find":"respiratory distress syndrome","e-paracontent":"\u2022 Insensible losses higher with increased skin permeability at low gestational ages, increased BSA to weight ratio, phototherapy, radiant warmer beds,&lt;mark&gt;respiratory distress syndrome&lt;\/mark&gt;, cold stress, and increased activity","c-replace":["Respiratory Distress Syndrome (RDS)","RDS"],"ab-name":"Abbreviations","a-name":"Abbreviation_Defined_Twice_or_More","g-rebookmarkname":"","i-wm":"respiratory distress syndrome","d-description":"An abbreviation is defined more than once. The definition may also be inconsistent.","k-color":"#a24c29","f-bookmark":"BMABBRE100562","j-groupid":19},{"b-find":"BSA","e-paracontent":"\u2022 Insensible losses higher with increased skin permeability at low gestational ages, increased&lt;mark&gt;BSA&lt;\/mark&gt; to weight ratio, phototherapy, radiant warmer beds, respiratory distress syndrome, cold stress, and increased activity","c-replace":[""],"ab-name":"Abbreviations","a-name":"Possible_Abbreviations","g-rebookmarkname":"","i-wm":"BSA","d-description":"Word in all caps may be an abbreviation.","k-color":"","f-bookmark":"BMABBRE100563","j-groupid":1},{"b-find":"GIR","e-paracontent":"\u2022 Initial&lt;mark&gt;GIR&lt;\/mark&gt; minimum to ensure adequate glucose supply is 4-6 mg/kg/min ","c-replace":[""],"ab-name":"Abbreviations","a-name":"Possible_Abbreviations","g-rebookmarkname":"","i-wm":"GIR","d-description":"Word in all caps may be an abbreviation.","k-color":"","f-bookmark":"BMABBRE100566","j-groupid":1},{"b-find":"GIR","e-paracontent":"\u2022 In infants &lt; 1000 g advance&lt;mark&gt;GIR&lt;\/mark&gt; by 1-1.5 mg/kg/min as tolerated","c-replace":[""],"ab-name":"Abbreviations","a-name":"Possible_Abbreviations","g-rebookmarkname":"","i-wm":"GIR","d-description":"Word in all caps may be an abbreviation.","k-color":"","f-bookmark":"BMABBRE100569","j-groupid":1},{"b-find":"GIR","e-paracontent":"\u2022 In infants &gt; 1000 g advance&lt;mark&gt;GIR&lt;\/mark&gt; by 1-2 mg/kg/min as tolerated","c-replace":[""],"ab-name":"Abbreviations","a-name":"Possible_Abbreviations","g-rebookmarkname":"","i-wm":"GIR","d-description":"Word in all caps may be an abbreviation.","k-color":"","f-bookmark":"BMABBRE100571","j-groupid":1},{"b-find":"GIR","e-paracontent":"\u2022 Limit to&lt;mark&gt;GIR&lt;\/mark&gt; to &lt; 14 mg/kg/min to prevent overfeeding, fatty liver, CO2 production","c-replace":[""],"ab-name":"Abbreviations","a-name":"Possible_Abbreviations","g-rebookmarkname":"","i-wm":"GIR","d-description":"Word in all caps may be an abbreviation.","k-color":"","f-bookmark":"BMABBRE100573","j-groupid":1},{"b-find":"CO","e-paracontent":"\u2022 Limit to GIR to &lt; 14 mg/kg/min to prevent overfeeding, fatty liver,&lt;mark&gt;CO&lt;\/mark&gt;2 production","c-replace":[""],"ab-name":"Abbreviations","a-name":"Possible_Abbreviations","g-rebookmarkname":"","i-wm":"CO","d-description":"Word in all caps may be an abbreviation.","k-color":"","f-bookmark":"BMABBRE100574","j-groupid":1},{"b-find":"BW","e-paracontent":"\u2022 In infants &lt;1500 g&lt;mark&gt;BW&lt;\/mark&gt;: begin at 2-3 g/kg/day, advance to goal of 3.5-4 g/kg/day ","c-replace":[""],"ab-name":"Abbreviations","a-name":"Possible_Abbreviations","g-rebookmarkname":"","i-wm":"BW","d-description":"Word in all caps may be an abbreviation.","k-color":"","f-bookmark":"BMABBRE100578","j-groupid":1},{"b-find":"BW","e-paracontent":"\u2022 In infants &gt;1500 g&lt;mark&gt;BW&lt;\/mark&gt;: begin at 2 g/kg/day, advance to goal of 3 g/kg/day","c-replace":[""],"ab-name":"Abbreviations","a-name":"Possible_Abbreviations","g-rebookmarkname":"","i-wm":"BW","d-description":"Word in all caps may be an abbreviation.","k-color":"","f-bookmark":"BMABBRE100581","j-groupid":1},{"b-find":"PN","e-paracontent":"\u2022 Soybean oil lipid or mixed oil emulsion if anticipated&lt;mark&gt;PN&lt;\/mark&gt; duration or limited EN exposure for &lt; 2-3 weeks","c-replace":["parenteral nutrition (PN)","PN"],"ab-name":"Abbreviations","a-name":"Abbreviation","g-rebookmarkname":"","i-wm":"PN","d-description":"An abbreviation must appear with its expanded form first and can then only be reused.","k-color":"#a24c29","f-bookmark":"BMABBRE100585","j-groupid":10},{"b-find":"EN","e-paracontent":"\u2022 Soybean oil lipid or mixed oil emulsion if anticipated PN duration or limited&lt;mark&gt;EN&lt;\/mark&gt; exposure for &lt; 2-3 weeks","c-replace":[""],"ab-name":"Abbreviations","a-name":"Possible_Abbreviations","g-rebookmarkname":"","i-wm":"EN","d-description":"Word in all caps may be an abbreviation.","k-color":"","f-bookmark":"BMABBRE100586","j-groupid":1},{"b-find":"PN","e-paracontent":"\u2022 If anticipated&lt;mark&gt;PN&lt;\/mark&gt; duration or limited EN exposure is &gt; 2-3 weeks consider maintaining 1-2 g/kg/day soybean oil or a mixed lipid emulsion at 3 g/kg/day","c-replace":["parenteral nutrition (PN)","PN"],"ab-name":"Abbreviations","a-name":"Abbreviation","g-rebookmarkname":"","i-wm":"PN","d-description":"An abbreviation must appear with its expanded form first and can then only be reused.","k-color":"#a24c29","f-bookmark":"BMABBRE100588","j-groupid":10},{"b-find":"EN","e-paracontent":"\u2022 If anticipated PN duration or limited&lt;mark&gt;EN&lt;\/mark&gt; exposure is &gt; 2-3 weeks consider maintaining 1-2 g/kg/day soybean oil or a mixed lipid emulsion at 3 g/kg/day","c-replace":[""],"ab-name":"Abbreviations","a-name":"Possible_Abbreviations","g-rebookmarkname":"","i-wm":"EN","d-description":"Word in all caps may be an abbreviation.","k-color":"","f-bookmark":"BMABBRE100589","j-groupid":1},{"b-find":"IFALD","e-paracontent":"\u2022 For infants with established&lt;mark&gt;IFALD&lt;\/mark&gt;, consider switching to a fish oil lipid emulsion at 1 g/kg/day. Higher doses are under investigation. ","c-replace":["intestinal failure-associated liver disease (IFALD)","IFALD"],"ab-name":"Abbreviations","a-name":"Abbreviation","g-rebookmarkname":"","i-wm":"IFALD","d-description":"An abbreviation must appear with its expanded form first and can then only be reused.","k-color":"#a24c29","f-bookmark":"BMABBRE100591","j-groupid":12},{"b-find":"EFAD","e-paracontent":"\u2022&lt;mark&gt;EFAD&lt;\/mark&gt; may occur in &lt; 1 week without lipid source; provide minimum 0.5 g/kg/day soy oil emulsion to prevent deficiency","c-replace":[""],"ab-name":"Abbreviations","a-name":"Possible_Abbreviations","g-rebookmarkname":"","i-wm":"EFAD","d-description":"Word in all caps may be an abbreviation.","k-color":"","f-bookmark":"BMABBRE100594","j-groupid":1},{"b-find":"GI","e-paracontent":"\u2022 Sodium: infants with renal immaturity or high&lt;mark&gt;GI&lt;\/mark&gt; losses may need closer to 5-8 mEq/kg","c-replace":[""],"ab-name":"Abbreviations","a-name":"Possible_Abbreviations","g-rebookmarkname":"","i-wm":"GI","d-description":"Word in all caps may be an abbreviation.","k-color":"","f-bookmark":"BMABBRE100630","j-groupid":1},{"b-find":"Ca","e-paracontent":"\u2022 Calcium:&lt;mark&gt;Ca&lt;\/mark&gt;/Phos ratio of 2.2-2.6 mEq Ca: 1 mmol phos (minimum 1.6 mEq calcium:1 mMol phos) is ideal to promote bone mineralization","c-replace":["corrected age (CA)","Ca","ca","CA"],"ab-name":"Abbreviations","a-name":"Two_Forms","g-rebookmarkname":"","i-wm":"Ca","d-description":"An abbreviation that is not spelled consistently in the same document/book.","k-color":"#a24c29","f-bookmark":"BMABBRE100632","j-groupid":8},{"b-find":"Ca","e-paracontent":"\u2022 Calcium: Ca/Phos ratio of 2.2-2.6 mEq&lt;mark&gt;Ca&lt;\/mark&gt;: 1 mmol phos (minimum 1.6 mEq calcium:1 mMol phos) is ideal to promote bone mineralization","c-replace":["corrected age (CA)","Ca","ca","CA"],"ab-name":"Abbreviations","a-name":"Two_Forms","g-rebookmarkname":"","i-wm":"Ca","d-description":"An abbreviation that is not spelled consistently in the same document/book.","k-color":"#a24c29","f-bookmark":"BMABBRE100633","j-groupid":8},{"b-find":"GI","e-paracontent":"\u2022 Acetate: preterm infants require more acetate (especially in the first week of life) due to renal or&lt;mark&gt;GI&lt;\/mark&gt; losses of bicarbonate","c-replace":[""],"ab-name":"Abbreviations","a-name":"Possible_Abbreviations","g-rebookmarkname":"","i-wm":"GI","d-description":"Word in all caps may be an abbreviation.","k-color":"","f-bookmark":"BMABBRE100639","j-groupid":1},{"b-find":"MVI","e-paracontent":"Pediatric&lt;mark&gt;MVI&lt;\/mark&gt;:","c-replace":[""],"ab-name":"Abbreviations","a-name":"Possible_Abbreviations","g-rebookmarkname":"","i-wm":"MVI","d-description":"Word in all caps may be an abbreviation.","k-color":"","f-bookmark":"BMABBRE100642","j-groupid":1},{"b-find":"AMA","e-paracontent":"\u2022 Nutrition Advisory Group&lt;mark&gt;AMA&lt;\/mark&gt;: &lt; 2.5 kg: 2 mL/kg/day ","c-replace":[""],"ab-name":"Abbreviations","a-name":"Possible_Abbreviations","g-rebookmarkname":"","i-wm":"AMA","d-description":"Word in all caps may be an abbreviation.","k-color":"","f-bookmark":"BMABBRE100644","j-groupid":1},{"b-find":"ASPEN","e-paracontent":"            \u2022 Carnitine:&lt;mark&gt;ASPEN&lt;\/mark&gt; recommends the routine parenteral supplementation of carnitine at 2-5 mg/kg/day for preterm neonates if no enteral source is provided.","c-replace":["American Society for Parenteral and Enteral Nutrition (ASPEN)","ASPEN"],"ab-name":"Abbreviations","a-name":"Abbreviation","g-rebookmarkname":"","i-wm":"ASPEN","d-description":"An abbreviation must appear with its expanded form first and can then only be reused.","k-color":"#a24c29","f-bookmark":"BMABBRE100657","j-groupid":17},{"b-find":"ELBW","e-paracontent":"ECF = extracellular fluid;&lt;mark&gt;ELBW&lt;\/mark&gt; = extremely low birth weight; PDA = patent ductus arteriosus; BSA = body surface area; GIR = glucose infusion rate; CO2 = carbon dioxide; BW = birth weight; PN = parenteral nutrition; EN = enteral nutrition; IFLAD = intestinal failure associated liver disease; PNAC = parenteral nutrition associated cholestasis; EFAD = essential fatty acid deficiency; BUN = blood urea nitrogen; AST = aspartate transaminase; ALT = alanine transaminase; Ca = calcium; Phos = phosphorus; MVI = multivitamin; AMA = American Medical Association; ASPEN = American Society for Parenteral and Enteral Nutrition","c-replace":["extremely low birth weight (ELBW)","ELBW"],"ab-name":"Abbreviations","a-name":"Abbreviation","g-rebookmarkname":"","i-wm":"ELBW","d-description":"An abbreviation must appear with its expanded form first and can then only be reused.","k-color":"#a24c29","f-bookmark":"BMABBRE100659","j-groupid":11},{"b-find":"PDA","e-paracontent":"ECF = extracellular fluid; ELBW = extremely low birth weight;&lt;mark&gt;PDA&lt;\/mark&gt; = patent ductus arteriosus; BSA = body surface area; GIR = glucose infusion rate; CO2 = carbon dioxide; BW = birth weight; PN = parenteral nutrition; EN = enteral nutrition; IFLAD = intestinal failure associated liver disease; PNAC = parenteral nutrition associated cholestasis; EFAD = essential fatty acid deficiency; BUN = blood urea nitrogen; AST = aspartate transaminase; ALT = alanine transaminase; Ca = calcium; Phos = phosphorus; MVI = multivitamin; AMA = American Medical Association; ASPEN = American Society for Parenteral and Enteral Nutrition","c-replace":["Patent Ductus Arteriosus (PDA)","PDA"],"ab-name":"Abbreviations","a-name":"Abbreviation","g-rebookmarkname":"","i-wm":"PDA","d-description":"An abbreviation must appear with its expanded form first and can then only be reused.","k-color":"#a24c29","f-bookmark":"BMABBRE100660","j-groupid":21},{"b-find":"PN","e-paracontent":"ECF = extracellular fluid; ELBW = extremely low birth weight; PDA = patent ductus arteriosus; BSA = body surface area; GIR = glucose infusion rate; CO2 = carbon dioxide; BW = birth weight;&lt;mark&gt;PN&lt;\/mark&gt; = parenteral nutrition; EN = enteral nutrition; IFLAD = intestinal failure associated liver disease; PNAC = parenteral nutrition associated cholestasis; EFAD = essential fatty acid deficiency; BUN = blood urea nitrogen; AST = aspartate transaminase; ALT = alanine transaminase; Ca = calcium; Phos = phosphorus; MVI = multivitamin; AMA = American Medical Association; ASPEN = American Society for Parenteral and Enteral Nutrition","c-replace":["parenteral nutrition (PN)","PN"],"ab-name":"Abbreviations","a-name":"Abbreviation","g-rebookmarkname":"","i-wm":"PN","d-description":"An abbreviation must appear with its expanded form first and can then only be reused.","k-color":"#a24c29","f-bookmark":"BMABBRE100661","j-groupid":10},{"b-find":"PNAC","e-paracontent":"ECF = extracellular fluid; ELBW = extremely low birth weight; PDA = patent ductus arteriosus; BSA = body surface area; GIR = glucose infusion rate; CO2 = carbon dioxide; BW = birth weight; PN = parenteral nutrition; EN = enteral nutrition; IFLAD = intestinal failure associated liver disease;&lt;mark&gt;PNAC&lt;\/mark&gt; = parenteral nutrition associated cholestasis; EFAD = essential fatty acid deficiency; BUN = blood urea nitrogen; AST = aspartate transaminase; ALT = alanine transaminase; Ca = calcium; Phos = phosphorus; MVI = multivitamin; AMA = American Medical Association; ASPEN = American Society for Parenteral and Enteral Nutrition","c-replace":["Parenteral Nutrition Associated Cholestasis (PNAC)","PNAC"],"ab-name":"Abbreviations","a-name":"Abbreviation","g-rebookmarkname":"","i-wm":"PNAC","d-description":"An abbreviation must appear with its expanded form first and can then only be reused.","k-color":"#a24c29","f-bookmark":"BMABBRE100662","j-groupid":13},{"b-find":"Ca","e-paracontent":"ECF = extracellular fluid; ELBW = extremely low birth weight; PDA = patent ductus arteriosus; BSA = body surface area; GIR = glucose infusion rate; CO2 = carbon dioxide; BW = birth weight; PN = parenteral nutrition; EN = enteral nutrition; IFLAD = intestinal failure associated liver disease; PNAC = parenteral nutrition associated cholestasis; EFAD = essential fatty acid deficiency; BUN = blood urea nitrogen; AST = aspartate transaminase; ALT = alanine transaminase;&lt;mark&gt;Ca&lt;\/mark&gt; = calcium; Phos = phosphorus; MVI = multivitamin; AMA = American Medical Association; ASPEN = American Society for Parenteral and Enteral Nutrition","c-replace":["corrected age (CA)","CA"],"ab-name":"Abbreviations","a-name":"Abbreviation","g-rebookmarkname":"","i-wm":"Ca","d-description":"An abbreviation must appear with its expanded form first and can then only be reused.","k-color":"#a24c29","f-bookmark":"BMABBRE100663","j-groupid":8},{"b-find":"ASPEN","e-paracontent":"ECF = extracellular fluid; ELBW = extremely low birth weight; PDA = patent ductus arteriosus; BSA = body surface area; GIR = glucose infusion rate; CO2 = carbon dioxide; BW = birth weight; PN = parenteral nutrition; EN = enteral nutrition; IFLAD = intestinal failure associated liver disease; PNAC = parenteral nutrition associated cholestasis; EFAD = essential fatty acid deficiency; BUN = blood urea nitrogen; AST = aspartate transaminase; ALT = alanine transaminase; Ca = calcium; Phos = phosphorus; MVI = multivitamin; AMA = American Medical Association;&lt;mark&gt;ASPEN&lt;\/mark&gt; = American Society for Parenteral and Enteral Nutrition","c-replace":["American Society for Parenteral and Enteral Nutrition (ASPEN)","ASPEN"],"ab-name":"Abbreviations","a-name":"Abbreviation","g-rebookmarkname":"","i-wm":"ASPEN","d-description":"An abbreviation must appear with its expanded form first and can then only be reused.","k-color":"#a24c29","f-bookmark":"BMABBRE100664","j-groupid":17},{"b-find":"American Society for Parenteral and Enteral Nutrition","e-paracontent":"ECF = extracellular fluid; ELBW = extremely low birth weight; PDA = patent ductus arteriosus; BSA = body surface area; GIR = glucose infusion rate; CO2 = carbon dioxide; BW = birth weight; PN = parenteral nutrition; EN = enteral nutrition; IFLAD = intestinal failure associated liver disease; PNAC = parenteral nutrition associated cholestasis; EFAD = essential fatty acid deficiency; BUN = blood urea nitrogen; AST = aspartate transaminase; ALT = alanine transaminase; Ca = calcium; Phos = phosphorus; MVI = multivitamin; AMA = American Medical Association; ASPEN =&lt;mark&gt;American Society for Parenteral and Enteral Nutrition&lt;\/mark&gt;","c-replace":["American Society for Parenteral and Enteral Nutrition (ASPEN)","ASPEN"],"ab-name":"Abbreviations","a-name":"Abbreviation","g-rebookmarkname":"","i-wm":"American Society for Parenteral and Enteral Nutrition","d-description":"An abbreviation must appear with its expanded form first and can then only be reused.","k-color":"#a24c29","f-bookmark":"BMABBRE100665","j-groupid":17},{"b-find":"extremely low birth weight","e-paracontent":"ECF = extracellular fluid; ELBW =&lt;mark&gt;extremely low birth weight&lt;\/mark&gt;; PDA = patent ductus arteriosus; BSA = body surface area; GIR = glucose infusion rate; CO2 = carbon dioxide; BW = birth weight; PN = parenteral nutrition; EN = enteral nutrition; IFLAD = intestinal failure associated liver disease; PNAC = parenteral nutrition associated cholestasis; EFAD = essential fatty acid deficiency; BUN = blood urea nitrogen; AST = aspartate transaminase; ALT = alanine transaminase; Ca = calcium; Phos = phosphorus; MVI = multivitamin; AMA = American Medical Association; ASPEN = American Society for Parenteral and Enteral Nutrition","c-replace":["extremely low birth weight (ELBW)","ELBW"],"ab-name":"Abbreviations","a-name":"Abbreviation_Defined_Twice_or_More","g-rebookmarkname":"","i-wm":"extremely low birth weight","d-description":"An abbreviation is defined more than once. The definition may also be inconsistent.","k-color":"#a24c29","f-bookmark":"BMABBRE100666","j-groupid":11},{"b-find":"patent ductus arteriosus","e-paracontent":"ECF = extracellular fluid; ELBW = extremely low birth weight; PDA =&lt;mark&gt;patent ductus arteriosus&lt;\/mark&gt;; BSA = body surface area; GIR = glucose infusion rate; CO2 = carbon dioxide; BW = birth weight; PN = parenteral nutrition; EN = enteral nutrition; IFLAD = intestinal failure associated liver disease; PNAC = parenteral nutrition associated cholestasis; EFAD = essential fatty acid deficiency; BUN = blood urea nitrogen; AST = aspartate transaminase; ALT = alanine transaminase; Ca = calcium; Phos = phosphorus; MVI = multivitamin; AMA = American Medical Association; ASPEN = American Society for Parenteral and Enteral Nutrition","c-replace":["Patent Ductus Arteriosus (PDA)","PDA"],"ab-name":"Abbreviations","a-name":"Abbreviation_Defined_Twice_or_More","g-rebookmarkname":"","i-wm":"patent ductus arteriosus","d-description":"An abbreviation is defined more than once. The definition may also be inconsistent.","k-color":"#a24c29","f-bookmark":"BMABBRE100667","j-groupid":21},{"b-find":"parenteral nutrition","e-paracontent":"ECF = extracellular fluid; ELBW = extremely low birth weight; PDA = patent ductus arteriosus; BSA = body surface area; GIR = glucose infusion rate; CO2 = carbon dioxide; BW = birth weight; PN =&lt;mark&gt;parenteral nutrition&lt;\/mark&gt;; EN = enteral nutrition; IFLAD = intestinal failure associated liver disease; PNAC = parenteral nutrition associated cholestasis; EFAD = essential fatty acid deficiency; BUN = blood urea nitrogen; AST = aspartate transaminase; ALT = alanine transaminase; Ca = calcium; Phos = phosphorus; MVI = multivitamin; AMA = American Medical Association; ASPEN = American Society for Parenteral and Enteral Nutrition","c-replace":["parenteral nutrition (PN)","PN"],"ab-name":"Abbreviations","a-name":"Abbreviation_Defined_Twice_or_More","g-rebookmarkname":"","i-wm":"parenteral nutrition","d-description":"An abbreviation is defined more than once. The definition may also be inconsistent.","k-color":"#a24c29","f-bookmark":"BMABBRE100668","j-groupid":10},{"b-find":"parenteral nutrition associated cholestasis","e-paracontent":"ECF = extracellular fluid; ELBW = extremely low birth weight; PDA = patent ductus arteriosus; BSA = body surface area; GIR = glucose infusion rate; CO2 = carbon dioxide; BW = birth weight; PN = parenteral nutrition; EN = enteral nutrition; IFLAD = intestinal failure associated liver disease; PNAC =&lt;mark&gt;parenteral nutrition associated cholestasis&lt;\/mark&gt;; EFAD = essential fatty acid deficiency; BUN = blood urea nitrogen; AST = aspartate transaminase; ALT = alanine transaminase; Ca = calcium; Phos = phosphorus; MVI = multivitamin; AMA = American Medical Association; ASPEN = American Society for Parenteral and Enteral Nutrition","c-replace":["Parenteral Nutrition Associated Cholestasis (PNAC)","PNAC"],"ab-name":"Abbreviations","a-name":"Abbreviation_Defined_Twice_or_More","g-rebookmarkname":"","i-wm":"parenteral nutrition associated cholestasis","d-description":"An abbreviation is defined more than once. The definition may also be inconsistent.","k-color":"#a24c29","f-bookmark":"BMABBRE100669","j-groupid":13},{"b-find":"ECF","e-paracontent":"&lt;mark&gt;ECF&lt;\/mark&gt; = extracellular fluid; ELBW = extremely low birth weight; PDA = patent ductus arteriosus; BSA = body surface area; GIR = glucose infusion rate; CO2 = carbon dioxide; BW = birth weight; PN = parenteral nutrition; EN = enteral nutrition; IFLAD = intestinal failure associated liver disease; PNAC = parenteral nutrition associated cholestasis; EFAD = essential fatty acid deficiency; BUN = blood urea nitrogen; AST = aspartate transaminase; ALT = alanine transaminase; Ca = calcium; Phos = phosphorus; MVI = multivitamin; AMA = American Medical Association; ASPEN = American Society for Parenteral and Enteral Nutrition","c-replace":[""],"ab-name":"Abbreviations","a-name":"Possible_Abbreviations","g-rebookmarkname":"","i-wm":"ECF","d-description":"Word in all caps may be an abbreviation.","k-color":"","f-bookmark":"BMABBRE100670","j-groupid":1},{"b-find":"BSA","e-paracontent":"ECF = extracellular fluid; ELBW = extremely low birth weight; PDA = patent ductus arteriosus;&lt;mark&gt;BSA&lt;\/mark&gt; = body surface area; GIR = glucose infusion rate; CO2 = carbon dioxide; BW = birth weight; PN = parenteral nutrition; EN = enteral nutrition; IFLAD = intestinal failure associated liver disease; PNAC = parenteral nutrition associated cholestasis; EFAD = essential fatty acid deficiency; BUN = blood urea nitrogen; AST = aspartate transaminase; ALT = alanine transaminase; Ca = calcium; Phos = phosphorus; MVI = multivitamin; AMA = American Medical Association; ASPEN = American Society for Parenteral and Enteral Nutrition","c-replace":[""],"ab-name":"Abbreviations","a-name":"Possible_Abbreviations","g-rebookmarkname":"","i-wm":"BSA","d-description":"Word in all caps may be an abbreviation.","k-color":"","f-bookmark":"BMABBRE100671","j-groupid":1},{"b-find":"GIR","e-paracontent":"ECF = extracellular fluid; ELBW = extremely low birth weight; PDA = patent ductus arteriosus; BSA = body surface area;&lt;mark&gt;GIR&lt;\/mark&gt; = glucose infusion rate; CO2 = carbon dioxide; BW = birth weight; PN = parenteral nutrition; EN = enteral nutrition; IFLAD = intestinal failure associated liver disease; PNAC = parenteral nutrition associated cholestasis; EFAD = essential fatty acid deficiency; BUN = blood urea nitrogen; AST = aspartate transaminase; ALT = alanine transaminase; Ca = calcium; Phos = phosphorus; MVI = multivitamin; AMA = American Medical Association; ASPEN = American Society for Parenteral and Enteral Nutrition","c-replace":[""],"ab-name":"Abbreviations","a-name":"Possible_Abbreviations","g-rebookmarkname":"","i-wm":"GIR","d-description":"Word in all caps may be an abbreviation.","k-color":"","f-bookmark":"BMABBRE100672","j-groupid":1},{"b-find":"CO","e-paracontent":"ECF = extracellular fluid; ELBW = extremely low birth weight; PDA = patent ductus arteriosus; BSA = body surface area; GIR = glucose infusion rate;&lt;mark&gt;CO&lt;\/mark&gt;2 = carbon dioxide; BW = birth weight; PN = parenteral nutrition; EN = enteral nutrition; IFLAD = intestinal failure associated liver disease; PNAC = parenteral nutrition associated cholestasis; EFAD = essential fatty acid deficiency; BUN = blood urea nitrogen; AST = aspartate transaminase; ALT = alanine transaminase; Ca = calcium; Phos = phosphorus; MVI = multivitamin; AMA = American Medical Association; ASPEN = American Society for Parenteral and Enteral Nutrition","c-replace":[""],"ab-name":"Abbreviations","a-name":"Possible_Abbreviations","g-rebookmarkname":"","i-wm":"CO","d-description":"Word in all caps may be an abbreviation.","k-color":"","f-bookmark":"BMABBRE100673","j-groupid":1},{"b-find":"BW","e-paracontent":"ECF = extracellular fluid; ELBW = extremely low birth weight; PDA = patent ductus arteriosus; BSA = body surface area; GIR = glucose infusion rate; CO2 = carbon dioxide;&lt;mark&gt;BW&lt;\/mark&gt; = birth weight; PN = parenteral nutrition; EN = enteral nutrition; IFLAD = intestinal failure associated liver disease; PNAC = parenteral nutrition associated cholestasis; EFAD = essential fatty acid deficiency; BUN = blood urea nitrogen; AST = aspartate transaminase; ALT = alanine transaminase; Ca = calcium; Phos = phosphorus; MVI = multivitamin; AMA = American Medical Association; ASPEN = American Society for Parenteral and Enteral Nutrition","c-replace":[""],"ab-name":"Abbreviations","a-name":"Possible_Abbreviations","g-rebookmarkname":"","i-wm":"BW","d-description":"Word in all caps may be an abbreviation.","k-color":"","f-bookmark":"BMABBRE100674","j-groupid":1},{"b-find":"EN","e-paracontent":"ECF = extracellular fluid; ELBW = extremely low birth weight; PDA = patent ductus arteriosus; BSA = body surface area; GIR = glucose infusion rate; CO2 = carbon dioxide; BW = birth weight; PN = parenteral nutrition;&lt;mark&gt;EN&lt;\/mark&gt; = enteral nutrition; IFLAD = intestinal failure associated liver disease; PNAC = parenteral nutrition associated cholestasis; EFAD = essential fatty acid deficiency; BUN = blood urea nitrogen; AST = aspartate transaminase; ALT = alanine transaminase; Ca = calcium; Phos = phosphorus; MVI = multivitamin; AMA = American Medical Association; ASPEN = American Society for Parenteral and Enteral Nutrition","c-replace":[""],"ab-name":"Abbreviations","a-name":"Possible_Abbreviations","g-rebookmarkname":"","i-wm":"EN","d-description":"Word in all caps may be an abbreviation.","k-color":"","f-bookmark":"BMABBRE100675","j-groupid":1},{"b-find":"IFLAD","e-paracontent":"ECF = extracellular fluid; ELBW = extremely low birth weight; PDA = patent ductus arteriosus; BSA = body surface area; GIR = glucose infusion rate; CO2 = carbon dioxide; BW = birth weight; PN = parenteral nutrition; EN = enteral nutrition;&lt;mark&gt;IFLAD&lt;\/mark&gt; = intestinal failure associated liver disease; PNAC = parenteral nutrition associated cholestasis; EFAD = essential fatty acid deficiency; BUN = blood urea nitrogen; AST = aspartate transaminase; ALT = alanine transaminase; Ca = calcium; Phos = phosphorus; MVI = multivitamin; AMA = American Medical Association; ASPEN = American Society for Parenteral and Enteral Nutrition","c-replace":[""],"ab-name":"Abbreviations","a-name":"Possible_Abbreviations","g-rebookmarkname":"","i-wm":"IFLAD","d-description":"Word in all caps may be an abbreviation.","k-color":"","f-bookmark":"BMABBRE100676","j-groupid":1},{"b-find":"EFAD","e-paracontent":"ECF = extracellular fluid; ELBW = extremely low birth weight; PDA = patent ductus arteriosus; BSA = body surface area; GIR = glucose infusion rate; CO2 = carbon dioxide; BW = birth weight; PN = parenteral nutrition; EN = enteral nutrition; IFLAD = intestinal failure associated liver disease; PNAC = parenteral nutrition associated cholestasis;&lt;mark&gt;EFAD&lt;\/mark&gt; = essential fatty acid deficiency; BUN = blood urea nitrogen; AST = aspartate transaminase; ALT = alanine transaminase; Ca = calcium; Phos = phosphorus; MVI = multivitamin; AMA = American Medical Association; ASPEN = American Society for Parenteral and Enteral Nutrition","c-replace":[""],"ab-name":"Abbreviations","a-name":"Possible_Abbreviations","g-rebookmarkname":"","i-wm":"EFAD","d-description":"Word in all caps may be an abbreviation.","k-color":"","f-bookmark":"BMABBRE100677","j-groupid":1},{"b-find":"BUN","e-paracontent":"ECF = extracellular fluid; ELBW = extremely low birth weight; PDA = patent ductus arteriosus; BSA = body surface area; GIR = glucose infusion rate; CO2 = carbon dioxide; BW = birth weight; PN = parenteral nutrition; EN = enteral nutrition; IFLAD = intestinal failure associated liver disease; PNAC = parenteral nutrition associated cholestasis; EFAD = essential fatty acid deficiency;&lt;mark&gt;BUN&lt;\/mark&gt; = blood urea nitrogen; AST = aspartate transaminase; ALT = alanine transaminase; Ca = calcium; Phos = phosphorus; MVI = multivitamin; AMA = American Medical Association; ASPEN = American Society for Parenteral and Enteral Nutrition","c-replace":[""],"ab-name":"Abbreviations","a-name":"Possible_Abbreviations","g-rebookmarkname":"","i-wm":"BUN","d-description":"Word in all caps may be an abbreviation.","k-color":"","f-bookmark":"BMABBRE100678","j-groupid":1},{"b-find":"AST","e-paracontent":"ECF = extracellular fluid; ELBW = extremely low birth weight; PDA = patent ductus arteriosus; BSA = body surface area; GIR = glucose infusion rate; CO2 = carbon dioxide; BW = birth weight; PN = parenteral nutrition; EN = enteral nutrition; IFLAD = intestinal failure associated liver disease; PNAC = parenteral nutrition associated cholestasis; EFAD = essential fatty acid deficiency; BUN = blood urea nitrogen;&lt;mark&gt;AST&lt;\/mark&gt; = aspartate transaminase; ALT = alanine transaminase; Ca = calcium; Phos = phosphorus; MVI = multivitamin; AMA = American Medical Association; ASPEN = American Society for Parenteral and Enteral Nutrition","c-replace":[""],"ab-name":"Abbreviations","a-name":"Possible_Abbreviations","g-rebookmarkname":"","i-wm":"AST","d-description":"Word in all caps may be an abbreviation.","k-color":"","f-bookmark":"BMABBRE100679","j-groupid":1},{"b-find":"ALT","e-paracontent":"ECF = extracellular fluid; ELBW = extremely low birth weight; PDA = patent ductus arteriosus; BSA = body surface area; GIR = glucose infusion rate; CO2 = carbon dioxide; BW = birth weight; PN = parenteral nutrition; EN = enteral nutrition; IFLAD = intestinal failure associated liver disease; PNAC = parenteral nutrition associated cholestasis; EFAD = essential fatty acid deficiency; BUN = blood urea nitrogen; AST = aspartate transaminase;&lt;mark&gt;ALT&lt;\/mark&gt; = alanine transaminase; Ca = calcium; Phos = phosphorus; MVI = multivitamin; AMA = American Medical Association; ASPEN = American Society for Parenteral and Enteral Nutrition","c-replace":[""],"ab-name":"Abbreviations","a-name":"Possible_Abbreviations","g-rebookmarkname":"","i-wm":"ALT","d-description":"Word in all caps may be an abbreviation.","k-color":"","f-bookmark":"BMABBRE100680","j-groupid":1},{"b-find":"MVI","e-paracontent":"ECF = extracellular fluid; ELBW = extremely low birth weight; PDA = patent ductus arteriosus; BSA = body surface area; GIR = glucose infusion rate; CO2 = carbon dioxide; BW = birth weight; PN = parenteral nutrition; EN = enteral nutrition; IFLAD = intestinal failure associated liver disease; PNAC = parenteral nutrition associated cholestasis; EFAD = essential fatty acid deficiency; BUN = blood urea nitrogen; AST = aspartate transaminase; ALT = alanine transaminase; Ca = calcium; Phos = phosphorus;&lt;mark&gt;MVI&lt;\/mark&gt; = multivitamin; AMA = American Medical Association; ASPEN = American Society for Parenteral and Enteral Nutrition","c-replace":[""],"ab-name":"Abbreviations","a-name":"Possible_Abbreviations","g-rebookmarkname":"","i-wm":"MVI","d-description":"Word in all caps may be an abbreviation.","k-color":"","f-bookmark":"BMABBRE100681","j-groupid":1},{"b-find":"AMA","e-paracontent":"ECF = extracellular fluid; ELBW = extremely low birth weight; PDA = patent ductus arteriosus; BSA = body surface area; GIR = glucose infusion rate; CO2 = carbon dioxide; BW = birth weight; PN = parenteral nutrition; EN = enteral nutrition; IFLAD = intestinal failure associated liver disease; PNAC = parenteral nutrition associated cholestasis; EFAD = essential fatty acid deficiency; BUN = blood urea nitrogen; AST = aspartate transaminase; ALT = alanine transaminase; Ca = calcium; Phos = phosphorus; MVI = multivitamin;&lt;mark&gt;AMA&lt;\/mark&gt; = American Medical Association; ASPEN = American Society for Parenteral and Enteral Nutrition","c-replace":[""],"ab-name":"Abbreviations","a-name":"Possible_Abbreviations","g-rebookmarkname":"","i-wm":"AMA","d-description":"Word in all caps may be an abbreviation.","k-color":"","f-bookmark":"BMABBRE100682","j-groupid":1},{"b-find":"GA","e-paracontent":"All infants &lt; 32 weeks&lt;mark&gt;GA&lt;\/mark&gt;, and older infants with ongoing poor suck/swallow/breathe coordination","c-replace":["Gestational Age (GA)","GA"],"ab-name":"Abbreviations","a-name":"Abbreviation","g-rebookmarkname":"","i-wm":"GA","d-description":"An abbreviation must appear with its expanded form first and can then only be reused.","k-color":"#a24c29","f-bookmark":"BMABBRE100694","j-groupid":22},{"b-find":"NIPPV","e-paracontent":"Infants orally intubated or on&lt;mark&gt;NIPPV&lt;\/mark&gt;/CPAP/HFNC","c-replace":[""],"ab-name":"Abbreviations","a-name":"Possible_Abbreviations","g-rebookmarkname":"","i-wm":"NIPPV","d-description":"Word in all caps may be an abbreviation.","k-color":"","f-bookmark":"BMABBRE100695","j-groupid":1},{"b-find":"CPAP","e-paracontent":"Infants orally intubated or on NIPPV&lt;mark&gt;CPAP&lt;\/mark&gt;/HFNC","c-replace":[""],"ab-name":"Abbreviations","a-name":"Possible_Abbreviations","g-rebookmarkname":"","i-wm":"CPAP","d-description":"Word in all caps may be an abbreviation.","k-color":"","f-bookmark":"BMABBRE100696","j-groupid":1},{"b-find":"HFNC","e-paracontent":"Infants orally intubated or on NIPPV/CPAP&lt;mark&gt;HFNC&lt;\/mark&gt;","c-replace":[""],"ab-name":"Abbreviations","a-name":"Possible_Abbreviations","g-rebookmarkname":"","i-wm":"HFNC","d-description":"Word in all caps may be an abbreviation.","k-color":"","f-bookmark":"BMABBRE100697","j-groupid":1},{"b-find":"BPD","e-paracontent":"Consider for infants with intolerance to gastric feeding, severe GER, and severe&lt;mark&gt;BPD&lt;\/mark&gt;/pulmonary hypertension who are at risk for aspiration","c-replace":["Bronchopulmonary Dysplasia (BPD)","BPD"],"ab-name":"Abbreviations","a-name":"Abbreviation","g-rebookmarkname":"","i-wm":"BPD","d-description":"An abbreviation must appear with its expanded form first and can then only be reused.","k-color":"#a24c29","f-bookmark":"BMABBRE100701","j-groupid":20},{"b-find":"GER","e-paracontent":"Consider for infants with intolerance to gastric feeding, severe&lt;mark&gt;GER&lt;\/mark&gt;, and severe BPD/pulmonary hypertension who are at risk for aspiration","c-replace":[""],"ab-name":"Abbreviations","a-name":"Possible_Abbreviations","g-rebookmarkname":"","i-wm":"GER","d-description":"Word in all caps may be an abbreviation.","k-color":"","f-bookmark":"BMABBRE100702","j-groupid":1},{"b-find":"GA","e-paracontent":"&lt;mark&gt;GA&lt;\/mark&gt; = gestational age; NIPPV = non-invasive positive pressure ventilation; CPAP= continuous positive airway pressure; HFNC = high flow nasal cannula; GER = gastroesophageal reflux; BPD = bronchopulmonary dysplasia.  ","c-replace":["Gestational Age (GA)","GA"],"ab-name":"Abbreviations","a-name":"Abbreviation","g-rebookmarkname":"","i-wm":"GA","d-description":"An abbreviation must appear with its expanded form first and can then only be reused.","k-color":"#a24c29","f-bookmark":"BMABBRE100706","j-groupid":22},{"b-find":"BPD","e-paracontent":"GA = gestational age; NIPPV = non-invasive positive pressure ventilation; CPAP= continuous positive airway pressure; HFNC = high flow nasal cannula; GER = gastroesophageal reflux;&lt;mark&gt;BPD&lt;\/mark&gt; = bronchopulmonary dysplasia.  ","c-replace":["Bronchopulmonary Dysplasia (BPD)","BPD"],"ab-name":"Abbreviations","a-name":"Abbreviation","g-rebookmarkname":"","i-wm":"BPD","d-description":"An abbreviation must appear with its expanded form first and can then only be reused.","k-color":"#a24c29","f-bookmark":"BMABBRE100707","j-groupid":20},{"b-find":"gestational age","e-paracontent":"GA =&lt;mark&gt;gestational age&lt;\/mark&gt;; NIPPV = non-invasive positive pressure ventilation; CPAP= continuous positive airway pressure; HFNC = high flow nasal cannula; GER = gastroesophageal reflux; BPD = bronchopulmonary dysplasia.  ","c-replace":["Gestational Age (GA)","GA"],"ab-name":"Abbreviations","a-name":"Abbreviation_Defined_Twice_or_More","g-rebookmarkname":"","i-wm":"gestational age","d-description":"An abbreviation is defined more than once. The definition may also be inconsistent.","k-color":"#a24c29","f-bookmark":"BMABBRE100708","j-groupid":22},{"b-find":"bronchopulmonary dysplasia","e-paracontent":"GA = gestational age; NIPPV = non-invasive positive pressure ventilation; CPAP= continuous positive airway pressure; HFNC = high flow nasal cannula; GER = gastroesophageal reflux; BPD =&lt;mark&gt;bronchopulmonary dysplasia&lt;\/mark&gt;.  ","c-replace":["Bronchopulmonary Dysplasia (BPD)","BPD"],"ab-name":"Abbreviations","a-name":"Abbreviation_Defined_Twice_or_More","g-rebookmarkname":"","i-wm":"bronchopulmonary dysplasia","d-description":"An abbreviation is defined more than once. The definition may also be inconsistent.","k-color":"#a24c29","f-bookmark":"BMABBRE100709","j-groupid":20},{"b-find":"NIPPV","e-paracontent":"GA = gestational age;&lt;mark&gt;NIPPV&lt;\/mark&gt; = non-invasive positive pressure ventilation; CPAP= continuous positive airway pressure; HFNC = high flow nasal cannula; GER = gastroesophageal reflux; BPD = bronchopulmonary dysplasia.  ","c-replace":[""],"ab-name":"Abbreviations","a-name":"Possible_Abbreviations","g-rebookmarkname":"","i-wm":"NIPPV","d-description":"Word in all caps may be an abbreviation.","k-color":"","f-bookmark":"BMABBRE100710","j-groupid":1},{"b-find":"CPAP","e-paracontent":"GA = gestational age; NIPPV = non-invasive positive pressure ventilation;&lt;mark&gt;CPAP&lt;\/mark&gt;= continuous positive airway pressure; HFNC = high flow nasal cannula; GER = gastroesophageal reflux; BPD = bronchopulmonary dysplasia.  ","c-replace":[""],"ab-name":"Abbreviations","a-name":"Possible_Abbreviations","g-rebookmarkname":"","i-wm":"CPAP","d-description":"Word in all caps may be an abbreviation.","k-color":"","f-bookmark":"BMABBRE100711","j-groupid":1},{"b-find":"HFNC","e-paracontent":"GA = gestational age; NIPPV = non-invasive positive pressure ventilation; CPAP= continuous positive airway pressure;&lt;mark&gt;HFNC&lt;\/mark&gt; = high flow nasal cannula; GER = gastroesophageal reflux; BPD = bronchopulmonary dysplasia.  ","c-replace":[""],"ab-name":"Abbreviations","a-name":"Possible_Abbreviations","g-rebookmarkname":"","i-wm":"HFNC","d-description":"Word in all caps may be an abbreviation.","k-color":"","f-bookmark":"BMABBRE100712","j-groupid":1},{"b-find":"GER","e-paracontent":"GA = gestational age; NIPPV = non-invasive positive pressure ventilation; CPAP= continuous positive airway pressure; HFNC = high flow nasal cannula;&lt;mark&gt;GER&lt;\/mark&gt; = gastroesophageal reflux; BPD = bronchopulmonary dysplasia.  ","c-replace":[""],"ab-name":"Abbreviations","a-name":"Possible_Abbreviations","g-rebookmarkname":"","i-wm":"GER","d-description":"Word in all caps may be an abbreviation.","k-color":"","f-bookmark":"BMABBRE100713","j-groupid":1},{"b-find":"gestational age","e-paracontent":"\u2022Initiate at and advance by 10-50 mL/kg/day based on weight,&lt;mark&gt;gestational age&lt;\/mark&gt;, and clinical status","c-replace":["Gestational Age (GA)","GA"],"ab-name":"Abbreviations","a-name":"Abbreviation_Defined_Twice_or_More","g-rebookmarkname":"","i-wm":"gestational age","d-description":"An abbreviation is defined more than once. The definition may also be inconsistent.","k-color":"#a24c29","f-bookmark":"BMABBRE100720","j-groupid":22},{"b-find":"BPD","e-paracontent":"\u2022Some infants may have increased needs up to 150 kcal/kg/day &lt;mark&gt;BPD&lt;\/mark&gt;, SGA)","c-replace":["Bronchopulmonary Dysplasia (BPD)","BPD"],"ab-name":"Abbreviations","a-name":"Abbreviation","g-rebookmarkname":"","i-wm":"BPD","d-description":"An abbreviation must appear with its expanded form first and can then only be reused.","k-color":"#a24c29","f-bookmark":"BMABBRE100737","j-groupid":20},{"b-find":"SGA","e-paracontent":"\u2022Some infants may have increased needs up to 150 kcal/kg/day (BPD,&lt;mark&gt;SGA&lt;\/mark&gt;)","c-replace":["small for gestational age (SGA)","SGA"],"ab-name":"Abbreviations","a-name":"Abbreviation","g-rebookmarkname":"","i-wm":"SGA","d-description":"An abbreviation must appear with its expanded form first and can then only be reused.","k-color":"#a24c29","f-bookmark":"BMABBRE100738","j-groupid":3},{"b-find":"IU","e-paracontent":"            formula should receive 400&lt;mark&gt;IU&lt;\/mark&gt; (10 mcg) daily of Vitamin D.","c-replace":[""],"ab-name":"Abbreviations","a-name":"Possible_Abbreviations","g-rebookmarkname":"","i-wm":"IU","d-description":"Word in all caps may be an abbreviation.","k-color":"","f-bookmark":"BMABBRE100748","j-groupid":1},{"b-find":"HMF","e-paracontent":"\u2022Infants receiving human milk with added&lt;mark&gt;HMF&lt;\/mark&gt; may not require multivitamin","c-replace":["human milk fortifiers (HMF)","HMF"],"ab-name":"Abbreviations","a-name":"Abbreviation","g-rebookmarkname":"","i-wm":"HMF","d-description":"An abbreviation must appear with its expanded form first and can then only be reused.","k-color":"#a24c29","f-bookmark":"BMABBRE100751","j-groupid":9},{"b-find":"PDF","e-paracontent":"\u2022Infants receiving only human milk or human milk with added&lt;mark&gt;PDF&lt;\/mark&gt; do require","c-replace":["post-discharge\u201d formulas (PDF)","PDF"],"ab-name":"Abbreviations","a-name":"Abbreviation","g-rebookmarkname":"","i-wm":"PDF","d-description":"An abbreviation must appear with its expanded form first and can then only be reused.","k-color":"#a24c29","f-bookmark":"BMABBRE100757","j-groupid":14},{"b-find":"BPD","e-paracontent":"&lt;mark&gt;BPD&lt;\/mark&gt; = bronchopulmonary dysplasia, SGA= small for gestational age; IU = international units; HMF = human milk fortifier; PDF = post-discharge formula","c-replace":["Bronchopulmonary Dysplasia (BPD)","BPD"],"ab-name":"Abbreviations","a-name":"Abbreviation","g-rebookmarkname":"","i-wm":"BPD","d-description":"An abbreviation must appear with its expanded form first and can then only be reused.","k-color":"#a24c29","f-bookmark":"BMABBRE100769","j-groupid":20},{"b-find":"SGA","e-paracontent":"BPD = bronchopulmonary dysplasia,&lt;mark&gt;SGA&lt;\/mark&gt;= small for gestational age; IU = international units; HMF = human milk fortifier; PDF = post-discharge formula","c-replace":["small for gestational age (SGA)","SGA"],"ab-name":"Abbreviations","a-name":"Abbreviation","g-rebookmarkname":"","i-wm":"SGA","d-description":"An abbreviation must appear with its expanded form first and can then only be reused.","k-color":"#a24c29","f-bookmark":"BMABBRE100770","j-groupid":3},{"b-find":"HMF","e-paracontent":"BPD = bronchopulmonary dysplasia, SGA= small for gestational age; IU = international units;&lt;mark&gt;HMF&lt;\/mark&gt; = human milk fortifier; PDF = post-discharge formula","c-replace":["human milk fortifiers (HMF)","HMF"],"ab-name":"Abbreviations","a-name":"Abbreviation","g-rebookmarkname":"","i-wm":"HMF","d-description":"An abbreviation must appear with its expanded form first and can then only be reused.","k-color":"#a24c29","f-bookmark":"BMABBRE100771","j-groupid":9},{"b-find":"PDF","e-paracontent":"BPD = bronchopulmonary dysplasia, SGA= small for gestational age; IU = international units; HMF = human milk fortifier;&lt;mark&gt;PDF&lt;\/mark&gt; = post-discharge formula","c-replace":["post-discharge\u201d formulas (PDF)","PDF"],"ab-name":"Abbreviations","a-name":"Abbreviation","g-rebookmarkname":"","i-wm":"PDF","d-description":"An abbreviation must appear with its expanded form first and can then only be reused.","k-color":"#a24c29","f-bookmark":"BMABBRE100772","j-groupid":14},{"b-find":"bronchopulmonary dysplasia","e-paracontent":"BPD =&lt;mark&gt;bronchopulmonary dysplasia&lt;\/mark&gt;, SGA= small for gestational age; IU = international units; HMF = human milk fortifier; PDF = post-discharge formula","c-replace":["Bronchopulmonary Dysplasia (BPD)","BPD"],"ab-name":"Abbreviations","a-name":"Abbreviation_Defined_Twice_or_More","g-rebookmarkname":"","i-wm":"bronchopulmonary dysplasia","d-description":"An abbreviation is defined more than once. The definition may also be inconsistent.","k-color":"#a24c29","f-bookmark":"BMABBRE100773","j-groupid":20},{"b-find":"small for gestational age","e-paracontent":"BPD = bronchopulmonary dysplasia, SGA=&lt;mark&gt;small for gestational age&lt;\/mark&gt;; IU = international units; HMF = human milk fortifier; PDF = post-discharge formula","c-replace":["small for gestational age (SGA)","SGA"],"ab-name":"Abbreviations","a-name":"Abbreviation_Defined_Twice_or_More","g-rebookmarkname":"","i-wm":"small for gestational age","d-description":"An abbreviation is defined more than once. The definition may also be inconsistent.","k-color":"#a24c29","f-bookmark":"BMABBRE100774","j-groupid":3},{"b-find":"IU","e-paracontent":"BPD = bronchopulmonary dysplasia, SGA= small for gestational age;&lt;mark&gt;IU&lt;\/mark&gt; = international units; HMF = human milk fortifier; PDF = post-discharge formula","c-replace":[""],"ab-name":"Abbreviations","a-name":"Possible_Abbreviations","g-rebookmarkname":"","i-wm":"IU","d-description":"Word in all caps may be an abbreviation.","k-color":"","f-bookmark":"BMABBRE100775","j-groupid":1},{"b-find":"NGT","e-paracontent":"\u2022 Fat in human milk may adhere to the&lt;mark&gt;NGT&lt;\/mark&gt;/OGT tubing, which reduces available calories and fats ","c-replace":[""],"ab-name":"Abbreviations","a-name":"Possible_Abbreviations","g-rebookmarkname":"","i-wm":"NGT","d-description":"Word in all caps may be an abbreviation.","k-color":"","f-bookmark":"BMABBRE100782","j-groupid":1},{"b-find":"OGT","e-paracontent":"\u2022 Fat in human milk may adhere to the NGT&lt;mark&gt;OGT&lt;\/mark&gt; tubing, which reduces available calories and fats ","c-replace":[""],"ab-name":"Abbreviations","a-name":"Possible_Abbreviations","g-rebookmarkname":"","i-wm":"OGT","d-description":"Word in all caps may be an abbreviation.","k-color":"","f-bookmark":"BMABBRE100783","j-groupid":1},{"b-find":"Human Milk Fortifiers (HMF)","e-paracontent":"&lt;mark&gt;Human Milk Fortifiers (HMF)&lt;\/mark&gt; ","c-replace":["Human Milk Fortifiers (HMF)","HMF"],"ab-name":"Abbreviations","a-name":"Abbreviation_Defined_Twice_or_More","g-rebookmarkname":"","i-wm":"Human Milk Fortifiers (HMF)","d-description":"An abbreviation is defined more than once. The definition may also be inconsistent.","k-color":"#a24c29","f-bookmark":"BMABBRE100787","j-groupid":9},{"b-find":"PMA","e-paracontent":"\u2022 Indicated for the youngest, smallest infants; typically &lt; 34 weeks&lt;mark&gt;PMA&lt;\/mark&gt; and/or &lt; 2 kg","c-replace":["postmenstrual age (PMA)","PMA"],"ab-name":"Abbreviations","a-name":"Abbreviation","g-rebookmarkname":"","i-wm":"PMA","d-description":"An abbreviation must appear with its expanded form first and can then only be reused.","k-color":"#a24c29","f-bookmark":"BMABBRE100793","j-groupid":6},{"b-find":"PMA","e-paracontent":"\u2022 Indicated for the youngest, smallest infants; typically &lt; 34 weeks&lt;mark&gt;PMA&lt;\/mark&gt; and/or &lt; 2 kg ","c-replace":["postmenstrual age (PMA)","PMA"],"ab-name":"Abbreviations","a-name":"Abbreviation","g-rebookmarkname":"","i-wm":"PMA","d-description":"An abbreviation must appear with its expanded form first and can then only be reused.","k-color":"#a24c29","f-bookmark":"BMABBRE100816","j-groupid":6},{"b-find":"RTF","e-paracontent":"\u2022 Available in 20, 24, 24 high protein and 30 kcal/oz.&lt;mark&gt;RTF&lt;\/mark&gt;; can be mixed together to make additional energy densities","c-replace":[""],"ab-name":"Abbreviations","a-name":"Possible_Abbreviations","g-rebookmarkname":"","i-wm":"RTF","d-description":"Word in all caps may be an abbreviation.","k-color":"","f-bookmark":"BMABBRE100820","j-groupid":1},{"b-find":"MCT","e-paracontent":"\u2022 Fat: 40-50%&lt;mark&gt;MCT&lt;\/mark&gt; oil","c-replace":[""],"ab-name":"Abbreviations","a-name":"Possible_Abbreviations","g-rebookmarkname":"","i-wm":"MCT","d-description":"Word in all caps may be an abbreviation.","k-color":"","f-bookmark":"BMABBRE100823","j-groupid":1},{"b-find":"PMA","e-paracontent":"\u2022 Indicated for late preterm infants (typically 34-37 weeks&lt;mark&gt;PMA&lt;\/mark&gt;, &gt; 2 kg) until 3-6 months corrected age (maximum 12 months corrected age)","c-replace":["postmenstrual age (PMA)","PMA"],"ab-name":"Abbreviations","a-name":"Abbreviation","g-rebookmarkname":"","i-wm":"PMA","d-description":"An abbreviation must appear with its expanded form first and can then only be reused.","k-color":"#a24c29","f-bookmark":"BMABBRE100829","j-groupid":6},{"b-find":"corrected age","e-paracontent":"\u2022 Indicated for late preterm infants (typically 34-37 weeks PMA, &gt; 2 kg) until 3-6 months&lt;mark&gt;corrected age&lt;\/mark&gt; (maximum 12 months corrected age)","c-replace":["corrected age (CA)","CA"],"ab-name":"Abbreviations","a-name":"Abbreviation_Defined_Twice_or_More","g-rebookmarkname":"","i-wm":"corrected age","d-description":"An abbreviation is defined more than once. The definition may also be inconsistent.","k-color":"#a24c29","f-bookmark":"BMABBRE100830","j-groupid":8},{"b-find":"corrected age","e-paracontent":"\u2022 Indicated for late preterm infants (typically 34-37 weeks PMA, &gt; 2 kg) until 3-6 months corrected age (maximum 12 months&lt;mark&gt;corrected age&lt;\/mark&gt;)","c-replace":["corrected age (CA)","CA"],"ab-name":"Abbreviations","a-name":"Abbreviation_Defined_Twice_or_More","g-rebookmarkname":"","i-wm":"corrected age","d-description":"An abbreviation is defined more than once. The definition may also be inconsistent.","k-color":"#a24c29","f-bookmark":"BMABBRE100831","j-groupid":8},{"b-find":"MCT","e-paracontent":"\u2022 Fat: 20-25%&lt;mark&gt;MCT&lt;\/mark&gt; oil ","c-replace":[""],"ab-name":"Abbreviations","a-name":"Possible_Abbreviations","g-rebookmarkname":"","i-wm":"MCT","d-description":"Word in all caps may be an abbreviation.","k-color":"","f-bookmark":"BMABBRE100839","j-groupid":1},{"b-find":"corrected age","e-paracontent":"\u2022 Indicated for term infants when human milk is not available or preterm infants &gt; 3 \u2013 6 months&lt;mark&gt;corrected age&lt;\/mark&gt; who are achieving adequate growth","c-replace":["corrected age (CA)","CA"],"ab-name":"Abbreviations","a-name":"Abbreviation_Defined_Twice_or_More","g-rebookmarkname":"","i-wm":"corrected age","d-description":"An abbreviation is defined more than once. The definition may also be inconsistent.","k-color":"#a24c29","f-bookmark":"BMABBRE100848","j-groupid":8},{"b-find":"MCT","e-paracontent":"\u2022 Fat: 0%&lt;mark&gt;MCT&lt;\/mark&gt; oil for mature infant digestive capability","c-replace":[""],"ab-name":"Abbreviations","a-name":"Possible_Abbreviations","g-rebookmarkname":"","i-wm":"MCT","d-description":"Word in all caps may be an abbreviation.","k-color":"","f-bookmark":"BMABBRE100850","j-groupid":1},{"b-find":"MCT","e-paracontent":"\u2022 Includes rice starch-thickened, protein hydrolysate, free amino-acid-based, altered mineral, or high&lt;mark&gt;MCT&lt;\/mark&gt; containing formulas","c-replace":[""],"ab-name":"Abbreviations","a-name":"Possible_Abbreviations","g-rebookmarkname":"","i-wm":"MCT","d-description":"Word in all caps may be an abbreviation.","k-color":"","f-bookmark":"BMABBRE100859","j-groupid":1},{"b-find":"PMA","e-paracontent":"NGT = nasogastric tube; OGT = orogastric tube; EFA = essential fatty acids;&lt;mark&gt;PMA&lt;\/mark&gt; post-menstrual age; RTF = ready-to-feed; MCT = medium chain triglycerides","c-replace":["postmenstrual age (PMA)","PMA"],"ab-name":"Abbreviations","a-name":"Abbreviation","g-rebookmarkname":"","i-wm":"PMA","d-description":"An abbreviation must appear with its expanded form first and can then only be reused.","k-color":"#a24c29","f-bookmark":"BMABBRE100866","j-groupid":6},{"b-find":"NGT","e-paracontent":"&lt;mark&gt;NGT&lt;\/mark&gt; = nasogastric tube; OGT = orogastric tube; EFA = essential fatty acids; PMA post-menstrual age; RTF = ready-to-feed; MCT = medium chain triglycerides","c-replace":[""],"ab-name":"Abbreviations","a-name":"Possible_Abbreviations","g-rebookmarkname":"","i-wm":"NGT","d-description":"Word in all caps may be an abbreviation.","k-color":"","f-bookmark":"BMABBRE100867","j-groupid":1},{"b-find":"OGT","e-paracontent":"NGT = nasogastric tube;&lt;mark&gt;OGT&lt;\/mark&gt; = orogastric tube; EFA = essential fatty acids; PMA post-menstrual age; RTF = ready-to-feed; MCT = medium chain triglycerides","c-replace":[""],"ab-name":"Abbreviations","a-name":"Possible_Abbreviations","g-rebookmarkname":"","i-wm":"OGT","d-description":"Word in all caps may be an abbreviation.","k-color":"","f-bookmark":"BMABBRE100868","j-groupid":1},{"b-find":"EFA","e-paracontent":"NGT = nasogastric tube; OGT = orogastric tube;&lt;mark&gt;EFA&lt;\/mark&gt; = essential fatty acids; PMA post-menstrual age; RTF = ready-to-feed; MCT = medium chain triglycerides","c-replace":[""],"ab-name":"Abbreviations","a-name":"Possible_Abbreviations","g-rebookmarkname":"","i-wm":"EFA","d-description":"Word in all caps may be an abbreviation.","k-color":"","f-bookmark":"BMABBRE100869","j-groupid":1},{"b-find":"RTF","e-paracontent":"NGT = nasogastric tube; OGT = orogastric tube; EFA = essential fatty acids; PMA post-menstrual age;&lt;mark&gt;RTF&lt;\/mark&gt; = ready-to-feed; MCT = medium chain triglycerides","c-replace":[""],"ab-name":"Abbreviations","a-name":"Possible_Abbreviations","g-rebookmarkname":"","i-wm":"RTF","d-description":"Word in all caps may be an abbreviation.","k-color":"","f-bookmark":"BMABBRE100870","j-groupid":1},{"b-find":"MCT","e-paracontent":"NGT = nasogastric tube; OGT = orogastric tube; EFA = essential fatty acids; PMA post-menstrual age; RTF = ready-to-feed;&lt;mark&gt;MCT&lt;\/mark&gt; = medium chain triglycerides","c-replace":[""],"ab-name":"Abbreviations","a-name":"Possible_Abbreviations","g-rebookmarkname":"","i-wm":"MCT","d-description":"Word in all caps may be an abbreviation.","k-color":"","f-bookmark":"BMABBRE100871","j-groupid":1}]</preedit>
</file>

<file path=customXml/item2.xml><?xml version="1.0" encoding="utf-8"?>
<preedit xmlns="http://www.machineedit.net/AMOD/CustomXML/Grammar.htm">[{"b-find":"some of the","e-paracontent":"If human milk is not available, then preterm infant formula should be used.  These formulas have been designed to match&lt;mark&gt;some of the&lt;\/mark&gt; developmental aspects of the preterm gastrointestinal tract, including relative exocrine pancreatic immaturity, lower lipase production, reduced bile acid pools, and lower lactase activity (Table 35-8).  These formulas also contain higher concentrations of protein, electrolytes, vitamins, and minerals (especially calcium and phosphorus) to meet the demands of the preterm infant.","c-replace":[],"ab-name":"Grammar","a-name":"Redundant Phrases","g-rebookmarkname":"","i-wm":"some of the","d-description":"Simply use 'some'.","f-bookmark":"BMGRAMMARCHECK_LNG_Redundant_Phrases_100156"},{"b-find":"oz","e-paracontent":"Preterm infants require supplementation with 2-4 mg/kg/day of elemental iron due to anemia of prematurity.10,11 At a typical feeding volume of 150 mL/kg/day and energy density of 24 Cal/fl.&lt;mark&gt;oz&lt;\/mark&gt;., most iron fortified formulas provide 2.2 mg/kg/day; the iron content of human milk fortified with HMF needs to be calculated because iron content varies by HMF product. Supplementation with vitamin D is also routine with a minimum goal (feeds + supplementation) of 10 mcg/day.10 Higher dosing may be needed for infants with osteopenia of prematurity.","c-replace":["Oz"],"ab-name":"Grammar","a-name":"Capitalization","g-rebookmarkname":"","i-wm":"oz","d-description":"This sentence does not start with an uppercase letter","f-bookmark":"BMGRAMMARCHECK_LNG_Capitalization_100164"},{"b-find":"dilution","e-paracontent":"Preterm infant formulas and HMFs are not available for home use due to their high nutrient concentrations designed to meet the needs of infants who take smaller feeding volumes.  Close to hospital discharge, infants requiring non-human milk feedings should be transitioned to \u201cpost-discharge\u201d formulas (PDF) or \u201ctransitional\u201d formulas for home use. Studies suggest that compared to term formula, preterm infants fed PDF demonstrate improved growth (weight, length, and head circumference).15 Evidence is mixed on whether PDF may also benefit body composition, bone mineralization, and neurodevelopment.15 Post-discharge formulas provide higher concentrations of energy, protein, vitamins, and minerals at a standard 22 kcal/oz.&lt;mark&gt;dilution&lt;\/mark&gt; than term infant formulas (standard 20 kcal/oz.), but less than those in preterm infant formulas and human milk fortified with HMF (standard 24 kcal/oz.). Preterm infants receiving human milk may require additional nutrients from PDF as well. There is no optimal practice15; common methods include adding formula powder to pumped human milk, alternating moderately concentrated formula bottles with direct breastfeeding, or mostly direct breastfeeding with few highly concentrated formula \u201cbooster\u201d bottles. PDF prescribed at higher than 22 kcal/oz. and fortified human milk at any energy density require specialized mixing recipes. Referral to a community lactation consultant, Special Supplemental Food Program for Women, Infants, and Children (WIC), Early Intervention Program (EIP), and/or home-health nursing may be beneficial for assistance with feeding skills and weight checks. Additionally, the American Academy of Pediatrics16 and countries throughout the world17 recommend that preterm infants receive multidisciplinary follow up care with attention to nutritional and neurodevelopmental needs.","c-replace":["Dilution"],"ab-name":"Grammar","a-name":"Capitalization","g-rebookmarkname":"","i-wm":"dilution","d-description":"This sentence does not start with an uppercase letter","f-bookmark":"BMGRAMMARCHECK_LNG_Capitalization_100264"},{"b-find":"and","e-paracontent":"Preterm infant formulas and HMFs are not available for home use due to their high nutrient concentrations designed to meet the needs of infants who take smaller feeding volumes.  Close to hospital discharge, infants requiring non-human milk feedings should be transitioned to \u201cpost-discharge\u201d formulas (PDF) or \u201ctransitional\u201d formulas for home use. Studies suggest that compared to term formula, preterm infants fed PDF demonstrate improved growth (weight, length, and head circumference).15 Evidence is mixed on whether PDF may also benefit body composition, bone mineralization, and neurodevelopment.15 Post-discharge formulas provide higher concentrations of energy, protein, vitamins, and minerals at a standard 22 kcal/oz. dilution than term infant formulas (standard 20 kcal/oz.), but less than those in preterm infant formulas and human milk fortified with HMF (standard 24 kcal/oz.). Preterm infants receiving human milk may require additional nutrients from PDF as well. There is no optimal practice15; common methods include adding formula powder to pumped human milk, alternating moderately concentrated formula bottles with direct breastfeeding, or mostly direct breastfeeding with few highly concentrated formula \u201cbooster\u201d bottles. PDF prescribed at higher than 22 kcal/oz.&lt;mark&gt;and&lt;\/mark&gt; fortified human milk at any energy density require specialized mixing recipes. Referral to a community lactation consultant, Special Supplemental Food Program for Women, Infants, and Children (WIC), Early Intervention Program (EIP), and/or home-health nursing may be beneficial for assistance with feeding skills and weight checks. Additionally, the American Academy of Pediatrics16 and countries throughout the world17 recommend that preterm infants receive multidisciplinary follow up care with attention to nutritional and neurodevelopmental needs.","c-replace":["And"],"ab-name":"Grammar","a-name":"Capitalization","g-rebookmarkname":"","i-wm":"and","d-description":"This sentence does not start with an uppercase letter","f-bookmark":"BMGRAMMARCHECK_LNG_Capitalization_100269"},{"b-find":"Target","e-paracontent":"&lt;mark&gt;Target&lt;\/mark&gt; HC Gain","c-replace":[],"ab-name":"Grammar","a-name":"Style","g-rebookmarkname":"","i-wm":"Target","d-description":"Three successive sentences begin with the same word. Consider rewording the sentence or use a thesaurus to find a synonym.","f-bookmark":"BMGRAMMARCHECK_LNG_Style_100541"},{"b-find":"(","e-paracontent":"Calcium&lt;mark&gt;(&lt;\/mark&gt;mEq/kg/day","c-replace":[],"ab-name":"Grammar","a-name":"Punctuation","g-rebookmarkname":"","i-wm":"(","d-description":"Unpaired symbol: ')' seems to be missing","f-bookmark":"BMGRAMMARCHECK_LNG_Punctuation_100616"},{"b-find":"prior to","e-paracontent":"\u2022Infant should generally be at full feeds (150 ml/kg/day at 24 kcal/oz.)&lt;mark&gt;prior to&lt;\/mark&gt; start","c-replace":[],"ab-name":"Grammar","a-name":"Grammar","g-rebookmarkname":"","i-wm":"prior to","d-description":"Replace \"prior to\" with \"before\", if needed.","f-bookmark":"BMGRAMMARCHECK_LNG_Grammar_100768"},{"b-find":"for","e-paracontent":"\u2022 Standard energy density is intermediate between preterm and term formulas at 22 kcal/oz; powder may be mixed &gt; 22 kcal/oz.&lt;mark&gt;for&lt;\/mark&gt; infants with higher nutrient needs","c-replace":["For"],"ab-name":"Grammar","a-name":"Capitalization","g-rebookmarkname":"","i-wm":"for","d-description":"This sentence does not start with an uppercase letter","f-bookmark":"BMGRAMMARCHECK_LNG_Capitalization_100838"}]</preedit>
</file>

<file path=customXml/item3.xml><?xml version="1.0" encoding="utf-8"?>
<styles data-stylescollection="true">
  <style AA_CCC_B_ZRange="Range" DZC_Abbreviation="Abbreviation" DZC_AbbreviationExpansion="AbbreviationExpansion" DZC_AbbreviationHead="AbbreviationHead" DZC_AbstractHeading="Abst Abstract Char" DZC_Accessed_Date="AccessedDate" DZC_Acknowledgements="Acknowledgements" DZC_AcronymHead="AcronymHead" DZC_Address="Address" DZC_Aff_Organisation="Aff_Organisation" DZC_AffiliationHead="AffiliationHead" DZC_AppendixCitation="AppendixCitation" DZC_AppendixNumber="AppendixNumber" DZC_ArabicCharacters="ArabicCharacters" DZC_ArticleTitle="bib_article" DZC_BookTitle="bib_book" DZC_BoxCitation="BoxCitation" DZC_BoxNumber="NBX-NUM" DZC_BoxPMI="BoxPMI" DZC_CJK_Characters="CJK_Characters" DZC_ChapterNumber="CN" DZC_ChapterTitle="ChapterTitle" DZC_ChapterWord="CW" DZC_CherokeeCharacters="CherokeeCharacters" DZC_Cited="Cited" DZC_CityName="CityName" DZC_CollegeName="CollegeName" DZC_Country_Name="CountryName" DZC_DOI="bib_doi" DZC_DateFormat="bib_year" DZC_DepartmentName="DepartmentName" DZC_DocumentAuthor="CAU" DZC_Edition="bib_editionno" DZC_Editor="bib_ed-fname" DZC_EgyptianCopticCharacters="EgyptianCopticCharacters" DZC_EmailAddress="EmailAddress" DZC_EquationName="EQN" DZC_Et_al="bib_etal" DZC_ExhibitCitation="ExhibitCitation" DZC_ExhibitNumber="ExhibitNumber" DZC_ExhibitPMI="ExhibitPMI" DZC_ExternalBoxCitation="ExternalBoxCitation" DZC_ExternalExhibitCitation="ExternalExhibitCitation" DZC_ExternalFigCitation="ExternalFigCitation" DZC_ExternalImageCitation="ExternalImageCitation" DZC_ExternalMultiBoxCitation="ExternalBoxCitation" DZC_ExternalMultiExhibitCitation="ExternalExhibitCitation" DZC_ExternalMultiFigureCitation="ExternalFigureCitation" DZC_ExternalMultiImageCitation="ExternalImageCitation" DZC_ExternalMultiPhotoCitation="ExternalPhotoCitation" DZC_ExternalMultiSchemeCitation="ExternalSchemeCitation" DZC_ExternalMultiStructureCitation="ExternalStructureCitation" DZC_ExternalMultiTableCitation="ExternalTableCitation" DZC_ExternalPhotoCitation="ExternalPhotoCitation" DZC_ExternalSchemeCitation="ExternalSchemeCitation" DZC_ExternalStructureCitation="ExternalStructureCitation" DZC_ExternalSupplFigureCitation="ExternalSupplementFigureCitation" DZC_ExternalSupplMultiFigureCitation="ExternalSupplementFigureCitation" DZC_ExternalSupplMultiTableCitation="ExternalSupplementTableCitation" DZC_ExternalSupplTableCitation="ExternalSupplementTableCitation" DZC_ExternalTableCitation="ExternalTableCitation" DZC_FB_ForewordHeading="ForewordHeading" DZC_FB_Publisher="Publisher" DZC_FN="bib_fname" DZC_Fax_Format="FaxFormat" DZC_Fax_Number="FaxNumber" DZC_FigureCitation="FigureCitation" DZC_FigureNumber="FIG-NUM" DZC_FigurePMI="FigurePMI" DZC_FirstName="bib_fname" DZC_FirstPage="bib_fpage" DZC_FootnoteAnchor="FootnoteAnchor" DZC_GreekCharacters="GreekCharacters" DZC_Head1="H1" DZC_Head2="H2" DZC_Head3="H3" DZC_Head4="H4" DZC_Head5="H5" DZC_Head6="H6" DZC_Head7="H7" DZC_HeadingNumber="HeadingNumber" DZC_HebrewCharacters="HebrewCharacters" DZC_Highlight="Highlight" DZC_Ibid="Ibid" DZC_Id="Id" DZC_IllustrationCitation="IllustrationCitation" DZC_IllustrationNumber="IllustrationNumber" DZC_Illustration_PMI="Illustration_PMI" DZC_ImageCitation="ImageCitation" DZC_ImageNumber="ImageNumber" DZC_ImagePMI="ImagePMI" DZC_InPress="InPress" DZC_InternetResource="InternetResource" DZC_Issue="bib_issue" DZC_Journalname="bib_journal" DZC_KeyTermHead="KT1" DZC_LN="bib_surname" DZC_LastName="bib_surname" DZC_LastPage="bib_lpage" DZC_LearnObjHeading="LearnObjHeading" DZC_Location="bib_location" DZC_LongDash="LongDash" DZC_MN="bib_fname" DZC_ManualList="ManualList" DZC_MapCitation="MapCitation" DZC_MapNumber="MapNumber" DZC_MapPMI="MapPMI" DZC_Math="Math" DZC_MathB="MathBold" DZC_MathBI="MathBoldItalic" DZC_MathBISub="MathBoldItalicSubscript" DZC_MathBISup="MathBoldItalicSuperscript" DZC_MathBSub="MathBoldSubscript" DZC_MathBSup="MathBoldSupscript" DZC_MathI="MathItalic" DZC_MathISub="MathItalicSubscript" DZC_MathISup="MathItalicSuperscript" DZC_MathSub="MathSubscript" DZC_MathSup="MathSupscript" DZC_MiddleName="bib_surname" DZC_MovieCitation="MovieCitation" DZC_MovieNumber="MovieNumber" DZC_MoviePMI="MoviePMI" DZC_MultiAppendixCitation="AppendixCitation" DZC_MultiBoxCitation="BoxCitation" DZC_MultiExhibitCitation="ExhibitCitation" DZC_MultiFigureCitation="FigureCitation" DZC_MultiIllustrationCitation="IllustrationCitation" DZC_MultiImageCitation="ImageCitation" DZC_MultiMapCitation="MapCitation" DZC_MultiMovieCitation="MovieCitation" DZC_MultiPhotoCitation="PhotoCitation" DZC_MultiSchemeCitation="SchemeCitation" DZC_MultiStructureCitation="StructureCitation" DZC_MultiTableCitation="TableCitation" DZC_Organisation="bib_organization" DZC_OthersTitle="bib_title" DZC_ParaFl="ParaFl" DZC_PartNumber="PN" DZC_PartWord="PW" DZC_PhoneNumber="PhoneNumber" DZC_PhotoCitation="PhotoCitation" DZC_PhotoNumber="PhotoNumber" DZC_PhotoPMI="PhotoPMI" DZC_Publisher="bib_publisher" DZC_QuestionNumber="QuestionNumber" DZC_RName="RName" DZC_Retraction="Retraction" DZC_Retrieved_Date="Retrieved_Date" DZC_RunningHead="RunningHead" DZC_SchemeCitation="SchemeCitation" DZC_SchemeNumber="SchemeNumber" DZC_SchemePMI="SchemePMI" DZC_SectionNumber="SN" DZC_SectionWord="PN" DZC_ShortTitleHead="ShortTitleHead" DZC_StructureCitation="StructureCitation" DZC_StructureNumber="StructureNumber" DZC_StructurePMI="StructurePMI" DZC_Suppl="Supplement" DZC_SupplBoxCitation="SupplementBoxCitation" DZC_SupplBoxNumber="SupplementBoxNumber" DZC_SupplExhibitCitation="SupplementExhibitCitation" DZC_SupplExhibitNumber="SupplementExhibitNumber" DZC_SupplFigureCitation="SupplementFigureCitation" DZC_SupplFigureNumber="SupplementFigureNumber" DZC_SupplImageCitation="SupplementImageCitation" DZC_SupplImageNumber="SupplementImageNumber" DZC_SupplMovieCitation="SupplementMovieCitation" DZC_SupplMovieNumber="SupplementMovieNumber" DZC_SupplMultiBoxCitation="SupplementBoxCitation" DZC_SupplMultiExhibitCitation="SupplementExhibitCitation" DZC_SupplMultiFigureCitation="SupplementFigureCitation" DZC_SupplMultiImageCitation="SupplementImageCitation" DZC_SupplMultiMovieCitation="SupplementMovieCitation" DZC_SupplMultiPhotoCitation="SupplementPhotoCitation" DZC_SupplMultiSchemeCitation="SupplementSchemeCitation" DZC_SupplMultiStructureCitation="SupplementStructureCitation" DZC_SupplMultiTableCitation="SupplementTableCitation" DZC_SupplPhotoCitation="SupplementPhotoCitation" DZC_SupplPhotoNumber="SupplementPhotoNumber" DZC_SupplSchemeCitation="SupplementSchemeCitation" DZC_SupplSchemeNumber="SupplementSchemeNumber" DZC_SupplStructureCitation="SupplementStructureCitation" DZC_SupplStructureNumber="SupplementStructureNumber" DZC_SupplTableCitation="SupplementTableCitation" DZC_SupplTableNumber="SupplementTableNumber" DZC_Symbol="Symbol" DZC_SymbolB="SymbolBold" DZC_SymbolBI="SymbolBoldItalic" DZC_SymbolBISub="SymbolBoldItalicSubscript" DZC_SymbolBISup="SymbolBoldItalicSupscript" DZC_SymbolBSub="SymbolBoldSubscript" DZC_SymbolBSup="SymbolBoldSupscript" DZC_SymbolI="SymbolItalic" DZC_SymbolISub="SymbolItalicSubscript" DZC_SymbolISup="SymbolItalicSupscript" DZC_SymbolSub="SymbolSubscript" DZC_SymbolSup="SymbolSupscript" DZC_TableCitation="TableCitation" DZC_TableNumber="TN" DZC_TablePMI="TablePMI" DZC_Tag="Tag" DZC_Telephone_Number="TelephoneNumber" DZC_Time="Time" DZC_TitleHead="TitleHead" DZC_URL="bib_url" DZC_UnFigurePMI="UnFigurePMI" DZC_UnfigCaption="UnfigCaption" DZC_UnitNumber="UN" DZC_UnitWord="UnitWord" DZC_UniversityName="UniversityName" DZC_Untag="bib_issue" DZC_Updated="Updated" DZC_Volume="bib_volume" DZC_WebAddress="WebAddress" DZC_Website="URL" DZC_allcaps="allcaps" DZC_bold="bold" DZC_boldHLC="bold" DZC_boldallcaps="bold" DZC_bolditalicHLC="boldItalics" DZC_bolditalics="bolditalics" DZC_bolditalicunderlineHLC="boldItalics" DZC_boldsmallcaps="BoldSmallcaps" DZC_boldstrikethrough="BoldStrikethrough" DZC_boldsubscript="subscript" DZC_boldsuperscript="superscript" DZC_cite_bib="cite_bib" DZC_italic="italic" DZC_italicHLC="ItalicHLC" DZC_italicallcaps="ItalicAllCaps" DZC_italicsmallcaps="ItalicSmallcaps" DZC_italicstrikethrough="ItalicStrikethrough" DZC_italicsubscript="ItalicSubscript" DZC_italicsuperscript="ItalicSuperscript" DZC_italicunderlineHLC="ItalicUnderlineHLC" DZC_singleunderline="underline" DZC_smallcaps="SmallCaps" DZC_strikethrough="Strikethrough" DZC_sub="subscript" DZC_sup="superscript" DZC_underlineHLC="UnderlineHLC" DZC_underlineboldHLC="UnderlineBoldHLC" DZP_Abbreviation="AbbreviationText" DZP_AbbreviationHead="ABBR_H1" DZP_AbbreviationList="ABBR" DZP_Abstract="ABS_TXT" DZP_AbstractHeading="ABST" DZP_AbstractWordCount="AbstractWordCount" DZP_Academic="Academic" DZP_Academic_Editor="Academic_Editor" DZP_AcceptedDate="AcceptedDate" DZP_AcknowledgementContent="ACKTXT" DZP_Acknowledgements="ACK1" DZP_AcronymHead="AcronymHead" DZP_AcronymText="AcronymText" DZP_Address="Address" DZP_Affiliation="AFFIL" DZP_AffiliationHead="AffiliationHead" DZP_Answer="Answer" DZP_AnswerHead="AnswerHead" DZP_AppendixCaption="AppendixCaption" DZP_AppendixCaptions="AppendixCaptions" DZP_AppendixSource="AppendixSource" DZP_ArticleType="ArticleType" DZP_AuthorContribution="ContributorAuthor" DZP_AuthorDeclaration="AuthorDeclaration" DZP_AuthorHeading="AU" DZP_AuthorInfo="AuthorInfo" DZP_BackMatterHeading="BackMatterHeading" DZP_BodyText_B="BodyText_B" DZP_BoxBulletList="BX1-BL-MID" DZP_BoxFootnote="BoxFootnote" DZP_BoxHeading="BX1-H1" DZP_BoxLc_AlphaList="BoxLc_AlphaList" DZP_BoxLc_RomanList="BoxLc_RomanList" DZP_BoxList="BX1-UL" DZP_BoxNumberedList="BX1-NL-MID" DZP_BoxSource="BoxSource" DZP_BoxSubHead="BoxSubHead" DZP_BoxText="BX1-TXT" DZP_BoxTitle="BX1-TTL" DZP_BoxTitles="BX1-TTL" DZP_BoxUc_AlphaList="BoxUc_AlphaList" DZP_BoxUc_RomanList="BoxUc_RomanList" DZP_BoxUnNumberedList="BoxUnNumberedList" DZP_Box_Place_Holder="Box_Place_Holder" DZP_BulletList="BL-MID" DZP_BulletPara="BLTXT" DZP_Bullet_SubList2="BL2-MID" DZP_Bullet_SubList2_Last="BL2-MID" DZP_Bullet_SubList3="BL3-MID" DZP_Bullet_SubList3_Last="BL3_Last" DZP_Bullet_SubList4="BL4" DZP_Bullet_SubList4_Last="BL4_Last" DZP_Bullet_SubList5="BL5" DZP_Bullet_SubList5_Last="BL5_Last" DZP_Bullet_SubList6="BL6" DZP_Bullet_SubList6_Last="BL6_Last" DZP_Bullet_SubList7="BL7" DZP_Bullet_SubList7_Last="BL7_Last" DZP_Capsule="Capsule" DZP_CapsulePara="CapsulePara" DZP_Caption="Caption" DZP_Case_report="Case_report" DZP_ChapOut="COUTH1" DZP_ChapOutText="COUT-TXT" DZP_ChapterNumber="CN" DZP_ChapterTitle="CT" DZP_ChapterTitle_First="ChapterTitle_First" DZP_ChapterWord="CHAP" DZP_Chapter_Open_Para="Chapter_Open_Para" DZP_Choice="Option" DZP_CoreObjective="CoreObjective" DZP_CoreObjectiveText="OBJ-TXT" DZP_Correct_Choice="Correct_Choice" DZP_CorrespondenceInfo="CorrespondenceInfo" DZP_CorrespondenceInfoHeading="CorrespondenceInfoHeading" DZP_Count="Count" DZP_DOI="DOI" DZP_DataAvailability="DataAvailability" DZP_DedicationHeading="DedicationHeading" DZP_Disclaimer="Disclaimer" DZP_Disclosure="Disclosure" DZP_DisplayHeading="DisplayHeading" DZP_DisplayHeadings="DisplayHeadings" DZP_DocumentAuthor="CAU" DZP_EMailAddress="EMailAddress" DZP_EMailAddressHead="EMailAddressHead" DZP_EndNotesText="ENTXT" DZP_Epigraph="Epigraph" DZP_Epigraph_Author_Name="Epigraph_Author_Name" DZP_Equation="EQN-ONLY" DZP_Ethical_Approval="Ethical_Approval" DZP_ExhibitCaption="ExhibitCaption" DZP_ExhibitCaptions="ExhibitCaptions" DZP_ExhibitSource="ExhibitSource" DZP_Exhibit_Place_Holder="Exhibit_Place_Holder" DZP_ExtraTitle="ExtraTitle" DZP_ExtractText="EXT-MID" DZP_FB_Abbreviation="Abbreviation" DZP_FB_AbbreviationText="AbbreviationText" DZP_FB_AbouttheEditor="AbouttheEditor" DZP_FB_AbouttheEditorHeading="AbouttheEditorHeading" DZP_FB_Abstract="ABS_TXT" DZP_FB_AbstractPara="AbstractPara" DZP_FB_AcknowledgementContent="AcknowledgementContent" DZP_FB_Advisory_Board_Heading="Advisory_Board_Heading" DZP_FB_Advisory_Board_Members="Advisory_Board_Members" DZP_FB_Affiliation="Affiliation" DZP_FB_AppendixPara="APX-TXT" DZP_FB_AppendixParaFL="APX-TXT-FLUSH" DZP_FB_AppendixSubHead="APXST" DZP_FB_AppendixTitle="APXT" DZP_FB_AuthorDetails="AuthorDetails" DZP_FB_Book_Author="TTLPG-AU" DZP_FB_Book_Editor="TTLPG-ED" DZP_FB_Book_Title="TTLPG-TTL" DZP_FB_CaseStudyPara="CaseStudyPara" DZP_FB_CaseStudyTitle="CaseStudyTitle" DZP_FB_City="City" DZP_FB_ConclusionPara="ConclusionPara" DZP_FB_ContributorsPara="ContributorsPara" DZP_FB_Copy_Right="CPY" DZP_FB_Copy_Right_First="CPY" DZP_FB_DedicationPara="DED" DZP_FB_DocumentAuthor="DocumentAuthor" DZP_FB_Equation="EQN-ONLY" DZP_FB_ForewordPara="ForewordPara" DZP_FB_GlossaryTerm="GLDEF" DZP_FB_Half_Title="Half_Title" DZP_FB_ISBN="ISBN" DZP_FB_Imprint="Imprint" DZP_FB_IndexAlpha="IDX-ALPHA" DZP_FB_IndexEntry="IDX-TXT" DZP_FB_IndexEntry_First="FB_IndexEntry_First" DZP_FB_IndexHeading="IDX" DZP_FB_IndexSubEntry1="IndexSubEntry1" DZP_FB_IndexSubEntry2="IndexSubEntry2" DZP_FB_IndexSubEntry3="IndexSubEntry3" DZP_FB_IndexSubEntry4="IndexSubEntry4" DZP_FB_IndexSubEntry5="IndexSubEntry5" DZP_FB_IndexSubEntry6="IndexSubEntry6" DZP_FB_IndexSubEntry7="IndexSubEntry7" DZP_FB_IntroductionPara="IntroductionPara" DZP_FB_KeyTermHead="KT1" DZP_FB_KeyTerms="KT-TXT" DZP_FB_ListofBoxCaption="ListofBoxCaption" DZP_FB_ListofFigureCaption="ListofFigureCaption" DZP_FB_ListofTableCaption="ListofTableCaption" DZP_FB_NotationPara="NotationPara" DZP_FB_Note="Note" DZP_FB_PrefacePara="PrefacePara" DZP_FB_Series_Editor_Heading="Series_Editor_Heading" DZP_FB_Series_Editor_Name="Series_Editor_Name" DZP_FB_Series_Para="Series_Para" DZP_FB_Series_Title="Series_Title" DZP_FB_Series_Title_Info="Series_Title_Info" DZP_FB_Series_Titles_Heading="Series_Titles_Heading" DZP_FB_TransliterationPara="TransliterationPara" DZP_FE_01_NAME="BX1-TYPE" DZP_FigureLegend="FIG-LEG" DZP_FigureLegends="FIG-LEG" DZP_FigureSource="FigureSource" DZP_Figure_Place_Holder="Figure_Place_Holder" DZP_FirstAuthor="FirstAuthor" DZP_FirstBulletList="BL-FIRST" DZP_FirstLc_AlphaList="LL-FIRST" DZP_FirstLc_RomanList="OL-FIRST" DZP_FirstList="List_first" DZP_FirstNumberedList="NL-FIRST" DZP_FirstUc_AlphaList="LL-FIRST" DZP_FirstUc_RomanList="OL-FIRST" DZP_FirstUnNumberedList="UL" DZP_FootNotesText="FNTXT" DZP_Footnote="FN" DZP_FrontMatterHeading="FrontMatterHeading" DZP_Funding="Funding" DZP_GlossaryTerm="GLDEF" DZP_GraphicalAbstract="GraphicalAbstract" DZP_Head1="H1" DZP_Head2="H2" DZP_Head3="H3" DZP_Head4="H4" DZP_Head5="H5" DZP_Head6="H6" DZP_Head7="H7" DZP_HeaderText="HeaderText" DZP_Heading_L="Heading_L" DZP_Highlight="Highlight" DZP_HighlightText="HighlightText" DZP_HomeWorkAssignment="HomeWorkAssignment" DZP_HomeWorkAssignmentList="HomeWorkAssignmentList" DZP_HomeWorkAssignmentText="HomeWorkAssignmentText" DZP_IllustrationLegend="IllustrationLegend" DZP_IllustrationSource="IllustrationSource" DZP_Illustration_Place_Holder="Illustration_Place_Holder" DZP_Image="Image" DZP_ImageCaption="ImageCaption" DZP_ImageCaptions="ImageCaptions" DZP_ImageSource="ImageSource" DZP_Image_Place_Holder="Image_Place_Holder" DZP_Instruction="Instruction" DZP_IntroQuote="COQ" DZP_IntroQuoteName="COQA" DZP_JournalName="JournalName" DZP_KeyConcepts="KeyConcepts" DZP_KeyConceptsHeading="KeyConceptsHeading" DZP_KeyTermHead="KT1" DZP_KeyTerms="KT-TXT" DZP_Keypoints="KP" DZP_LastBulletList="BL-LAST" DZP_LastLc_AlphaList="LL-LAST" DZP_LastLc_RomanList="OL-LAST" DZP_LastList="lastList" DZP_LastNumberedList="NL-LAST" DZP_LastUc_AlphaList="LL-LAST" DZP_LastUc_RomanList="OL-LAST" DZP_LastUnNumberedList="UL" DZP_Lc_AlphaList="LL-MID" DZP_Lc_Alpha_SubList2="LL-MID" DZP_Lc_Alpha_SubList2_Last="LL2_Last" DZP_Lc_Alpha_SubList3="LL3" DZP_Lc_Alpha_SubList3_Last="LL3_Last" DZP_Lc_Alpha_SubList4="LL4" DZP_Lc_Alpha_SubList4_Last="LL4_Last" DZP_Lc_Alpha_SubList5="LL5" DZP_Lc_Alpha_SubList5_Last="LL5_Last" DZP_Lc_Alpha_SubList6="LL6" DZP_Lc_Alpha_SubList6_Last="LL6_Last" DZP_Lc_Alpha_SubList7="LL7" DZP_Lc_Alpha_SubList7_Last="LL7_Last" DZP_Lc_RomanList="OL-MID" DZP_Lc_Roman_SubList2="OL2-MID" DZP_Lc_Roman_SubList2_Last="OL2_Last" DZP_Lc_Roman_SubList3="OL3-MID" DZP_Lc_Roman_SubList3_Last="OL3_Last" DZP_Lc_Roman_SubList4="OL4" DZP_Lc_Roman_SubList4_Last="OL4_Last" DZP_Lc_Roman_SubList5="OL5" DZP_Lc_Roman_SubList5_Last="OL5_Last" DZP_Lc_Roman_SubList6="OL6" DZP_Lc_Roman_SubList6_Last="OL6_Last" DZP_Lc_Roman_SubList7="OL7" DZP_Lc_Roman_SubList7_Last="OL7_Last" DZP_LearnObjHeading="OBJ1" DZP_LearnObjList="OBJ" DZP_LearnObjStatement="OBJ-TXT" DZP_List="List" DZP_ListHead="L1" DZP_Location="Location" DZP_MSReceivedDate="MSReceivedDate" DZP_ManyBoxTitle="BoxTitle" DZP_ManyExhibitCaption="ExhibitCaption" DZP_ManyFigureCaption="FigureCaption" DZP_ManyFigureLegend="FigureCaption" DZP_ManyIllustrationCaption="IllustrationCaption" DZP_ManyIllustrationLegend="IllustrationCaption" DZP_ManyImageCaption="ImageCaption" DZP_ManyMapCaption="MapCaption" DZP_ManyMapLegend="MapCaption" DZP_ManyMovieLegend="MovieLegend" DZP_ManyPhotoCaption="PhotoCaption" DZP_ManySchemeLegend="SchemeLegend" DZP_ManyStructureLegend="StructureLegend" DZP_ManySupplBoxTitle="SupplementBoxTitle" DZP_ManySupplFigureLegend="SupplementFigureLegend" DZP_ManySupplMovieLegend="SupplementMovieLegend" DZP_ManySupplTableCaption="SupplementTableCaption" DZP_ManyTableCaption="TableCaption" DZP_MapLegend="MapLegend" DZP_MapSource="MapSource" DZP_Map_Place_Holder="Map_Place_Holder" DZP_MovieLegend="MovieLegend" DZP_MovieSource="MovieSource" DZP_Movie_Place_Holder="Movie_Place_Holder" DZP_Note="Note" DZP_NotesHeading="NotesHeading" DZP_NumberSubList2="NL2-MID" DZP_NumberSubList2_Last="NL2_Last" DZP_NumberSubList3="NL3-MID" DZP_NumberSubList3_Last="NL3_Last" DZP_NumberSubList4="NL4-MID" DZP_NumberSubList4_Last="NL4_Last" DZP_NumberSubList5="NL5" DZP_NumberSubList5_Last="NL5_Last" DZP_NumberSubList6="NL6" DZP_NumberSubList6_Last="NL6_Last" DZP_NumberSubList7="NL7" DZP_NumberSubList7_Last="NL7_Last" DZP_NumberedList="NL-MID" DZP_ParaFL="TXT-FLUSH" DZP_ParaFirstLineInd="TXT" DZP_PartNumber="PN" DZP_PartTitle="PT" DZP_PartWord="PART" DZP_PhoneNumber="PhoneNumber" DZP_PhotoCaption="PhotoCaption" DZP_PhotoCaptions="PhotoCaptions" DZP_PhotoSource="PhotoSource" DZP_PhotoTitle="PhotoTitle" DZP_Photo_Place_Holder="Photo_Place_Holder" DZP_Poem="Poem" DZP_PreviewReviewHeader="PreviewReview-Header" DZP_PreviewReview_UL="PreviewReview-UL" DZP_Question="Q" DZP_QuestionNumber="QuestionNumber" DZP_RName="RName" DZP_RName_First="RName_First" DZP_Reference_Alphabetical="REF-U" DZP_Reference_Numbered="REF-N" DZP_ReferencesHeading1="REFH1" DZP_Review_Instruction="RI" DZP_Review_QuestionsH1="RQ-H1" DZP_Review_QuestionsH2="RQ-H2" DZP_RevisedDate="RevisedDate" DZP_RunningHead="RunningHead" DZP_RunningHeadText="RunningHeadText" DZP_SchemeLegend="SchemeLegend" DZP_SchemeLegends="SchemeLegends" DZP_SchemeSource="SchemeSource" DZP_Scheme_Place_Holder="Scheme_Place_Holder" DZP_SectionNumber="SN" DZP_SectionTitle="ST" DZP_SectionToc="SectionToc" DZP_SectionWord="SECTION" DZP_SeriesHeading="SeriesHeading" DZP_SeriesHeadings="SeriesHeadings" DZP_ShortTitle="ShortTitle" DZP_ShortTitleHead="ShortTitleHead" DZP_Source="S" DZP_StructureLegend="StructureLegend" DZP_StructureLegends="StructureLegends" DZP_StructureSource="StructureSource" DZP_Structure_Place_Holder="Structure_Place_Holder" DZP_StudyPresentation="StudyPresentation" DZP_StudyPresentationHead="StudyPresentationHead" DZP_SubTitle="CST" DZP_Submitted="Submitted" DZP_SubmittedDate="SubmittedDate" DZP_Summary="Summary" DZP_Summarytxt="Summarytxt" DZP_SupplBoxCaption="SupplementBoxCaption" DZP_SupplBoxSource="SupplementBoxSource" DZP_SupplBoxTitle="SupplementBoxCaption" DZP_SupplExhibitCaption="SupplementExhibitCaption" DZP_SupplFigureLegend="SupplementFigureLegend" DZP_SupplFigureSource="SupplementFigureSource" DZP_SupplImageCaption="SupplementImageCaption" DZP_SupplMovieLegend="SupplementMovieLegend" DZP_SupplMovieSource="SupplementMovieSource" DZP_SupplPhotoCaption="SupplementPhotoCaption" DZP_SupplSchemeCaption="SupplementSchemeCaption" DZP_SupplStructureCaption="SupplementStructureCaption" DZP_SupplTableCaption="SupplementTableCaption" DZP_SupplTableSource="SupplementTableSource" DZP_SupplementaryLegends="SupplementaryLegends" DZP_SupportInfo="SupportInfo" DZP_SupportInfoHead="SupportInfoHead" DZP_TOC_BackMatter="TOC_BackMatter" DZP_TOC_ChapterNumber="TOC-CN" DZP_TOC_ChapterTitle="TOC-CT" DZP_TOC_FrontMatter="TOC-FM" DZP_TOC_PartNumber="TOC_PartNumber" DZP_TOC_PartTitle="TOC_PartTitle" DZP_TOC_SectionNumber="TOC-SN" DZP_TOC_SectionTitle="TOC-ST" DZP_TOC_UnitNumber="TOC-UN" DZP_TOC_UnitTitle="TOC-UT" DZP_TableBody="T" DZP_TableBulletList="TBL-MID" DZP_TableCaption="T1" DZP_TableCaptions="TableCaptions" DZP_TableColumnHead="T2" DZP_TableFirstBulletList="TBL-FIRST" DZP_TableFirstLc_AlphaList="TLL-FIRST" DZP_TableFirstLc_RomanList="TOL-FIRST" DZP_TableFirstNumberedList="TNL-FIRST" DZP_TableFirstUc_AlphaList="TLL-FIRST" DZP_TableFirstUc_RomanList="TOL-FIRST" DZP_TableFirstUnNumberedList="TUL-FIRST" DZP_TableFootnote="TFN" DZP_TableLastBulletList="TBL-LAST" DZP_TableLastColumnHead="T2-C" DZP_TableLastLc_AlphaList="TLL-LAST" DZP_TableLastLc_RomanList="TOL-LAST" DZP_TableLastNumberedList="TNL-LAST" DZP_TableLastRow="T" DZP_TableLastUc_AlphaList="TLL-LAST" DZP_TableLastUc_RomanList="TOL-LAST" DZP_TableLastUnNumberedList="TUL-LAST" DZP_TableLc_AlphaList="TLL-MID" DZP_TableLc_RomanList="TOL-MID" DZP_TableList="TableList" DZP_TableNumberdList="TNL-MID" DZP_TableSideHead="TableSideHead" DZP_TableSource="TSN" DZP_TableUc_AlphaList="TLL-MID" DZP_TableUc_RomanList="TOL-MID" DZP_TableUnNumberedList="TableUnNumberedList" DZP_Table_Place_Holder="Table_Place_Holder" DZP_Title="Title" DZP_TitleHead="T1" DZP_TocContent="TocContent" DZP_TocHeading="TocHeading" DZP_URL="URL" DZP_Uc_AlphaList="Uc_AlphaList" DZP_Uc_Alpha_SubList2="LL2" DZP_Uc_Alpha_SubList2_Last="LL2_Last" DZP_Uc_Alpha_SubList3="LL3" DZP_Uc_Alpha_SubList3_Last="LL3_Last" DZP_Uc_Alpha_SubList4="LL4" DZP_Uc_Alpha_SubList4_Last="LL4_Last" DZP_Uc_Alpha_SubList5="LL5" DZP_Uc_Alpha_SubList5_Last="LL5_Last" DZP_Uc_Alpha_SubList6="LL6" DZP_Uc_Alpha_SubList6_Last="LL6_Last" DZP_Uc_Alpha_SubList7="LL7" DZP_Uc_Alpha_SubList7_Last="LL7_Last" DZP_Uc_RomanList="OL-MID" DZP_Uc_Roman_SubList2="Uc_Roman_SubList2" DZP_Uc_Roman_SubList2_Last="Uc_Roman_SubList2_Last" DZP_Uc_Roman_SubList3="Uc_Roman_SubList3" DZP_Uc_Roman_SubList3_Last="Uc_Roman_SubList3_Last" DZP_Uc_Roman_SubList4="Uc_Roman_SubList4" DZP_Uc_Roman_SubList4_Last="Uc_Roman_SubList4_Last" DZP_Uc_Roman_SubList5="Uc_Roman_SubList5" DZP_Uc_Roman_SubList5_Last="Uc_Roman_SubList5_Last" DZP_Uc_Roman_SubList6="Uc_Roman_SubList6" DZP_Uc_Roman_SubList6_Last="Uc_Roman_SubList6_Last" DZP_Uc_Roman_SubList7="Uc_Roman_SubList7" DZP_Uc_Roman_SubList7_Last="Uc_Roman_SubList7_Last" DZP_UnFig_Place_Holder="UnFig_Place_Holder" DZP_UnFigureCaption="UnFigureCaption" DZP_UnNumberedList="UL" DZP_UnitNumber="UN" DZP_UnitTitle="UT" DZP_UnitWord="UNIT" DZP_Vltext="Vltext" DZP_WebAddress="WebAddress" DZP_WordCount="WordCount" DZP_WordCountHead="WordCountHead"/>
</styles>
</file>

<file path=customXml/item4.xml><?xml version="1.0" encoding="utf-8"?>
<group data-contentcontrol="true">
  <group EndBk="para10071_36762046149" StartBk="para10052_36762046149" Tag="TableGroup" Title="TableGroup"/>
  <group EndBk="para10106_36762046149" StartBk="para10073_36762046149" Tag="TableGroup" Title="TableGroup"/>
  <group EndBk="para10121_36762046149" StartBk="para10107_36762046149" Tag="TableGroup" Title="TableGroup"/>
  <group EndBk="para10147_36762046149" StartBk="para10128_36762046149" Tag="TableGroup" Title="TableGroup"/>
  <group EndBk="para10184_36762046149" StartBk="para10160_36762046149" Tag="TableGroup" Title="TableGroup"/>
  <group EndBk="para10296_36762046149" StartBk="para10271_36762046149" Tag="TableGroup" Title="TableGroup"/>
  <group EndBk="para10356_36762046149" StartBk="para10302_36762046149" Tag="TableGroup" Title="TableGroup"/>
  <group EndBk="para10464_36762046149" StartBk="para10393_36762046149" Tag="TableGroup" Title="TableGroup"/>
  <group EndBk="para10043_36762046149" StartBk="para10023_36762046149" Tag="RefGroup" Title="RefGroup"/>
  <group EndBk="para10023_36762046149" StartBk="para10023_36762046149" Tag="Reference1" Title="Reference1"/>
  <group EndBk="para10024_36762046149" StartBk="para10024_36762046149" Tag="Reference2" Title="Reference2"/>
  <group EndBk="para10025_36762046149" StartBk="para10025_36762046149" Tag="Reference3" Title="Reference3"/>
  <group EndBk="para10026_36762046149" StartBk="para10026_36762046149" Tag="Reference4" Title="Reference4"/>
  <group EndBk="para10027_36762046149" StartBk="para10027_36762046149" Tag="Reference5" Title="Reference5"/>
  <group EndBk="para10028_36762046149" StartBk="para10028_36762046149" Tag="Reference6" Title="Reference6"/>
  <group EndBk="para10029_36762046149" StartBk="para10029_36762046149" Tag="Reference7" Title="Reference7"/>
  <group EndBk="para10030_36762046149" StartBk="para10030_36762046149" Tag="Reference8" Title="Reference8"/>
  <group EndBk="para10031_36762046149" StartBk="para10031_36762046149" Tag="Reference9" Title="Reference9"/>
  <group EndBk="para10032_36762046149" StartBk="para10032_36762046149" Tag="Reference10" Title="Reference10"/>
  <group EndBk="para10033_36762046149" StartBk="para10033_36762046149" Tag="Reference11" Title="Reference11"/>
  <group EndBk="para10034_36762046149" StartBk="para10034_36762046149" Tag="Reference12" Title="Reference12"/>
  <group EndBk="para10035_36762046149" StartBk="para10035_36762046149" Tag="Reference13" Title="Reference13"/>
  <group EndBk="para10036_36762046149" StartBk="para10036_36762046149" Tag="Reference14" Title="Reference14"/>
  <group EndBk="para10037_36762046149" StartBk="para10037_36762046149" Tag="Reference15" Title="Reference15"/>
  <group EndBk="para10038_36762046149" StartBk="para10038_36762046149" Tag="Reference16" Title="Reference16"/>
  <group EndBk="para10039_36762046149" StartBk="para10039_36762046149" Tag="Reference17" Title="Reference17"/>
  <group EndBk="para10040_36762046149" StartBk="para10040_36762046149" Tag="Reference18" Title="Reference18"/>
  <group EndBk="para10041_36762046149" StartBk="para10041_36762046149" Tag="Reference19" Title="Reference19"/>
  <group EndBk="para10042_36762046149" StartBk="para10042_36762046149" Tag="Reference20" Title="Reference20"/>
  <group EndBk="para10043_36762046149" StartBk="para10043_36762046149" Tag="Reference21" Title="Reference21"/>
  <group EndBk="para10052_36762046149" StartBk="para10052_36762046149" Tag="TableCaption" Title="TableCaption"/>
  <group EndBk="para10073_36762046149" StartBk="para10073_36762046149" Tag="TableCaption" Title="TableCaption"/>
  <group EndBk="para10107_36762046149" StartBk="para10107_36762046149" Tag="TableCaption" Title="TableCaption"/>
  <group EndBk="para10128_36762046149" StartBk="para10128_36762046149" Tag="TableCaption" Title="TableCaption"/>
  <group EndBk="para10160_36762046149" StartBk="para10160_36762046149" Tag="TableCaption" Title="TableCaption"/>
  <group EndBk="para10271_36762046149" StartBk="para10271_36762046149" Tag="TableCaption" Title="TableCaption"/>
  <group EndBk="para10302_36762046149" StartBk="para10302_36762046149" Tag="TableCaption" Title="TableCaption"/>
  <group EndBk="para10393_36762046149" StartBk="para10393_36762046149" Tag="TableCaption" Title="TableCaption"/>
</group>
</file>

<file path=customXml/item5.xml><?xml version="1.0" encoding="utf-8"?>
<preedit xmlns="http://www.machineedit.net/AMOD/CustomXML/Spelling.htm">[{"b-find":"Boland","e-paracontent":"&lt;CAU&gt;Lindsay&lt;mark&gt;Boland&lt;\/mark&gt;, Madeline Keyes, Yvette Penner ","c-replace":["Poland","Roland","Bland","Boleyn","Öland"],"ab-name":"Spelling","a-name":"Possible Misspelling","g-rebookmarkname":"","i-wm":"Boland","d-description":"Possible spelling mistake found","f-bookmark":"BMSPELLING100005"},{"b-find":"Keyes","e-paracontent":"&lt;CAU&gt;Lindsay Boland, Madeline&lt;mark&gt;Keyes&lt;\/mark&gt;, Yvette Penner ","c-replace":["Eyes","Keys","Hayes","Keynes","Reyes","Keyed","Bayes","Kans","K eyes","Key es"],"ab-name":"Spelling","a-name":"Possible Misspelling","g-rebookmarkname":"","i-wm":"Keyes","d-description":"Possible spelling mistake found","f-bookmark":"BMSPELLING100006"},{"b-find":"Penner","e-paracontent":"&lt;CAU&gt;Lindsay Boland, Madeline Keyes, Yvette&lt;mark&gt;Penner&lt;\/mark&gt; ","c-replace":["Penned","Jenner","Penney","Tenner","Penn er"],"ab-name":"Spelling","a-name":"Possible Misspelling","g-rebookmarkname":"","i-wm":"Penner","d-description":"Possible spelling mistake found","f-bookmark":"BMSPELLING100007"},{"b-find":"NICU","e-paracontent":"Globally, more than 1 in 4 of all live births are newborns small for gestational age, of low birthweight, or preterm, and these \u201csmall vulnerable newborns\u201d account for more than 1 million deaths yearly.  The preterm infant (&lt; 37 weeks gestation) is born with limited nutrient stores, the highest nutrient demands (per kg) in the lifecycle, and organ system immaturity that present substantial challenges for replicating in utero growth and development (Table 35-1). Complications of prematurity such as osteopenia, anemia, and respiratory distress add to metabolic demand and some, like necrotizing enterocolitis (NEC), disrupt nutrient delivery (Table 35-2).  Multidisciplinary teams in neonatal intensive care units &lt;mark&gt;NICU&lt;\/mark&gt;) strive to optimize growth and nutrient delivery despite these challenges to ensure optimal developmental, cardiometabolic, body composition and overall health outcomes.1 ","c-replace":["Nice","Nick","ICU","NIC","NIU","N ICU","NIC U","Nico"],"ab-name":"Spelling","a-name":"Possible Misspelling","g-rebookmarkname":"","i-wm":"NICU","d-description":"Possible spelling mistake found","f-bookmark":"BMSPELLING100027"},{"b-find":"cardiometabolic","e-paracontent":"Globally, more than 1 in 4 of all live births are newborns small for gestational age, of low birthweight, or preterm, and these \u201csmall vulnerable newborns\u201d account for more than 1 million deaths yearly.  The preterm infant (&lt; 37 weeks gestation) is born with limited nutrient stores, the highest nutrient demands (per kg) in the lifecycle, and organ system immaturity that present substantial challenges for replicating in utero growth and development (Table 35-1). Complications of prematurity such as osteopenia, anemia, and respiratory distress add to metabolic demand and some, like necrotizing enterocolitis (NEC), disrupt nutrient delivery (Table 35-2).  Multidisciplinary teams in neonatal intensive care units (NICU) strive to optimize growth and nutrient delivery despite these challenges to ensure optimal developmental,&lt;mark&gt;cardiometabolic&lt;\/mark&gt;, body composition and overall health outcomes.1 ","c-replace":["cardio metabolic"],"ab-name":"Spelling","a-name":"Possible Misspelling","g-rebookmarkname":"","i-wm":"cardiometabolic","d-description":"Possible spelling mistake found","f-bookmark":"BMSPELLING100028"},{"b-find":"anthropometrics","e-paracontent":"The nutritional assessment of preterm infants begins immediately after birth with the measurements of birth weight, length, and head circumference. These&lt;mark&gt;anthropometrics&lt;\/mark&gt; provide the basis for nutrient needs and growth expectations (Table 35-3). Intrauterine growth charts (Fenton or Olsen) should be used to assess whether the infant is small for gestational age (SGA), appropriate for gestational age (AGA) or large for gestational age (LGA) and can be used until at least 42 weeks postmenstrual age (PMA).2, 3, 4 The most recent intrauterine chart was published in 20254\u2014an update to the Fenton 2013 charts. The \u201cgold standard\u201d for postnatal growth of preterm infants remains the expected rate of weight gain seen in utero (Table 35-4).2  However, this model does not account for physiologic auto-diuresis  (the expected fluid loss and extra- to intracellular fluid shift that occurs in the first one to two weeks of postnatal life) (Table 35-5). Disregarding this expected loss of fluid weight may promote nutritional strategies that result in rapid weight gain (primarily as adipose tissue). Determining the change in weight-for-age Z score since birth augments the growth assessment by distinguishing between a \u201chealthful\u201d decline in Z score and growth faltering.2  The INTERGROWTH-21st charts do take this phenomenon into account, but they are limited by a small sample size at the lowest gestational ages.2 Weight- and length-for-age Z score changes are included as part of the neonatal malnutrition assessment,5 however these criteria have not yet been consistently validated to predict neurodevelopmental or neuro-disability outcomes at all levels of malnutrition. Weight-for-length Z scores are not available for preterm infants. BMI Z scores are available, but as with older children, BMI measures do not distinguish between fat and lean mass and the outcome significance for preterm infants is unknown.2","c-replace":["anthropocentric"],"ab-name":"Spelling","a-name":"Possible Misspelling","g-rebookmarkname":"","i-wm":"anthropometrics","d-description":"Possible spelling mistake found","f-bookmark":"BMSPELLING100059"},{"b-find":"Fenton","e-paracontent":"The nutritional assessment of preterm infants begins immediately after birth with the measurements of birth weight, length, and head circumference. These anthropometrics provide the basis for nutrient needs and growth expectations (Table 35-3). Intrauterine growth charts &lt;mark&gt;Fenton&lt;\/mark&gt; or Olsen) should be used to assess whether the infant is small for gestational age (SGA), appropriate for gestational age (AGA) or large for gestational age (LGA) and can be used until at least 42 weeks postmenstrual age (PMA).2, 3, 4 The most recent intrauterine chart was published in 20254\u2014an update to the Fenton 2013 charts. The \u201cgold standard\u201d for postnatal growth of preterm infants remains the expected rate of weight gain seen in utero (Table 35-4).2  However, this model does not account for physiologic auto-diuresis  (the expected fluid loss and extra- to intracellular fluid shift that occurs in the first one to two weeks of postnatal life) (Table 35-5). Disregarding this expected loss of fluid weight may promote nutritional strategies that result in rapid weight gain (primarily as adipose tissue). Determining the change in weight-for-age Z score since birth augments the growth assessment by distinguishing between a \u201chealthful\u201d decline in Z score and growth faltering.2  The INTERGROWTH-21st charts do take this phenomenon into account, but they are limited by a small sample size at the lowest gestational ages.2 Weight- and length-for-age Z score changes are included as part of the neonatal malnutrition assessment,5 however these criteria have not yet been consistently validated to predict neurodevelopmental or neuro-disability outcomes at all levels of malnutrition. Weight-for-length Z scores are not available for preterm infants. BMI Z scores are available, but as with older children, BMI measures do not distinguish between fat and lean mass and the outcome significance for preterm infants is unknown.2","c-replace":["Benton","Denton","Kenton","Fen ton"],"ab-name":"Spelling","a-name":"Possible Misspelling","g-rebookmarkname":"","i-wm":"Fenton","d-description":"Possible spelling mistake found","f-bookmark":"BMSPELLING100060"},{"b-find":"Fenton","e-paracontent":"The nutritional assessment of preterm infants begins immediately after birth with the measurements of birth weight, length, and head circumference. These anthropometrics provide the basis for nutrient needs and growth expectations (Table 35-3). Intrauterine growth charts (Fenton or Olsen) should be used to assess whether the infant is small for gestational age (SGA), appropriate for gestational age (AGA) or large for gestational age (LGA) and can be used until at least 42 weeks postmenstrual age (PMA).2, 3, 4 The most recent intrauterine chart was published in 20254\u2014an update to the&lt;mark&gt;Fenton&lt;\/mark&gt; 2013 charts. The \u201cgold standard\u201d for postnatal growth of preterm infants remains the expected rate of weight gain seen in utero (Table 35-4).2  However, this model does not account for physiologic auto-diuresis  (the expected fluid loss and extra- to intracellular fluid shift that occurs in the first one to two weeks of postnatal life) (Table 35-5). Disregarding this expected loss of fluid weight may promote nutritional strategies that result in rapid weight gain (primarily as adipose tissue). Determining the change in weight-for-age Z score since birth augments the growth assessment by distinguishing between a \u201chealthful\u201d decline in Z score and growth faltering.2  The INTERGROWTH-21st charts do take this phenomenon into account, but they are limited by a small sample size at the lowest gestational ages.2 Weight- and length-for-age Z score changes are included as part of the neonatal malnutrition assessment,5 however these criteria have not yet been consistently validated to predict neurodevelopmental or neuro-disability outcomes at all levels of malnutrition. Weight-for-length Z scores are not available for preterm infants. BMI Z scores are available, but as with older children, BMI measures do not distinguish between fat and lean mass and the outcome significance for preterm infants is unknown.2","c-replace":["Benton","Denton","Kenton","Fen ton"],"ab-name":"Spelling","a-name":"Possible Misspelling","g-rebookmarkname":"","i-wm":"Fenton","d-description":"Possible spelling mistake found","f-bookmark":"BMSPELLING100061"},{"b-find":"auto-diuresis","e-paracontent":"The nutritional assessment of preterm infants begins immediately after birth with the measurements of birth weight, length, and head circumference. These anthropometrics provide the basis for nutrient needs and growth expectations (Table 35-3). Intrauterine growth charts (Fenton or Olsen) should be used to assess whether the infant is small for gestational age (SGA), appropriate for gestational age (AGA) or large for gestational age (LGA) and can be used until at least 42 weeks postmenstrual age (PMA).2, 3, 4 The most recent intrauterine chart was published in 20254\u2014an update to the Fenton 2013 charts. The \u201cgold standard\u201d for postnatal growth of preterm infants remains the expected rate of weight gain seen in utero (Table 35-4).2  However, this model does not account for physiologic&lt;mark&gt;auto-diuresis&lt;\/mark&gt;  (the expected fluid loss and extra- to intracellular fluid shift that occurs in the first one to two weeks of postnatal life) (Table 35-5). Disregarding this expected loss of fluid weight may promote nutritional strategies that result in rapid weight gain (primarily as adipose tissue). Determining the change in weight-for-age Z score since birth augments the growth assessment by distinguishing between a \u201chealthful\u201d decline in Z score and growth faltering.2  The INTERGROWTH-21st charts do take this phenomenon into account, but they are limited by a small sample size at the lowest gestational ages.2 Weight- and length-for-age Z score changes are included as part of the neonatal malnutrition assessment,5 however these criteria have not yet been consistently validated to predict neurodevelopmental or neuro-disability outcomes at all levels of malnutrition. Weight-for-length Z scores are not available for preterm infants. BMI Z scores are available, but as with older children, BMI measures do not distinguish between fat and lean mass and the outcome significance for preterm infants is unknown.2","c-replace":[],"ab-name":"Spelling","a-name":"Possible Misspelling","g-rebookmarkname":"","i-wm":"auto-diuresis","d-description":"Possible spelling mistake found","f-bookmark":"BMSPELLING100062"},{"b-find":"neuro-disability","e-paracontent":"The nutritional assessment of preterm infants begins immediately after birth with the measurements of birth weight, length, and head circumference. These anthropometrics provide the basis for nutrient needs and growth expectations (Table 35-3). Intrauterine growth charts (Fenton or Olsen) should be used to assess whether the infant is small for gestational age (SGA), appropriate for gestational age (AGA) or large for gestational age (LGA) and can be used until at least 42 weeks postmenstrual age (PMA).2, 3, 4 The most recent intrauterine chart was published in 20254\u2014an update to the Fenton 2013 charts. The \u201cgold standard\u201d for postnatal growth of preterm infants remains the expected rate of weight gain seen in utero (Table 35-4).2  However, this model does not account for physiologic auto-diuresis  (the expected fluid loss and extra- to intracellular fluid shift that occurs in the first one to two weeks of postnatal life) (Table 35-5). Disregarding this expected loss of fluid weight may promote nutritional strategies that result in rapid weight gain (primarily as adipose tissue). Determining the change in weight-for-age Z score since birth augments the growth assessment by distinguishing between a \u201chealthful\u201d decline in Z score and growth faltering.2  The INTERGROWTH-21st charts do take this phenomenon into account, but they are limited by a small sample size at the lowest gestational ages.2 Weight- and length-for-age Z score changes are included as part of the neonatal malnutrition assessment,5 however these criteria have not yet been consistently validated to predict neurodevelopmental or&lt;mark&gt;neuro-disability&lt;\/mark&gt; outcomes at all levels of malnutrition. Weight-for-length Z scores are not available for preterm infants. BMI Z scores are available, but as with older children, BMI measures do not distinguish between fat and lean mass and the outcome significance for preterm infants is unknown.2","c-replace":[],"ab-name":"Spelling","a-name":"Possible Misspelling","g-rebookmarkname":"","i-wm":"neuro-disability","d-description":"Possible spelling mistake found","f-bookmark":"BMSPELLING100063"},{"b-find":"Fenton","e-paracontent":"&lt;mark&gt;Fenton&lt;\/mark&gt; growth curves are merged with the World Health Organization (WHO) curves for term infants, which combines intrauterine growth with postnatal growth and results in a \u201cfetal-infant\u201d growth curve that can be used to plot the growth of preterm infants on the same chart until 50 weeks PMA.2,3,4  However, transitioning to the WHO chart earlier (approximately 42-44 weeks PMA) has the added capability of assessing weight-for-length in term (or corrected to term) infants thereby distinguishing between wasting and global (but proportionate) growth faltering. Preterm infants should be plotted on the WHO chart by corrected age. An infant\u2019s corrected age (CA) is the number of weeks the infant was born preterm subtracted from the infant\u2019s chronologic age thereby \u201ccorrecting\u201d the postnatal age for prematurity.6 For example, a preterm infant who is born at 32 weeks GA is born 8 weeks early (40 weeks full term \u2013 32 weeks GA = 8 weeks).  At a chronological age of 12 weeks, this infant would have a corrected age of 4 weeks (12 weeks of age \u2013 8 weeks preterm = 4 weeks CA).  This infant\u2019s weight, length, and head circumference should therefore all be plotted at the 4-week position on the WHO curves.","c-replace":["Benton","Denton","Kenton","Fen ton"],"ab-name":"Spelling","a-name":"Possible Misspelling","g-rebookmarkname":"","i-wm":"Fenton","d-description":"Possible spelling mistake found","f-bookmark":"BMSPELLING100099"},{"b-find":"chronologic","e-paracontent":"Fenton growth curves are merged with the World Health Organization (WHO) curves for term infants, which combines intrauterine growth with postnatal growth and results in a \u201cfetal-infant\u201d growth curve that can be used to plot the growth of preterm infants on the same chart until 50 weeks PMA.2,3,4  However, transitioning to the WHO chart earlier (approximately 42-44 weeks PMA) has the added capability of assessing weight-for-length in term (or corrected to term) infants thereby distinguishing between wasting and global (but proportionate) growth faltering. Preterm infants should be plotted on the WHO chart by corrected age. An infant\u2019s corrected age (CA) is the number of weeks the infant was born preterm subtracted from the infant\u2019s&lt;mark&gt;chronologic&lt;\/mark&gt; age thereby \u201ccorrecting\u201d the postnatal age for prematurity.6 For example, a preterm infant who is born at 32 weeks GA is born 8 weeks early (40 weeks full term \u2013 32 weeks GA = 8 weeks).  At a chronological age of 12 weeks, this infant would have a corrected age of 4 weeks (12 weeks of age \u2013 8 weeks preterm = 4 weeks CA).  This infant\u2019s weight, length, and head circumference should therefore all be plotted at the 4-week position on the WHO curves.","c-replace":["chronological","chronology","chronologies","chronologist","chronologize"],"ab-name":"Spelling","a-name":"Possible Misspelling","g-rebookmarkname":"","i-wm":"chronologic","d-description":"Possible spelling mistake found","f-bookmark":"BMSPELLING100100"},{"b-find":"NICUs","e-paracontent":"Parent\u2019s own human milk is the preferred feeding for nearly all infants (see Chapter 6, Breastfeeding and Human Milk), but it is especially important in preterm infants for immunological protection, intestinal maturation, and NEC prevention (when compared to formula).  Enteral nutrition should generally begin in the first 24 to 48 hours of life.7 The gestational age of the infant affects the decision to feed by mouth and/or gavage since suck/swallow/breathe coordination does not develop until 32 to 34 weeks\u2019 gestation (Table 35-6).  Feeding initiation and advancement is based on clinical status with close attention to feeding tolerance.  Most&lt;mark&gt;NICUs&lt;\/mark&gt; initiate feedings at \u201ctrophic\u201d or \u201cgut-priming\u201d volumes of 10 to 20 mL/kg/day to stimulate gastrointestinal hormones, motility, and maturation,7  followed by daily or twice daily 10-50 mL/kg feeding volume advancements until target volume is reached (typically 150-180 mL/kg/day) (Table 35-7). The youngest and smallest infants may receive gut priming feeds for 1-5 days and advance feedings the slowest. However, a Cochrane review has found no evidence that slow feeding advancement reduces the risk of NEC.8  Optimal timing for fortification is also not established; a wide range of fortification at 20-100 mL/kg has been studied9. The ability to achieve \u201cfull feeds\u201d (goal feeds) is dependent on many factors, including maturity of the gastrointestinal tract, stomach capacity, and respiratory status (Table 35-7).","c-replace":["Ficus","Nicks"],"ab-name":"Spelling","a-name":"Possible Misspelling","g-rebookmarkname":"","i-wm":"NICUs","d-description":"Possible spelling mistake found","f-bookmark":"BMSPELLING100118"},{"b-find":"Cochrane","e-paracontent":"Parent\u2019s own human milk is the preferred feeding for nearly all infants (see Chapter 6, Breastfeeding and Human Milk), but it is especially important in preterm infants for immunological protection, intestinal maturation, and NEC prevention (when compared to formula).  Enteral nutrition should generally begin in the first 24 to 48 hours of life.7 The gestational age of the infant affects the decision to feed by mouth and/or gavage since suck/swallow/breathe coordination does not develop until 32 to 34 weeks\u2019 gestation (Table 35-6).  Feeding initiation and advancement is based on clinical status with close attention to feeding tolerance.  Most NICUs initiate feedings at \u201ctrophic\u201d or \u201cgut-priming\u201d volumes of 10 to 20 mL/kg/day to stimulate gastrointestinal hormones, motility, and maturation,7  followed by daily or twice daily 10-50 mL/kg feeding volume advancements until target volume is reached (typically 150-180 mL/kg/day) (Table 35-7). The youngest and smallest infants may receive gut priming feeds for 1-5 days and advance feedings the slowest. However, a&lt;mark&gt;Cochrane&lt;\/mark&gt; review has found no evidence that slow feeding advancement reduces the risk of NEC.8  Optimal timing for fortification is also not established; a wide range of fortification at 20-100 mL/kg has been studied9. The ability to achieve \u201cfull feeds\u201d (goal feeds) is dependent on many factors, including maturity of the gastrointestinal tract, stomach capacity, and respiratory status (Table 35-7).","c-replace":["Cochran","Cochran e"],"ab-name":"Spelling","a-name":"Possible Misspelling","g-rebookmarkname":"","i-wm":"Cochrane","d-description":"Possible spelling mistake found","f-bookmark":"BMSPELLING100119"},{"b-find":"HMF","e-paracontent":"Fortification of human milk with human milk fortifiers &lt;mark&gt;HMF&lt;\/mark&gt;) is recommended for all infants born &lt; 32 weeks GA or with a birth weight of &lt; 1500 grams up until at least a late preterm PMA.10,11 Human milk fortifiers contain most macro- and micronutrients, but are particularly notable for their energy, protein, calcium, phosphorus, zinc, and vitamin A content. Bovine protein-based HMFs are available in different protein types (casein vs. whey), levels of hydrolysis (polymeric vs. partial vs. extensive), and protein content (low vs. high vs. standard). Human milk-based HMFs are also available. Generally, HMFs are added when tolerance to moderate volumes of human milk have been established (60-100 mL/kg), although NICU practices vary.12 Further fortification may be required in the setting of poor growth or in instances of fluid restriction.  A variety of macronutrient-specific additives (modulars) can be used to meet individualized patient needs (Table 35-8). Chapter 16, Enteral Nutrition, has additional information on specific fortification and modular products. If parent\u2019s own human milk is not available, the use of pasteurized or irradiated donor human milk should be considered.  Donor human milk is preferred for high-risk neonates, typically those &lt; 32 weeks PMA, &lt; 1500 grams, with a history of NEC, or with congenital cardiac defects at risk of developing ischemic bowel.11","c-replace":["HF","IMF","MF","CMF","HMC","HMI","HMO","SMF","Emf","HMS","AMF","BMF","DMF","EMF","GMF","HDF","HEF","HIF","HM","HMD","HMP","HMV","HNF","HSF","HTF","HUF","Hf","JMF","KMF","NMF","PMF","QMF","RMF","UMF","WMF","Hmm","H MF","HM F"],"ab-name":"Spelling","a-name":"Possible Misspelling","g-rebookmarkname":"","i-wm":"HMF","d-description":"Possible spelling mistake found","f-bookmark":"BMSPELLING100145"},{"b-find":"HMFs","e-paracontent":"Fortification of human milk with human milk fortifiers (HMF) is recommended for all infants born &lt; 32 weeks GA or with a birth weight of &lt; 1500 grams up until at least a late preterm PMA.10,11 Human milk fortifiers contain most macro- and micronutrients, but are particularly notable for their energy, protein, calcium, phosphorus, zinc, and vitamin A content. Bovine protein-based&lt;mark&gt;HMFs&lt;\/mark&gt; are available in different protein types (casein vs. whey), levels of hydrolysis (polymeric vs. partial vs. extensive), and protein content (low vs. high vs. standard). Human milk-based HMFs are also available. Generally, HMFs are added when tolerance to moderate volumes of human milk have been established (60-100 mL/kg), although NICU practices vary.12 Further fortification may be required in the setting of poor growth or in instances of fluid restriction.  A variety of macronutrient-specific additives (modulars) can be used to meet individualized patient needs (Table 35-8). Chapter 16, Enteral Nutrition, has additional information on specific fortification and modular products. If parent\u2019s own human milk is not available, the use of pasteurized or irradiated donor human milk should be considered.  Donor human milk is preferred for high-risk neonates, typically those &lt; 32 weeks PMA, &lt; 1500 grams, with a history of NEC, or with congenital cardiac defects at risk of developing ischemic bowel.11","c-replace":["HFS","HMS","Emfs","HPFS","MFS"],"ab-name":"Spelling","a-name":"Possible Misspelling","g-rebookmarkname":"","i-wm":"HMFs","d-description":"Possible spelling mistake found","f-bookmark":"BMSPELLING100146"},{"b-find":"HMFs","e-paracontent":"Fortification of human milk with human milk fortifiers (HMF) is recommended for all infants born &lt; 32 weeks GA or with a birth weight of &lt; 1500 grams up until at least a late preterm PMA.10,11 Human milk fortifiers contain most macro- and micronutrients, but are particularly notable for their energy, protein, calcium, phosphorus, zinc, and vitamin A content. Bovine protein-based HMFs are available in different protein types (casein vs. whey), levels of hydrolysis (polymeric vs. partial vs. extensive), and protein content (low vs. high vs. standard). Human milk-based&lt;mark&gt;HMFs&lt;\/mark&gt; are also available. Generally, HMFs are added when tolerance to moderate volumes of human milk have been established (60-100 mL/kg), although NICU practices vary.12 Further fortification may be required in the setting of poor growth or in instances of fluid restriction.  A variety of macronutrient-specific additives (modulars) can be used to meet individualized patient needs (Table 35-8). Chapter 16, Enteral Nutrition, has additional information on specific fortification and modular products. If parent\u2019s own human milk is not available, the use of pasteurized or irradiated donor human milk should be considered.  Donor human milk is preferred for high-risk neonates, typically those &lt; 32 weeks PMA, &lt; 1500 grams, with a history of NEC, or with congenital cardiac defects at risk of developing ischemic bowel.11","c-replace":["HFS","HMS","Emfs","HPFS","MFS"],"ab-name":"Spelling","a-name":"Possible Misspelling","g-rebookmarkname":"","i-wm":"HMFs","d-description":"Possible spelling mistake found","f-bookmark":"BMSPELLING100147"},{"b-find":"HMFs","e-paracontent":"Fortification of human milk with human milk fortifiers (HMF) is recommended for all infants born &lt; 32 weeks GA or with a birth weight of &lt; 1500 grams up until at least a late preterm PMA.10,11 Human milk fortifiers contain most macro- and micronutrients, but are particularly notable for their energy, protein, calcium, phosphorus, zinc, and vitamin A content. Bovine protein-based HMFs are available in different protein types (casein vs. whey), levels of hydrolysis (polymeric vs. partial vs. extensive), and protein content (low vs. high vs. standard). Human milk-based HMFs are also available. Generally,&lt;mark&gt;HMFs&lt;\/mark&gt; are added when tolerance to moderate volumes of human milk have been established (60-100 mL/kg), although NICU practices vary.12 Further fortification may be required in the setting of poor growth or in instances of fluid restriction.  A variety of macronutrient-specific additives (modulars) can be used to meet individualized patient needs (Table 35-8). Chapter 16, Enteral Nutrition, has additional information on specific fortification and modular products. If parent\u2019s own human milk is not available, the use of pasteurized or irradiated donor human milk should be considered.  Donor human milk is preferred for high-risk neonates, typically those &lt; 32 weeks PMA, &lt; 1500 grams, with a history of NEC, or with congenital cardiac defects at risk of developing ischemic bowel.11","c-replace":["HFS","HMS","Emfs","HPFS","MFS"],"ab-name":"Spelling","a-name":"Possible Misspelling","g-rebookmarkname":"","i-wm":"HMFs","d-description":"Possible spelling mistake found","f-bookmark":"BMSPELLING100148"},{"b-find":"NICU","e-paracontent":"Fortification of human milk with human milk fortifiers (HMF) is recommended for all infants born &lt; 32 weeks GA or with a birth weight of &lt; 1500 grams up until at least a late preterm PMA.10,11 Human milk fortifiers contain most macro- and micronutrients, but are particularly notable for their energy, protein, calcium, phosphorus, zinc, and vitamin A content. Bovine protein-based HMFs are available in different protein types (casein vs. whey), levels of hydrolysis (polymeric vs. partial vs. extensive), and protein content (low vs. high vs. standard). Human milk-based HMFs are also available. Generally, HMFs are added when tolerance to moderate volumes of human milk have been established (60-100 mL/kg), although&lt;mark&gt;NICU&lt;\/mark&gt; practices vary.12 Further fortification may be required in the setting of poor growth or in instances of fluid restriction.  A variety of macronutrient-specific additives (modulars) can be used to meet individualized patient needs (Table 35-8). Chapter 16, Enteral Nutrition, has additional information on specific fortification and modular products. If parent\u2019s own human milk is not available, the use of pasteurized or irradiated donor human milk should be considered.  Donor human milk is preferred for high-risk neonates, typically those &lt; 32 weeks PMA, &lt; 1500 grams, with a history of NEC, or with congenital cardiac defects at risk of developing ischemic bowel.11","c-replace":["Nice","Nick","ICU","NIC","NIU","N ICU","NIC U","Nico"],"ab-name":"Spelling","a-name":"Possible Misspelling","g-rebookmarkname":"","i-wm":"NICU","d-description":"Possible spelling mistake found","f-bookmark":"BMSPELLING100149"},{"b-find":"modulars","e-paracontent":"Fortification of human milk with human milk fortifiers (HMF) is recommended for all infants born &lt; 32 weeks GA or with a birth weight of &lt; 1500 grams up until at least a late preterm PMA.10,11 Human milk fortifiers contain most macro- and micronutrients, but are particularly notable for their energy, protein, calcium, phosphorus, zinc, and vitamin A content. Bovine protein-based HMFs are available in different protein types (casein vs. whey), levels of hydrolysis (polymeric vs. partial vs. extensive), and protein content (low vs. high vs. standard). Human milk-based HMFs are also available. Generally, HMFs are added when tolerance to moderate volumes of human milk have been established (60-100 mL/kg), although NICU practices vary.12 Further fortification may be required in the setting of poor growth or in instances of fluid restriction.  A variety of macronutrient-specific additives &lt;mark&gt;modulars&lt;\/mark&gt;) can be used to meet individualized patient needs (Table 35-8). Chapter 16, Enteral Nutrition, has additional information on specific fortification and modular products. If parent\u2019s own human milk is not available, the use of pasteurized or irradiated donor human milk should be considered.  Donor human milk is preferred for high-risk neonates, typically those &lt; 32 weeks PMA, &lt; 1500 grams, with a history of NEC, or with congenital cardiac defects at risk of developing ischemic bowel.11","c-replace":["modular","modular s"],"ab-name":"Spelling","a-name":"Possible Misspelling","g-rebookmarkname":"","i-wm":"modulars","d-description":"Possible spelling mistake found","f-bookmark":"BMSPELLING100150"},{"b-find":"HMF","e-paracontent":"Preterm infants require supplementation with 2-4 mg/kg/day of elemental iron due to anemia of prematurity.10,11 At a typical feeding volume of 150 mL/kg/day and energy density of 24 Cal/fl. oz., most iron fortified formulas provide 2.2 mg/kg/day; the iron content of human milk fortified with&lt;mark&gt;HMF&lt;\/mark&gt; needs to be calculated because iron content varies by HMF product. Supplementation with vitamin D is also routine with a minimum goal (feeds + supplementation) of 10 mcg/day.10 Higher dosing may be needed for infants with osteopenia of prematurity.","c-replace":["HF","IMF","MF","CMF","HMC","HMI","HMO","SMF","Emf","HMS","AMF","BMF","DMF","EMF","GMF","HDF","HEF","HIF","HM","HMD","HMP","HMV","HNF","HSF","HTF","HUF","Hf","JMF","KMF","NMF","PMF","QMF","RMF","UMF","WMF","Hmm","H MF","HM F"],"ab-name":"Spelling","a-name":"Possible Misspelling","g-rebookmarkname":"","i-wm":"HMF","d-description":"Possible spelling mistake found","f-bookmark":"BMSPELLING100165"},{"b-find":"HMF","e-paracontent":"Preterm infants require supplementation with 2-4 mg/kg/day of elemental iron due to anemia of prematurity.10,11 At a typical feeding volume of 150 mL/kg/day and energy density of 24 Cal/fl. oz., most iron fortified formulas provide 2.2 mg/kg/day; the iron content of human milk fortified with HMF needs to be calculated because iron content varies by&lt;mark&gt;HMF&lt;\/mark&gt; product. Supplementation with vitamin D is also routine with a minimum goal (feeds + supplementation) of 10 mcg/day.10 Higher dosing may be needed for infants with osteopenia of prematurity.","c-replace":["HF","IMF","MF","CMF","HMC","HMI","HMO","SMF","Emf","HMS","AMF","BMF","DMF","EMF","GMF","HDF","HEF","HIF","HM","HMD","HMP","HMV","HNF","HSF","HTF","HUF","Hf","JMF","KMF","NMF","PMF","QMF","RMF","UMF","WMF","Hmm","H MF","HM F"],"ab-name":"Spelling","a-name":"Possible Misspelling","g-rebookmarkname":"","i-wm":"HMF","d-description":"Possible spelling mistake found","f-bookmark":"BMSPELLING100166"},{"b-find":"PN","e-paracontent":"During periods when enteral nutrition is incomplete (such as in the first days after birth while enteral feeds are advancing) or is contraindicated (due to severe hemodynamic instability, NEC, or other congenital gastrointestinal anomalies) parenteral nutrition &lt;mark&gt;PN&lt;\/mark&gt;) should be initiated. Parenteral nutrition should begin within the first few hours of life for preterm infants born &lt; 32 weeks gestation or with a birth weight &lt; 1500 g to prevent catabolism and hypoglycemia secondary to limited glycogen stores.  The PN solution should be advanced daily to provide recommended fluid and nutrient estimates (Table 35-5) while enteral feeding volumes are low. PN can then be weaned as enteral feeds advance to reach goal volumes and energy density.","c-replace":["In","On","An","PA","PC","PM","Pan","Pen","Pin","Pm","PR","PT","pH","Pun","NP","PD","PV","Pa","Pi","PJ","PNC","PNG","PNP","VPN","IPN","PNA","PNL","PNS","PW","Pt","APN","PNM","PX","RPN","VN","DPN","LPN","TPN","Zn","Pk","Jpn","PS","AN","BPN","CN","DN","EN","FN","GN","IN","JPN","KN","KPN","LN","Ln","MN","MPN","Mn","N","ON","P","PAN","PB","PBN","PCN","PE","PEN","PFN","PG","PGN","PH","PIN","PK","PL","PLN","PMN","PNB","PND","PNE","PNF","PNH","PNI","PNK","PNN","PNR","PNT","PNV","PNW","PO","PON","PP","PPN","PQ","PRN","PSN","PU","PUN","Pb","Pd","Pl","Po","Pr","Pu","RN","Rn","SN","Sn","TN","UN","UPN","En","Kn","Pf","Pg","Pj","Pp","Pwn","Tn","P N"],"ab-name":"Spelling","a-name":"Possible Misspelling","g-rebookmarkname":"","i-wm":"PN","d-description":"Possible spelling mistake found","f-bookmark":"BMSPELLING100181"},{"b-find":"PN","e-paracontent":"During periods when enteral nutrition is incomplete (such as in the first days after birth while enteral feeds are advancing) or is contraindicated (due to severe hemodynamic instability, NEC, or other congenital gastrointestinal anomalies) parenteral nutrition (PN) should be initiated. Parenteral nutrition should begin within the first few hours of life for preterm infants born &lt; 32 weeks gestation or with a birth weight &lt; 1500 g to prevent catabolism and hypoglycemia secondary to limited glycogen stores.  The&lt;mark&gt;PN&lt;\/mark&gt; solution should be advanced daily to provide recommended fluid and nutrient estimates (Table 35-5) while enteral feeding volumes are low. PN can then be weaned as enteral feeds advance to reach goal volumes and energy density.","c-replace":["In","On","An","PA","PC","PM","Pan","Pen","Pin","Pm","PR","PT","pH","Pun","NP","PD","PV","Pa","Pi","PJ","PNC","PNG","PNP","VPN","IPN","PNA","PNL","PNS","PW","Pt","APN","PNM","PX","RPN","VN","DPN","LPN","TPN","Zn","Pk","Jpn","PS","AN","BPN","CN","DN","EN","FN","GN","IN","JPN","KN","KPN","LN","Ln","MN","MPN","Mn","N","ON","P","PAN","PB","PBN","PCN","PE","PEN","PFN","PG","PGN","PH","PIN","PK","PL","PLN","PMN","PNB","PND","PNE","PNF","PNH","PNI","PNK","PNN","PNR","PNT","PNV","PNW","PO","PON","PP","PPN","PQ","PRN","PSN","PU","PUN","Pb","Pd","Pl","Po","Pr","Pu","RN","Rn","SN","Sn","TN","UN","UPN","En","Kn","Pf","Pg","Pj","Pp","Pwn","Tn","P N"],"ab-name":"Spelling","a-name":"Possible Misspelling","g-rebookmarkname":"","i-wm":"PN","d-description":"Possible spelling mistake found","f-bookmark":"BMSPELLING100182"},{"b-find":"PN","e-paracontent":"During periods when enteral nutrition is incomplete (such as in the first days after birth while enteral feeds are advancing) or is contraindicated (due to severe hemodynamic instability, NEC, or other congenital gastrointestinal anomalies) parenteral nutrition (PN) should be initiated. Parenteral nutrition should begin within the first few hours of life for preterm infants born &lt; 32 weeks gestation or with a birth weight &lt; 1500 g to prevent catabolism and hypoglycemia secondary to limited glycogen stores.  The PN solution should be advanced daily to provide recommended fluid and nutrient estimates (Table 35-5) while enteral feeding volumes are low.&lt;mark&gt;PN&lt;\/mark&gt; can then be weaned as enteral feeds advance to reach goal volumes and energy density.","c-replace":["In","On","An","PA","PC","PM","Pan","Pen","Pin","Pm","PR","PT","pH","Pun","NP","PD","PV","Pa","Pi","PJ","PNC","PNG","PNP","VPN","IPN","PNA","PNL","PNS","PW","Pt","APN","PNM","PX","RPN","VN","DPN","LPN","TPN","Zn","Pk","Jpn","PS","AN","BPN","CN","DN","EN","FN","GN","IN","JPN","KN","KPN","LN","Ln","MN","MPN","Mn","N","ON","P","PAN","PB","PBN","PCN","PE","PEN","PFN","PG","PGN","PH","PIN","PK","PL","PLN","PMN","PNB","PND","PNE","PNF","PNH","PNI","PNK","PNN","PNR","PNT","PNV","PNW","PO","PON","PP","PPN","PQ","PRN","PSN","PU","PUN","Pb","Pd","Pl","Po","Pr","Pu","RN","Rn","SN","Sn","TN","UN","UPN","En","Kn","Pf","Pg","Pj","Pp","Pwn","Tn","P N"],"ab-name":"Spelling","a-name":"Possible Misspelling","g-rebookmarkname":"","i-wm":"PN","d-description":"Possible spelling mistake found","f-bookmark":"BMSPELLING100183"},{"b-find":"L-cysteine","e-paracontent":"Amino acid requirements in preterm infants are different both qualitatively and quantitatively from term infants and older children.  Some amino acids, such as&lt;mark&gt;L-cysteine&lt;\/mark&gt; and taurine, are conditionally essential because preterm infants do not synthesize them in sufficient quantities as term infants do and can be added to PN.  A specialized amino acid blend, designed to approximate the blood amino acid profile of the human milk fed infant, is used for PN in the preterm infant. Extremely preterm and/or extremely low birth weight (ELBW) infants have increased rates of protein turnover. Therefore, they require higher protein intake than term infants to achieve ideal growth velocity and positive nitrogen balance. ","c-replace":[],"ab-name":"Spelling","a-name":"Possible Misspelling","g-rebookmarkname":"","i-wm":"L-cysteine","d-description":"Possible spelling mistake found","f-bookmark":"BMSPELLING100195"},{"b-find":"PN","e-paracontent":"Amino acid requirements in preterm infants are different both qualitatively and quantitatively from term infants and older children.  Some amino acids, such as L-cysteine and taurine, are conditionally essential because preterm infants do not synthesize them in sufficient quantities as term infants do and can be added to&lt;mark&gt;PN&lt;\/mark&gt;.  A specialized amino acid blend, designed to approximate the blood amino acid profile of the human milk fed infant, is used for PN in the preterm infant. Extremely preterm and/or extremely low birth weight (ELBW) infants have increased rates of protein turnover. Therefore, they require higher protein intake than term infants to achieve ideal growth velocity and positive nitrogen balance. ","c-replace":["In","On","An","PA","PC","PM","Pan","Pen","Pin","Pm","PR","PT","pH","Pun","NP","PD","PV","Pa","Pi","PJ","PNC","PNG","PNP","VPN","IPN","PNA","PNL","PNS","PW","Pt","APN","PNM","PX","RPN","VN","DPN","LPN","TPN","Zn","Pk","Jpn","PS","AN","BPN","CN","DN","EN","FN","GN","IN","JPN","KN","KPN","LN","Ln","MN","MPN","Mn","N","ON","P","PAN","PB","PBN","PCN","PE","PEN","PFN","PG","PGN","PH","PIN","PK","PL","PLN","PMN","PNB","PND","PNE","PNF","PNH","PNI","PNK","PNN","PNR","PNT","PNV","PNW","PO","PON","PP","PPN","PQ","PRN","PSN","PU","PUN","Pb","Pd","Pl","Po","Pr","Pu","RN","Rn","SN","Sn","TN","UN","UPN","En","Kn","Pf","Pg","Pj","Pp","Pwn","Tn","P N"],"ab-name":"Spelling","a-name":"Possible Misspelling","g-rebookmarkname":"","i-wm":"PN","d-description":"Possible spelling mistake found","f-bookmark":"BMSPELLING100196"},{"b-find":"PN","e-paracontent":"Amino acid requirements in preterm infants are different both qualitatively and quantitatively from term infants and older children.  Some amino acids, such as L-cysteine and taurine, are conditionally essential because preterm infants do not synthesize them in sufficient quantities as term infants do and can be added to PN.  A specialized amino acid blend, designed to approximate the blood amino acid profile of the human milk fed infant, is used for&lt;mark&gt;PN&lt;\/mark&gt; in the preterm infant. Extremely preterm and/or extremely low birth weight (ELBW) infants have increased rates of protein turnover. Therefore, they require higher protein intake than term infants to achieve ideal growth velocity and positive nitrogen balance. ","c-replace":["In","On","An","PA","PC","PM","Pan","Pen","Pin","Pm","PR","PT","pH","Pun","NP","PD","PV","Pa","Pi","PJ","PNC","PNG","PNP","VPN","IPN","PNA","PNL","PNS","PW","Pt","APN","PNM","PX","RPN","VN","DPN","LPN","TPN","Zn","Pk","Jpn","PS","AN","BPN","CN","DN","EN","FN","GN","IN","JPN","KN","KPN","LN","Ln","MN","MPN","Mn","N","ON","P","PAN","PB","PBN","PCN","PE","PEN","PFN","PG","PGN","PH","PIN","PK","PL","PLN","PMN","PNB","PND","PNE","PNF","PNH","PNI","PNK","PNN","PNR","PNT","PNV","PNW","PO","PON","PP","PPN","PQ","PRN","PSN","PU","PUN","Pb","Pd","Pl","Po","Pr","Pu","RN","Rn","SN","Sn","TN","UN","UPN","En","Kn","Pf","Pg","Pj","Pp","Pwn","Tn","P N"],"ab-name":"Spelling","a-name":"Possible Misspelling","g-rebookmarkname":"","i-wm":"PN","d-description":"Possible spelling mistake found","f-bookmark":"BMSPELLING100197"},{"b-find":"ELBW","e-paracontent":"Amino acid requirements in preterm infants are different both qualitatively and quantitatively from term infants and older children.  Some amino acids, such as L-cysteine and taurine, are conditionally essential because preterm infants do not synthesize them in sufficient quantities as term infants do and can be added to PN.  A specialized amino acid blend, designed to approximate the blood amino acid profile of the human milk fed infant, is used for PN in the preterm infant. Extremely preterm and/or extremely low birth weight &lt;mark&gt;ELBW&lt;\/mark&gt;) infants have increased rates of protein turnover. Therefore, they require higher protein intake than term infants to achieve ideal growth velocity and positive nitrogen balance. ","c-replace":["Elbow","Elbe","Elba","Lbw"],"ab-name":"Spelling","a-name":"Possible Misspelling","g-rebookmarkname":"","i-wm":"ELBW","d-description":"Possible spelling mistake found","f-bookmark":"BMSPELLING100198"},{"b-find":"calorically-dense","e-paracontent":" For most preterm infants, a soybean or mixed oil based lipid solution is recommended as a&lt;mark&gt;calorically-dense&lt;\/mark&gt; energy source as well as to supply the essential fatty acids (α-linolenic and linoleic acids).13  Hypertriglyceridemia, fasting serum triglyceride level &gt; 250 mg/dL, may occur in preterm infants due to reduced lipoprotein lipase activity;14 treatment may require a dose reduction in the infusion of lipids or a cycled infusion (i.e., an infusion of the same volume over fewer hours).  Patient-specific lipid emulsion recommendations continue to evolve as more research on newer-to-market mixed oil and 100% fish oil emulsions become available. For infants on PN long-term (&gt; 3-4 weeks), a mixed oil or fish oil lipid emulsion may be utilized as prevention (mixed oil) or treatment (fish oil) for intestinal failure-associated liver disease (IFALD) or Parenteral Nutrition Associated Cholestasis (PNAC). Alternatively, a reduced dose of soybean oil lipid emulsion may reduce the risks of IFALD while also providing an adequate amount of essential fatty acids to prevent and treat essential fatty acid deficiency. Mixed oil lipid emulsions should not be dose restricted because there is a higher risk of developing an essential fatty acid deficiency than with soybean oil lipid emulsions. Serum fatty acid profiles should be monitored in all infants receiving reduced dosing of soybean oil emulsions or goal dosing of mixed and fish oil lipid injectable emulsions, especially if enteral fat intake is minimal. When lipid emulsions are dose restricted, high glucose infusion rates need to be tolerated to maintain adequate parenteral energy infusion. See also Chapter 17, Parenteral Nutrition.","c-replace":[],"ab-name":"Spelling","a-name":"Possible Misspelling","g-rebookmarkname":"","i-wm":"calorically-dense","d-description":"Possible spelling mistake found","f-bookmark":"BMSPELLING100224"},{"b-find":"α-linolenic","e-paracontent":" For most preterm infants, a soybean or mixed oil based lipid solution is recommended as a calorically-dense energy source as well as to supply the essential fatty acids &lt;mark&gt;α-linolenic&lt;\/mark&gt; and linoleic acids).13  Hypertriglyceridemia, fasting serum triglyceride level &gt; 250 mg/dL, may occur in preterm infants due to reduced lipoprotein lipase activity;14 treatment may require a dose reduction in the infusion of lipids or a cycled infusion (i.e., an infusion of the same volume over fewer hours).  Patient-specific lipid emulsion recommendations continue to evolve as more research on newer-to-market mixed oil and 100% fish oil emulsions become available. For infants on PN long-term (&gt; 3-4 weeks), a mixed oil or fish oil lipid emulsion may be utilized as prevention (mixed oil) or treatment (fish oil) for intestinal failure-associated liver disease (IFALD) or Parenteral Nutrition Associated Cholestasis (PNAC). Alternatively, a reduced dose of soybean oil lipid emulsion may reduce the risks of IFALD while also providing an adequate amount of essential fatty acids to prevent and treat essential fatty acid deficiency. Mixed oil lipid emulsions should not be dose restricted because there is a higher risk of developing an essential fatty acid deficiency than with soybean oil lipid emulsions. Serum fatty acid profiles should be monitored in all infants receiving reduced dosing of soybean oil emulsions or goal dosing of mixed and fish oil lipid injectable emulsions, especially if enteral fat intake is minimal. When lipid emulsions are dose restricted, high glucose infusion rates need to be tolerated to maintain adequate parenteral energy infusion. See also Chapter 17, Parenteral Nutrition.","c-replace":["linoleic"],"ab-name":"Spelling","a-name":"Possible Misspelling","g-rebookmarkname":"","i-wm":"α&lt;\/span&gt;&lt;span style=\"font-family:Times\"&gt;-linolenic","d-description":"Possible spelling mistake found","f-bookmark":"BMSPELLING100225"},{"b-find":"PN","e-paracontent":" For most preterm infants, a soybean or mixed oil based lipid solution is recommended as a calorically-dense energy source as well as to supply the essential fatty acids (α-linolenic and linoleic acids).13  Hypertriglyceridemia, fasting serum triglyceride level &gt; 250 mg/dL, may occur in preterm infants due to reduced lipoprotein lipase activity;14 treatment may require a dose reduction in the infusion of lipids or a cycled infusion (i.e., an infusion of the same volume over fewer hours).  Patient-specific lipid emulsion recommendations continue to evolve as more research on newer-to-market mixed oil and 100% fish oil emulsions become available. For infants on&lt;mark&gt;PN&lt;\/mark&gt; long-term (&gt; 3-4 weeks), a mixed oil or fish oil lipid emulsion may be utilized as prevention (mixed oil) or treatment (fish oil) for intestinal failure-associated liver disease (IFALD) or Parenteral Nutrition Associated Cholestasis (PNAC). Alternatively, a reduced dose of soybean oil lipid emulsion may reduce the risks of IFALD while also providing an adequate amount of essential fatty acids to prevent and treat essential fatty acid deficiency. Mixed oil lipid emulsions should not be dose restricted because there is a higher risk of developing an essential fatty acid deficiency than with soybean oil lipid emulsions. Serum fatty acid profiles should be monitored in all infants receiving reduced dosing of soybean oil emulsions or goal dosing of mixed and fish oil lipid injectable emulsions, especially if enteral fat intake is minimal. When lipid emulsions are dose restricted, high glucose infusion rates need to be tolerated to maintain adequate parenteral energy infusion. See also Chapter 17, Parenteral Nutrition.","c-replace":["In","On","An","PA","PC","PM","Pan","Pen","Pin","Pm","PR","PT","pH","Pun","NP","PD","PV","Pa","Pi","PJ","PNC","PNG","PNP","VPN","IPN","PNA","PNL","PNS","PW","Pt","APN","PNM","PX","RPN","VN","DPN","LPN","TPN","Zn","Pk","Jpn","PS","AN","BPN","CN","DN","EN","FN","GN","IN","JPN","KN","KPN","LN","Ln","MN","MPN","Mn","N","ON","P","PAN","PB","PBN","PCN","PE","PEN","PFN","PG","PGN","PH","PIN","PK","PL","PLN","PMN","PNB","PND","PNE","PNF","PNH","PNI","PNK","PNN","PNR","PNT","PNV","PNW","PO","PON","PP","PPN","PQ","PRN","PSN","PU","PUN","Pb","Pd","Pl","Po","Pr","Pu","RN","Rn","SN","Sn","TN","UN","UPN","En","Kn","Pf","Pg","Pj","Pp","Pwn","Tn","P N"],"ab-name":"Spelling","a-name":"Possible Misspelling","g-rebookmarkname":"","i-wm":"PN","d-description":"Possible spelling mistake found","f-bookmark":"BMSPELLING100226"},{"b-find":"IFALD","e-paracontent":" For most preterm infants, a soybean or mixed oil based lipid solution is recommended as a calorically-dense energy source as well as to supply the essential fatty acids (α-linolenic and linoleic acids).13  Hypertriglyceridemia, fasting serum triglyceride level &gt; 250 mg/dL, may occur in preterm infants due to reduced lipoprotein lipase activity;14 treatment may require a dose reduction in the infusion of lipids or a cycled infusion (i.e., an infusion of the same volume over fewer hours).  Patient-specific lipid emulsion recommendations continue to evolve as more research on newer-to-market mixed oil and 100% fish oil emulsions become available. For infants on PN long-term (&gt; 3-4 weeks), a mixed oil or fish oil lipid emulsion may be utilized as prevention (mixed oil) or treatment (fish oil) for intestinal failure-associated liver disease &lt;mark&gt;IFALD&lt;\/mark&gt;) or Parenteral Nutrition Associated Cholestasis (PNAC). Alternatively, a reduced dose of soybean oil lipid emulsion may reduce the risks of IFALD while also providing an adequate amount of essential fatty acids to prevent and treat essential fatty acid deficiency. Mixed oil lipid emulsions should not be dose restricted because there is a higher risk of developing an essential fatty acid deficiency than with soybean oil lipid emulsions. Serum fatty acid profiles should be monitored in all infants receiving reduced dosing of soybean oil emulsions or goal dosing of mixed and fish oil lipid injectable emulsions, especially if enteral fat intake is minimal. When lipid emulsions are dose restricted, high glucose infusion rates need to be tolerated to maintain adequate parenteral energy infusion. See also Chapter 17, Parenteral Nutrition.","c-replace":["IF ALD","IFA LD"],"ab-name":"Spelling","a-name":"Possible Misspelling","g-rebookmarkname":"","i-wm":"IFALD","d-description":"Possible spelling mistake found","f-bookmark":"BMSPELLING100227"},{"b-find":"PNAC","e-paracontent":" For most preterm infants, a soybean or mixed oil based lipid solution is recommended as a calorically-dense energy source as well as to supply the essential fatty acids (α-linolenic and linoleic acids).13  Hypertriglyceridemia, fasting serum triglyceride level &gt; 250 mg/dL, may occur in preterm infants due to reduced lipoprotein lipase activity;14 treatment may require a dose reduction in the infusion of lipids or a cycled infusion (i.e., an infusion of the same volume over fewer hours).  Patient-specific lipid emulsion recommendations continue to evolve as more research on newer-to-market mixed oil and 100% fish oil emulsions become available. For infants on PN long-term (&gt; 3-4 weeks), a mixed oil or fish oil lipid emulsion may be utilized as prevention (mixed oil) or treatment (fish oil) for intestinal failure-associated liver disease (IFALD) or Parenteral Nutrition Associated Cholestasis &lt;mark&gt;PNAC&lt;\/mark&gt;). Alternatively, a reduced dose of soybean oil lipid emulsion may reduce the risks of IFALD while also providing an adequate amount of essential fatty acids to prevent and treat essential fatty acid deficiency. Mixed oil lipid emulsions should not be dose restricted because there is a higher risk of developing an essential fatty acid deficiency than with soybean oil lipid emulsions. Serum fatty acid profiles should be monitored in all infants receiving reduced dosing of soybean oil emulsions or goal dosing of mixed and fish oil lipid injectable emulsions, especially if enteral fat intake is minimal. When lipid emulsions are dose restricted, high glucose infusion rates need to be tolerated to maintain adequate parenteral energy infusion. See also Chapter 17, Parenteral Nutrition.","c-replace":["PAC","NAC","PNC","PNA","CNAC","ENAC","FNAC","INAC","PNEC","UNAC","P NAC","PNA C"],"ab-name":"Spelling","a-name":"Possible Misspelling","g-rebookmarkname":"","i-wm":"PNAC","d-description":"Possible spelling mistake found","f-bookmark":"BMSPELLING100228"},{"b-find":"IFALD","e-paracontent":" For most preterm infants, a soybean or mixed oil based lipid solution is recommended as a calorically-dense energy source as well as to supply the essential fatty acids (α-linolenic and linoleic acids).13  Hypertriglyceridemia, fasting serum triglyceride level &gt; 250 mg/dL, may occur in preterm infants due to reduced lipoprotein lipase activity;14 treatment may require a dose reduction in the infusion of lipids or a cycled infusion (i.e., an infusion of the same volume over fewer hours).  Patient-specific lipid emulsion recommendations continue to evolve as more research on newer-to-market mixed oil and 100% fish oil emulsions become available. For infants on PN long-term (&gt; 3-4 weeks), a mixed oil or fish oil lipid emulsion may be utilized as prevention (mixed oil) or treatment (fish oil) for intestinal failure-associated liver disease (IFALD) or Parenteral Nutrition Associated Cholestasis (PNAC). Alternatively, a reduced dose of soybean oil lipid emulsion may reduce the risks of&lt;mark&gt;IFALD&lt;\/mark&gt; while also providing an adequate amount of essential fatty acids to prevent and treat essential fatty acid deficiency. Mixed oil lipid emulsions should not be dose restricted because there is a higher risk of developing an essential fatty acid deficiency than with soybean oil lipid emulsions. Serum fatty acid profiles should be monitored in all infants receiving reduced dosing of soybean oil emulsions or goal dosing of mixed and fish oil lipid injectable emulsions, especially if enteral fat intake is minimal. When lipid emulsions are dose restricted, high glucose infusion rates need to be tolerated to maintain adequate parenteral energy infusion. See also Chapter 17, Parenteral Nutrition.","c-replace":["IF ALD","IFA LD"],"ab-name":"Spelling","a-name":"Possible Misspelling","g-rebookmarkname":"","i-wm":"IFALD","d-description":"Possible spelling mistake found","f-bookmark":"BMSPELLING100229"},{"b-find":"HMFs","e-paracontent":"Preterm infant formulas and&lt;mark&gt;HMFs&lt;\/mark&gt; are not available for home use due to their high nutrient concentrations designed to meet the needs of infants who take smaller feeding volumes.  Close to hospital discharge, infants requiring non-human milk feedings should be transitioned to \u201cpost-discharge\u201d formulas (PDF) or \u201ctransitional\u201d formulas for home use. Studies suggest that compared to term formula, preterm infants fed PDF demonstrate improved growth (weight, length, and head circumference).15 Evidence is mixed on whether PDF may also benefit body composition, bone mineralization, and neurodevelopment.15 Post-discharge formulas provide higher concentrations of energy, protein, vitamins, and minerals at a standard 22 kcal/oz. dilution than term infant formulas (standard 20 kcal/oz.), but less than those in preterm infant formulas and human milk fortified with HMF (standard 24 kcal/oz.). Preterm infants receiving human milk may require additional nutrients from PDF as well. There is no optimal practice15; common methods include adding formula powder to pumped human milk, alternating moderately concentrated formula bottles with direct breastfeeding, or mostly direct breastfeeding with few highly concentrated formula \u201cbooster\u201d bottles. PDF prescribed at higher than 22 kcal/oz. and fortified human milk at any energy density require specialized mixing recipes. Referral to a community lactation consultant, Special Supplemental Food Program for Women, Infants, and Children (WIC), Early Intervention Program (EIP), and/or home-health nursing may be beneficial for assistance with feeding skills and weight checks. Additionally, the American Academy of Pediatrics16 and countries throughout the world17 recommend that preterm infants receive multidisciplinary follow up care with attention to nutritional and neurodevelopmental needs.","c-replace":["HFS","HMS","Emfs","HPFS","MFS"],"ab-name":"Spelling","a-name":"Possible Misspelling","g-rebookmarkname":"","i-wm":"HMFs","d-description":"Possible spelling mistake found","f-bookmark":"BMSPELLING100261"},{"b-find":"neurodevelopment","e-paracontent":"Preterm infant formulas and HMFs are not available for home use due to their high nutrient concentrations designed to meet the needs of infants who take smaller feeding volumes.  Close to hospital discharge, infants requiring non-human milk feedings should be transitioned to \u201cpost-discharge\u201d formulas (PDF) or \u201ctransitional\u201d formulas for home use. Studies suggest that compared to term formula, preterm infants fed PDF demonstrate improved growth (weight, length, and head circumference).15 Evidence is mixed on whether PDF may also benefit body composition, bone mineralization, and&lt;mark&gt;neurodevelopment&lt;\/mark&gt;.15 Post-discharge formulas provide higher concentrations of energy, protein, vitamins, and minerals at a standard 22 kcal/oz. dilution than term infant formulas (standard 20 kcal/oz.), but less than those in preterm infant formulas and human milk fortified with HMF (standard 24 kcal/oz.). Preterm infants receiving human milk may require additional nutrients from PDF as well. There is no optimal practice15; common methods include adding formula powder to pumped human milk, alternating moderately concentrated formula bottles with direct breastfeeding, or mostly direct breastfeeding with few highly concentrated formula \u201cbooster\u201d bottles. PDF prescribed at higher than 22 kcal/oz. and fortified human milk at any energy density require specialized mixing recipes. Referral to a community lactation consultant, Special Supplemental Food Program for Women, Infants, and Children (WIC), Early Intervention Program (EIP), and/or home-health nursing may be beneficial for assistance with feeding skills and weight checks. Additionally, the American Academy of Pediatrics16 and countries throughout the world17 recommend that preterm infants receive multidisciplinary follow up care with attention to nutritional and neurodevelopmental needs.","c-replace":[],"ab-name":"Spelling","a-name":"Possible Misspelling","g-rebookmarkname":"","i-wm":"neurodevelopment","d-description":"Possible spelling mistake found","f-bookmark":"BMSPELLING100262"},{"b-find":"kcal","e-paracontent":"Preterm infant formulas and HMFs are not available for home use due to their high nutrient concentrations designed to meet the needs of infants who take smaller feeding volumes.  Close to hospital discharge, infants requiring non-human milk feedings should be transitioned to \u201cpost-discharge\u201d formulas (PDF) or \u201ctransitional\u201d formulas for home use. Studies suggest that compared to term formula, preterm infants fed PDF demonstrate improved growth (weight, length, and head circumference).15 Evidence is mixed on whether PDF may also benefit body composition, bone mineralization, and neurodevelopment.15 Post-discharge formulas provide higher concentrations of energy, protein, vitamins, and minerals at a standard 22&lt;mark&gt;kcal&lt;\/mark&gt;/oz. dilution than term infant formulas (standard 20 kcal/oz.), but less than those in preterm infant formulas and human milk fortified with HMF (standard 24 kcal/oz.). Preterm infants receiving human milk may require additional nutrients from PDF as well. There is no optimal practice15; common methods include adding formula powder to pumped human milk, alternating moderately concentrated formula bottles with direct breastfeeding, or mostly direct breastfeeding with few highly concentrated formula \u201cbooster\u201d bottles. PDF prescribed at higher than 22 kcal/oz. and fortified human milk at any energy density require specialized mixing recipes. Referral to a community lactation consultant, Special Supplemental Food Program for Women, Infants, and Children (WIC), Early Intervention Program (EIP), and/or home-health nursing may be beneficial for assistance with feeding skills and weight checks. Additionally, the American Academy of Pediatrics16 and countries throughout the world17 recommend that preterm infants receive multidisciplinary follow up care with attention to nutritional and neurodevelopmental needs.","c-replace":["cal","CAL","Cal","FCAL","KAL","KCL","k cal"],"ab-name":"Spelling","a-name":"Possible Misspelling","g-rebookmarkname":"","i-wm":"kcal","d-description":"Possible spelling mistake found","f-bookmark":"BMSPELLING100263"},{"b-find":"kcal","e-paracontent":"Preterm infant formulas and HMFs are not available for home use due to their high nutrient concentrations designed to meet the needs of infants who take smaller feeding volumes.  Close to hospital discharge, infants requiring non-human milk feedings should be transitioned to \u201cpost-discharge\u201d formulas (PDF) or \u201ctransitional\u201d formulas for home use. Studies suggest that compared to term formula, preterm infants fed PDF demonstrate improved growth (weight, length, and head circumference).15 Evidence is mixed on whether PDF may also benefit body composition, bone mineralization, and neurodevelopment.15 Post-discharge formulas provide higher concentrations of energy, protein, vitamins, and minerals at a standard 22 kcal/oz. dilution than term infant formulas (standard 20&lt;mark&gt;kcal&lt;\/mark&gt;/oz.), but less than those in preterm infant formulas and human milk fortified with HMF (standard 24 kcal/oz.). Preterm infants receiving human milk may require additional nutrients from PDF as well. There is no optimal practice15; common methods include adding formula powder to pumped human milk, alternating moderately concentrated formula bottles with direct breastfeeding, or mostly direct breastfeeding with few highly concentrated formula \u201cbooster\u201d bottles. PDF prescribed at higher than 22 kcal/oz. and fortified human milk at any energy density require specialized mixing recipes. Referral to a community lactation consultant, Special Supplemental Food Program for Women, Infants, and Children (WIC), Early Intervention Program (EIP), and/or home-health nursing may be beneficial for assistance with feeding skills and weight checks. Additionally, the American Academy of Pediatrics16 and countries throughout the world17 recommend that preterm infants receive multidisciplinary follow up care with attention to nutritional and neurodevelopmental needs.","c-replace":["cal","CAL","Cal","FCAL","KAL","KCL","k cal"],"ab-name":"Spelling","a-name":"Possible Misspelling","g-rebookmarkname":"","i-wm":"kcal","d-description":"Possible spelling mistake found","f-bookmark":"BMSPELLING100265"},{"b-find":"HMF","e-paracontent":"Preterm infant formulas and HMFs are not available for home use due to their high nutrient concentrations designed to meet the needs of infants who take smaller feeding volumes.  Close to hospital discharge, infants requiring non-human milk feedings should be transitioned to \u201cpost-discharge\u201d formulas (PDF) or \u201ctransitional\u201d formulas for home use. Studies suggest that compared to term formula, preterm infants fed PDF demonstrate improved growth (weight, length, and head circumference).15 Evidence is mixed on whether PDF may also benefit body composition, bone mineralization, and neurodevelopment.15 Post-discharge formulas provide higher concentrations of energy, protein, vitamins, and minerals at a standard 22 kcal/oz. dilution than term infant formulas (standard 20 kcal/oz.), but less than those in preterm infant formulas and human milk fortified with&lt;mark&gt;HMF&lt;\/mark&gt; (standard 24 kcal/oz.). Preterm infants receiving human milk may require additional nutrients from PDF as well. There is no optimal practice15; common methods include adding formula powder to pumped human milk, alternating moderately concentrated formula bottles with direct breastfeeding, or mostly direct breastfeeding with few highly concentrated formula \u201cbooster\u201d bottles. PDF prescribed at higher than 22 kcal/oz. and fortified human milk at any energy density require specialized mixing recipes. Referral to a community lactation consultant, Special Supplemental Food Program for Women, Infants, and Children (WIC), Early Intervention Program (EIP), and/or home-health nursing may be beneficial for assistance with feeding skills and weight checks. Additionally, the American Academy of Pediatrics16 and countries throughout the world17 recommend that preterm infants receive multidisciplinary follow up care with attention to nutritional and neurodevelopmental needs.","c-replace":["HF","IMF","MF","CMF","HMC","HMI","HMO","SMF","Emf","HMS","AMF","BMF","DMF","EMF","GMF","HDF","HEF","HIF","HM","HMD","HMP","HMV","HNF","HSF","HTF","HUF","Hf","JMF","KMF","NMF","PMF","QMF","RMF","UMF","WMF","Hmm","H MF","HM F"],"ab-name":"Spelling","a-name":"Possible Misspelling","g-rebookmarkname":"","i-wm":"HMF","d-description":"Possible spelling mistake found","f-bookmark":"BMSPELLING100266"},{"b-find":"kcal","e-paracontent":"Preterm infant formulas and HMFs are not available for home use due to their high nutrient concentrations designed to meet the needs of infants who take smaller feeding volumes.  Close to hospital discharge, infants requiring non-human milk feedings should be transitioned to \u201cpost-discharge\u201d formulas (PDF) or \u201ctransitional\u201d formulas for home use. Studies suggest that compared to term formula, preterm infants fed PDF demonstrate improved growth (weight, length, and head circumference).15 Evidence is mixed on whether PDF may also benefit body composition, bone mineralization, and neurodevelopment.15 Post-discharge formulas provide higher concentrations of energy, protein, vitamins, and minerals at a standard 22 kcal/oz. dilution than term infant formulas (standard 20 kcal/oz.), but less than those in preterm infant formulas and human milk fortified with HMF (standard 24&lt;mark&gt;kcal&lt;\/mark&gt;/oz.). Preterm infants receiving human milk may require additional nutrients from PDF as well. There is no optimal practice15; common methods include adding formula powder to pumped human milk, alternating moderately concentrated formula bottles with direct breastfeeding, or mostly direct breastfeeding with few highly concentrated formula \u201cbooster\u201d bottles. PDF prescribed at higher than 22 kcal/oz. and fortified human milk at any energy density require specialized mixing recipes. Referral to a community lactation consultant, Special Supplemental Food Program for Women, Infants, and Children (WIC), Early Intervention Program (EIP), and/or home-health nursing may be beneficial for assistance with feeding skills and weight checks. Additionally, the American Academy of Pediatrics16 and countries throughout the world17 recommend that preterm infants receive multidisciplinary follow up care with attention to nutritional and neurodevelopmental needs.","c-replace":["cal","CAL","Cal","FCAL","KAL","KCL","k cal"],"ab-name":"Spelling","a-name":"Possible Misspelling","g-rebookmarkname":"","i-wm":"kcal","d-description":"Possible spelling mistake found","f-bookmark":"BMSPELLING100267"},{"b-find":"kcal","e-paracontent":"Preterm infant formulas and HMFs are not available for home use due to their high nutrient concentrations designed to meet the needs of infants who take smaller feeding volumes.  Close to hospital discharge, infants requiring non-human milk feedings should be transitioned to \u201cpost-discharge\u201d formulas (PDF) or \u201ctransitional\u201d formulas for home use. Studies suggest that compared to term formula, preterm infants fed PDF demonstrate improved growth (weight, length, and head circumference).15 Evidence is mixed on whether PDF may also benefit body composition, bone mineralization, and neurodevelopment.15 Post-discharge formulas provide higher concentrations of energy, protein, vitamins, and minerals at a standard 22 kcal/oz. dilution than term infant formulas (standard 20 kcal/oz.), but less than those in preterm infant formulas and human milk fortified with HMF (standard 24 kcal/oz.). Preterm infants receiving human milk may require additional nutrients from PDF as well. There is no optimal practice15; common methods include adding formula powder to pumped human milk, alternating moderately concentrated formula bottles with direct breastfeeding, or mostly direct breastfeeding with few highly concentrated formula \u201cbooster\u201d bottles. PDF prescribed at higher than 22&lt;mark&gt;kcal&lt;\/mark&gt;/oz. and fortified human milk at any energy density require specialized mixing recipes. Referral to a community lactation consultant, Special Supplemental Food Program for Women, Infants, and Children (WIC), Early Intervention Program (EIP), and/or home-health nursing may be beneficial for assistance with feeding skills and weight checks. Additionally, the American Academy of Pediatrics16 and countries throughout the world17 recommend that preterm infants receive multidisciplinary follow up care with attention to nutritional and neurodevelopmental needs.","c-replace":["cal","CAL","Cal","FCAL","KAL","KCL","k cal"],"ab-name":"Spelling","a-name":"Possible Misspelling","g-rebookmarkname":"","i-wm":"kcal","d-description":"Possible spelling mistake found","f-bookmark":"BMSPELLING100268"},{"b-find":"PN","e-paracontent":"incomplete nutrient delivery during&lt;mark&gt;PN&lt;\/mark&gt;/enteral feeding advancement","c-replace":["In","On","An","PA","PC","PM","Pan","Pen","Pin","Pm","PR","PT","pH","Pun","NP","PD","PV","Pa","Pi","PJ","PNC","PNG","PNP","VPN","IPN","PNA","PNL","PNS","PW","Pt","APN","PNM","PX","RPN","VN","DPN","LPN","TPN","Zn","Pk","Jpn","PS","AN","BPN","CN","DN","EN","FN","GN","IN","JPN","KN","KPN","LN","Ln","MN","MPN","Mn","N","ON","P","PAN","PB","PBN","PCN","PE","PEN","PFN","PG","PGN","PH","PIN","PK","PL","PLN","PMN","PNB","PND","PNE","PNF","PNH","PNI","PNK","PNN","PNR","PNT","PNV","PNW","PO","PON","PP","PPN","PQ","PRN","PSN","PU","PUN","Pb","Pd","Pl","Po","Pr","Pu","RN","Rn","SN","Sn","TN","UN","UPN","En","Kn","Pf","Pg","Pj","Pp","Pwn","Tn","P N"],"ab-name":"Spelling","a-name":"Possible Misspelling","g-rebookmarkname":"","i-wm":"PN","d-description":"Possible spelling mistake found","f-bookmark":"BMSPELLING100415"},{"b-find":"PN","e-paracontent":"GI = gastrointestinal; NEC = necrotizing enterocolitis;&lt;mark&gt;PN&lt;\/mark&gt;= Parenteral Nutrition","c-replace":["In","On","An","PA","PC","PM","Pan","Pen","Pin","Pm","PR","PT","pH","Pun","NP","PD","PV","Pa","Pi","PJ","PNC","PNG","PNP","VPN","IPN","PNA","PNL","PNS","PW","Pt","APN","PNM","PX","RPN","VN","DPN","LPN","TPN","Zn","Pk","Jpn","PS","AN","BPN","CN","DN","EN","FN","GN","IN","JPN","KN","KPN","LN","Ln","MN","MPN","Mn","N","ON","P","PAN","PB","PBN","PCN","PE","PEN","PFN","PG","PGN","PH","PIN","PK","PL","PLN","PMN","PNB","PND","PNE","PNF","PNH","PNI","PNK","PNN","PNR","PNT","PNV","PNW","PO","PON","PP","PPN","PQ","PRN","PSN","PU","PUN","Pb","Pd","Pl","Po","Pr","Pu","RN","Rn","SN","Sn","TN","UN","UPN","En","Kn","Pf","Pg","Pj","Pp","Pwn","Tn","P N"],"ab-name":"Spelling","a-name":"Possible Misspelling","g-rebookmarkname":"","i-wm":"PN","d-description":"Possible spelling mistake found","f-bookmark":"BMSPELLING100422"},{"b-find":"PN","e-paracontent":"\u2022 Treatment includes NPO, IV antibiotics,&lt;mark&gt;PN&lt;\/mark&gt;, gradual re-introduction of feeds","c-replace":["In","On","An","PA","PC","PM","Pan","Pen","Pin","Pm","PR","PT","pH","Pun","NP","PD","PV","Pa","Pi","PJ","PNC","PNG","PNP","VPN","IPN","PNA","PNL","PNS","PW","Pt","APN","PNM","PX","RPN","VN","DPN","LPN","TPN","Zn","Pk","Jpn","PS","AN","BPN","CN","DN","EN","FN","GN","IN","JPN","KN","KPN","LN","Ln","MN","MPN","Mn","N","ON","P","PAN","PB","PBN","PCN","PE","PEN","PFN","PG","PGN","PH","PIN","PK","PL","PLN","PMN","PNB","PND","PNE","PNF","PNH","PNI","PNK","PNN","PNR","PNT","PNV","PNW","PO","PON","PP","PPN","PQ","PRN","PSN","PU","PUN","Pb","Pd","Pl","Po","Pr","Pu","RN","Rn","SN","Sn","TN","UN","UPN","En","Kn","Pf","Pg","Pj","Pp","Pwn","Tn","P N"],"ab-name":"Spelling","a-name":"Possible Misspelling","g-rebookmarkname":"","i-wm":"PN","d-description":"Possible spelling mistake found","f-bookmark":"BMSPELLING100436"},{"b-find":"PN","e-paracontent":"\u2022 May require fluid restriction and subsequent increase in energy density of feedings or even NPO and&lt;mark&gt;PN&lt;\/mark&gt; if hemodynamically unstable","c-replace":["In","On","An","PA","PC","PM","Pan","Pen","Pin","Pm","PR","PT","pH","Pun","NP","PD","PV","Pa","Pi","PJ","PNC","PNG","PNP","VPN","IPN","PNA","PNL","PNS","PW","Pt","APN","PNM","PX","RPN","VN","DPN","LPN","TPN","Zn","Pk","Jpn","PS","AN","BPN","CN","DN","EN","FN","GN","IN","JPN","KN","KPN","LN","Ln","MN","MPN","Mn","N","ON","P","PAN","PB","PBN","PCN","PE","PEN","PFN","PG","PGN","PH","PIN","PK","PL","PLN","PMN","PNB","PND","PNE","PNF","PNH","PNI","PNK","PNN","PNR","PNT","PNV","PNW","PO","PON","PP","PPN","PQ","PRN","PSN","PU","PUN","Pb","Pd","Pl","Po","Pr","Pu","RN","Rn","SN","Sn","TN","UN","UPN","En","Kn","Pf","Pg","Pj","Pp","Pwn","Tn","P N"],"ab-name":"Spelling","a-name":"Possible Misspelling","g-rebookmarkname":"","i-wm":"PN","d-description":"Possible spelling mistake found","f-bookmark":"BMSPELLING100464"},{"b-find":"PN","e-paracontent":"\u2022 Increased risk with immobility, medications that cause mineral excretion (diuretics, steroids), long term&lt;mark&gt;PN&lt;\/mark&gt; (due to limited calcium/phosphorus solubility of solution and inherent aluminum content) ","c-replace":["In","On","An","PA","PC","PM","Pan","Pen","Pin","Pm","PR","PT","pH","Pun","NP","PD","PV","Pa","Pi","PJ","PNC","PNG","PNP","VPN","IPN","PNA","PNL","PNS","PW","Pt","APN","PNM","PX","RPN","VN","DPN","LPN","TPN","Zn","Pk","Jpn","PS","AN","BPN","CN","DN","EN","FN","GN","IN","JPN","KN","KPN","LN","Ln","MN","MPN","Mn","N","ON","P","PAN","PB","PBN","PCN","PE","PEN","PFN","PG","PGN","PH","PIN","PK","PL","PLN","PMN","PNB","PND","PNE","PNF","PNH","PNI","PNK","PNN","PNR","PNT","PNV","PNW","PO","PON","PP","PPN","PQ","PRN","PSN","PU","PUN","Pb","Pd","Pl","Po","Pr","Pu","RN","Rn","SN","Sn","TN","UN","UPN","En","Kn","Pf","Pg","Pj","Pp","Pwn","Tn","P N"],"ab-name":"Spelling","a-name":"Possible Misspelling","g-rebookmarkname":"","i-wm":"PN","d-description":"Possible spelling mistake found","f-bookmark":"BMSPELLING100474"},{"b-find":"PRBCs","e-paracontent":"\u2022 Treatment involves&lt;mark&gt;PRBCs&lt;\/mark&gt;, iron supplementation, minimizing phlebotomy as able","c-replace":["Press","Price","Prices","Prius","PCs","PRC","Props","Pubs","Arcs","Probes","PRS","RBC","RCS","Prays","Pros","Orbs","Orcs","Preys","ABCs","Pres","RFCs","Prods","Proms","Pics","Precis","Preps","Pries","Prows","Profs","Prigs","BCS","BRICS","CRBC","DBCS","MBCS","PACS","PARCs","PBC","PBS","PCS","PQDCS","PRAS","RBS","RSCS","Pecs","Prams","Prats","Prick","Pricks","Pubes","Pubis","Précis"],"ab-name":"Spelling","a-name":"Possible Misspelling","g-rebookmarkname":"","i-wm":"PRBCs","d-description":"Possible spelling mistake found","f-bookmark":"BMSPELLING100481"},{"b-find":"PN","e-paracontent":"GI = gastrointestinal; NPO = nil per os; IV = intravenous;&lt;mark&gt;PN&lt;\/mark&gt; = parenteral nutrition; O2 = oxygen; EPO = erythropoietin; PRBC = packed red blood cell","c-replace":["In","On","An","PA","PC","PM","Pan","Pen","Pin","Pm","PR","PT","pH","Pun","NP","PD","PV","Pa","Pi","PJ","PNC","PNG","PNP","VPN","IPN","PNA","PNL","PNS","PW","Pt","APN","PNM","PX","RPN","VN","DPN","LPN","TPN","Zn","Pk","Jpn","PS","AN","BPN","CN","DN","EN","FN","GN","IN","JPN","KN","KPN","LN","Ln","MN","MPN","Mn","N","ON","P","PAN","PB","PBN","PCN","PE","PEN","PFN","PG","PGN","PH","PIN","PK","PL","PLN","PMN","PNB","PND","PNE","PNF","PNH","PNI","PNK","PNN","PNR","PNT","PNV","PNW","PO","PON","PP","PPN","PQ","PRN","PSN","PU","PUN","Pb","Pd","Pl","Po","Pr","Pu","RN","Rn","SN","Sn","TN","UN","UPN","En","Kn","Pf","Pg","Pj","Pp","Pwn","Tn","P N"],"ab-name":"Spelling","a-name":"Possible Misspelling","g-rebookmarkname":"","i-wm":"PN","d-description":"Possible spelling mistake found","f-bookmark":"BMSPELLING100494"},{"b-find":"PRBC","e-paracontent":"GI = gastrointestinal; NPO = nil per os; IV = intravenous; PN = parenteral nutrition; O2 = oxygen; EPO = erythropoietin;&lt;mark&gt;PRBC&lt;\/mark&gt; = packed red blood cell","c-replace":["PRC","RBC","CRBC","PBC","P RBC","PR BC"],"ab-name":"Spelling","a-name":"Possible Misspelling","g-rebookmarkname":"","i-wm":"PRBC","d-description":"Possible spelling mistake found","f-bookmark":"BMSPELLING100495"},{"b-find":"ELBW","e-paracontent":"\u2022 Extremely Low Birth Weight &lt;mark&gt;ELBW&lt;\/mark&gt;): &lt; 1,000 g ","c-replace":["Elbow","Elbe","Elba","Lbw"],"ab-name":"Spelling","a-name":"Possible Misspelling","g-rebookmarkname":"","i-wm":"ELBW","d-description":"Possible spelling mistake found","f-bookmark":"BMSPELLING100520"},{"b-find":"postmenstrual","e-paracontent":"HC = head circumference; PMA =&lt;mark&gt;postmenstrual&lt;\/mark&gt; age; FT = full term.","c-replace":["post menstrual"],"ab-name":"Spelling","a-name":"Possible Misspelling","g-rebookmarkname":"","i-wm":"postmenstrual","d-description":"Possible spelling mistake found","f-bookmark":"BMSPELLING100549"},{"b-find":"ELBW","e-paracontent":"\u2022 Initial physiologic diuresis occurs within the first week of life with 10-15% loss of body weight for preterm infants, can be up to 20% for&lt;mark&gt;ELBW&lt;\/mark&gt;","c-replace":["Elbow","Elbe","Elba","Lbw"],"ab-name":"Spelling","a-name":"Possible Misspelling","g-rebookmarkname":"","i-wm":"ELBW","d-description":"Possible spelling mistake found","f-bookmark":"BMSPELLING100556"},{"b-find":"GIR","e-paracontent":"\u2022 Initial&lt;mark&gt;GIR&lt;\/mark&gt; minimum to ensure adequate glucose supply is 4-6 mg/kg/min ","c-replace":["Air","Sir","Girl","Gig","GDR","GI","Gil","Mir","Gin","Dir","NIR","Gar","Girt","Gird","Giro","BIR","CIR","DIR","FIR","GAR","GBR","GCR","GFR","GIB","GIE","GIF","GIH","GIL","GIP","GIS","GMR","GPR","GR","GRI","GSR","GTR","Ger","Gr","IGIR","IR","Ir","KIR","LIR","RIR","UIR","VIR","WIR","Cir","Fir","Git","G IR","GI R"],"ab-name":"Spelling","a-name":"Possible Misspelling","g-rebookmarkname":"","i-wm":"GIR","d-description":"Possible spelling mistake found","f-bookmark":"BMSPELLING100568"},{"b-find":"GIR","e-paracontent":"\u2022 In infants &lt; 1000 g advance&lt;mark&gt;GIR&lt;\/mark&gt; by 1-1.5 mg/kg/min as tolerated","c-replace":["Air","Sir","Girl","Gig","GDR","GI","Gil","Mir","Gin","Dir","NIR","Gar","Girt","Gird","Giro","BIR","CIR","DIR","FIR","GAR","GBR","GCR","GFR","GIB","GIE","GIF","GIH","GIL","GIP","GIS","GMR","GPR","GR","GRI","GSR","GTR","Ger","Gr","IGIR","IR","Ir","KIR","LIR","RIR","UIR","VIR","WIR","Cir","Fir","Git","G IR","GI R"],"ab-name":"Spelling","a-name":"Possible Misspelling","g-rebookmarkname":"","i-wm":"GIR","d-description":"Possible spelling mistake found","f-bookmark":"BMSPELLING100570"},{"b-find":"GIR","e-paracontent":"\u2022 In infants &gt; 1000 g advance&lt;mark&gt;GIR&lt;\/mark&gt; by 1-2 mg/kg/min as tolerated","c-replace":["Air","Sir","Girl","Gig","GDR","GI","Gil","Mir","Gin","Dir","NIR","Gar","Girt","Gird","Giro","BIR","CIR","DIR","FIR","GAR","GBR","GCR","GFR","GIB","GIE","GIF","GIH","GIL","GIP","GIS","GMR","GPR","GR","GRI","GSR","GTR","Ger","Gr","IGIR","IR","Ir","KIR","LIR","RIR","UIR","VIR","WIR","Cir","Fir","Git","G IR","GI R"],"ab-name":"Spelling","a-name":"Possible Misspelling","g-rebookmarkname":"","i-wm":"GIR","d-description":"Possible spelling mistake found","f-bookmark":"BMSPELLING100572"},{"b-find":"GIR","e-paracontent":"\u2022 Limit to&lt;mark&gt;GIR&lt;\/mark&gt; to &lt; 14 mg/kg/min to prevent overfeeding, fatty liver, CO2 production","c-replace":["Air","Sir","Girl","Gig","GDR","GI","Gil","Mir","Gin","Dir","NIR","Gar","Girt","Gird","Giro","BIR","CIR","DIR","FIR","GAR","GBR","GCR","GFR","GIB","GIE","GIF","GIH","GIL","GIP","GIS","GMR","GPR","GR","GRI","GSR","GTR","Ger","Gr","IGIR","IR","Ir","KIR","LIR","RIR","UIR","VIR","WIR","Cir","Fir","Git","G IR","GI R"],"ab-name":"Spelling","a-name":"Possible Misspelling","g-rebookmarkname":"","i-wm":"GIR","d-description":"Possible spelling mistake found","f-bookmark":"BMSPELLING100575"},{"b-find":"BW","e-paracontent":"\u2022 In infants &lt;1500 g&lt;mark&gt;BW&lt;\/mark&gt;: begin at 2-3 g/kg/day, advance to goal of 3.5-4 g/kg/day ","c-replace":["By","Be","BC","BMW","Bow","BTW","BT","BWF","PW","BWI","BWR","Cw","MW","ABW","B","BA","BAW","BB","BBW","BD","BDW","BEW","BF","BFW","BGW","BIW","BJW","BKW","BLW","BM","BNW","BO","BOW","BP","BQW","BR","BS","BSW","BU","BUW","BVW","BWA","BWB","BWC","BWD","BWE","BWG","BWH","BWK","BWL","BWM","BWN","BWP","BWQ","BWS","BWT","BWU","BWV","BWY","BYW","Ba","Bi","Bk","Br","CW","EW","KW","NW","SW","TBW","TW","W","WB","WW","YW","Aw","Bf","Bl","Bu","Bx","kW","Kw","Lbw","Ow","B W","BJ","BV","DW","FW","HW","VW","Bc"],"ab-name":"Spelling","a-name":"Possible Misspelling","g-rebookmarkname":"","i-wm":"BW","d-description":"Possible spelling mistake found","f-bookmark":"BMSPELLING100580"},{"b-find":"BW","e-paracontent":"\u2022 In infants &gt;1500 g&lt;mark&gt;BW&lt;\/mark&gt;: begin at 2 g/kg/day, advance to goal of 3 g/kg/day","c-replace":["By","Be","BC","BMW","Bow","BTW","BT","BWF","PW","BWI","BWR","Cw","MW","ABW","B","BA","BAW","BB","BBW","BD","BDW","BEW","BF","BFW","BGW","BIW","BJW","BKW","BLW","BM","BNW","BO","BOW","BP","BQW","BR","BS","BSW","BU","BUW","BVW","BWA","BWB","BWC","BWD","BWE","BWG","BWH","BWK","BWL","BWM","BWN","BWP","BWQ","BWS","BWT","BWU","BWV","BWY","BYW","Ba","Bi","Bk","Br","CW","EW","KW","NW","SW","TBW","TW","W","WB","WW","YW","Aw","Bf","Bl","Bu","Bx","kW","Kw","Lbw","Ow","B W","BJ","BV","DW","FW","HW","VW","Bc"],"ab-name":"Spelling","a-name":"Possible Misspelling","g-rebookmarkname":"","i-wm":"BW","d-description":"Possible spelling mistake found","f-bookmark":"BMSPELLING100582"},{"b-find":"PN","e-paracontent":"\u2022 Soybean oil lipid or mixed oil emulsion if anticipated&lt;mark&gt;PN&lt;\/mark&gt; duration or limited EN exposure for &lt; 2-3 weeks","c-replace":["In","On","An","PA","PC","PM","Pan","Pen","Pin","Pm","PR","PT","pH","Pun","NP","PD","PV","Pa","Pi","PJ","PNC","PNG","PNP","VPN","IPN","PNA","PNL","PNS","PW","Pt","APN","PNM","PX","RPN","VN","DPN","LPN","TPN","Zn","Pk","Jpn","PS","AN","BPN","CN","DN","EN","FN","GN","IN","JPN","KN","KPN","LN","Ln","MN","MPN","Mn","N","ON","P","PAN","PB","PBN","PCN","PE","PEN","PFN","PG","PGN","PH","PIN","PK","PL","PLN","PMN","PNB","PND","PNE","PNF","PNH","PNI","PNK","PNN","PNR","PNT","PNV","PNW","PO","PON","PP","PPN","PQ","PRN","PSN","PU","PUN","Pb","Pd","Pl","Po","Pr","Pu","RN","Rn","SN","Sn","TN","UN","UPN","En","Kn","Pf","Pg","Pj","Pp","Pwn","Tn","P N"],"ab-name":"Spelling","a-name":"Possible Misspelling","g-rebookmarkname":"","i-wm":"PN","d-description":"Possible spelling mistake found","f-bookmark":"BMSPELLING100587"},{"b-find":"PN","e-paracontent":"\u2022 If anticipated&lt;mark&gt;PN&lt;\/mark&gt; duration or limited EN exposure is &gt; 2-3 weeks consider maintaining 1-2 g/kg/day soybean oil or a mixed lipid emulsion at 3 g/kg/day","c-replace":["In","On","An","PA","PC","PM","Pan","Pen","Pin","Pm","PR","PT","pH","Pun","NP","PD","PV","Pa","Pi","PJ","PNC","PNG","PNP","VPN","IPN","PNA","PNL","PNS","PW","Pt","APN","PNM","PX","RPN","VN","DPN","LPN","TPN","Zn","Pk","Jpn","PS","AN","BPN","CN","DN","EN","FN","GN","IN","JPN","KN","KPN","LN","Ln","MN","MPN","Mn","N","ON","P","PAN","PB","PBN","PCN","PE","PEN","PFN","PG","PGN","PH","PIN","PK","PL","PLN","PMN","PNB","PND","PNE","PNF","PNH","PNI","PNK","PNN","PNR","PNT","PNV","PNW","PO","PON","PP","PPN","PQ","PRN","PSN","PU","PUN","Pb","Pd","Pl","Po","Pr","Pu","RN","Rn","SN","Sn","TN","UN","UPN","En","Kn","Pf","Pg","Pj","Pp","Pwn","Tn","P N"],"ab-name":"Spelling","a-name":"Possible Misspelling","g-rebookmarkname":"","i-wm":"PN","d-description":"Possible spelling mistake found","f-bookmark":"BMSPELLING100590"},{"b-find":"IFALD","e-paracontent":"\u2022 For infants with established&lt;mark&gt;IFALD&lt;\/mark&gt;, consider switching to a fish oil lipid emulsion at 1 g/kg/day. Higher doses are under investigation. ","c-replace":["IF ALD","IFA LD"],"ab-name":"Spelling","a-name":"Possible Misspelling","g-rebookmarkname":"","i-wm":"IFALD","d-description":"Possible spelling mistake found","f-bookmark":"BMSPELLING100593"},{"b-find":"EFAD","e-paracontent":"\u2022&lt;mark&gt;EFAD&lt;\/mark&gt; may occur in &lt; 1 week without lipid source; provide minimum 0.5 g/kg/day soy oil emulsion to prevent deficiency","c-replace":["Fad","EFA","Egad","EAD","ESAD","EFA D"],"ab-name":"Spelling","a-name":"Possible Misspelling","g-rebookmarkname":"","i-wm":"EFAD","d-description":"Possible spelling mistake found","f-bookmark":"BMSPELLING100595"},{"b-find":"kcal","e-paracontent":"&lt; 1000 g:       100-115&lt;mark&gt;kcal&lt;\/mark&gt;/kg/day","c-replace":["cal","CAL","Cal","FCAL","KAL","KCL","k cal"],"ab-name":"Spelling","a-name":"Possible Misspelling","g-rebookmarkname":"","i-wm":"kcal","d-description":"Possible spelling mistake found","f-bookmark":"BMSPELLING100597"},{"b-find":"kcal","e-paracontent":"1000-1500 g: 90-110&lt;mark&gt;kcal&lt;\/mark&gt;/kg/day ","c-replace":["cal","CAL","Cal","FCAL","KAL","KCL","k cal"],"ab-name":"Spelling","a-name":"Possible Misspelling","g-rebookmarkname":"","i-wm":"kcal","d-description":"Possible spelling mistake found","f-bookmark":"BMSPELLING100599"},{"b-find":"kcal","e-paracontent":"1500-2000 g: 90-100&lt;mark&gt;kcal&lt;\/mark&gt;/kg/day ","c-replace":["cal","CAL","Cal","FCAL","KAL","KCL","k cal"],"ab-name":"Spelling","a-name":"Possible Misspelling","g-rebookmarkname":"","i-wm":"kcal","d-description":"Possible spelling mistake found","f-bookmark":"BMSPELLING100601"},{"b-find":"kcal","e-paracontent":"2000-2500 g: 90-105&lt;mark&gt;kcal&lt;\/mark&gt;/kg/day ","c-replace":["cal","CAL","Cal","FCAL","KAL","KCL","k cal"],"ab-name":"Spelling","a-name":"Possible Misspelling","g-rebookmarkname":"","i-wm":"kcal","d-description":"Possible spelling mistake found","f-bookmark":"BMSPELLING100603"},{"b-find":"Pre-term","e-paracontent":"Growing        &lt;mark&gt;Pre-term&lt;\/mark&gt;","c-replace":["Preterm"],"ab-name":"Spelling","a-name":"Possible Misspelling","g-rebookmarkname":"","i-wm":"Pre-term","d-description":"Possible spelling mistake found","f-bookmark":"BMSPELLING100608"},{"b-find":"mEq","e-paracontent":"Sodium &lt;mark&gt;mEq&lt;\/mark&gt;/kg/day)","c-replace":["me","men","met","Mel","Meg","med","seq","Mex","mew","AEQ","BEQ","CEQ","CMEQ","DEQ","GEQ","MDQ","ME","MEA","MEB","MEC","MED","MEF","MEG","MEL","MEN","MEP","MER","MES","MET","MTQ","Me","TEQ","meg","meh","mes","EQ"],"ab-name":"Spelling","a-name":"Possible Misspelling","g-rebookmarkname":"","i-wm":"mEq","d-description":"Possible spelling mistake found","f-bookmark":"BMSPELLING100611"},{"b-find":"mEq","e-paracontent":"Potassium &lt;mark&gt;mEq&lt;\/mark&gt;/kg/day)","c-replace":["me","men","met","Mel","Meg","med","seq","Mex","mew","AEQ","BEQ","CEQ","CMEQ","DEQ","GEQ","MDQ","ME","MEA","MEB","MEC","MED","MEF","MEG","MEL","MEN","MEP","MER","MES","MET","MTQ","Me","TEQ","meg","meh","mes","EQ"],"ab-name":"Spelling","a-name":"Possible Misspelling","g-rebookmarkname":"","i-wm":"mEq","d-description":"Possible spelling mistake found","f-bookmark":"BMSPELLING100614"},{"b-find":"mEq","e-paracontent":"Calcium &lt;mark&gt;mEq&lt;\/mark&gt;/kg/day","c-replace":["me","men","met","Mel","Meg","med","seq","Mex","mew","AEQ","BEQ","CEQ","CMEQ","DEQ","GEQ","MDQ","ME","MEA","MEB","MEC","MED","MEF","MEG","MEL","MEN","MEP","MER","MES","MET","MTQ","Me","TEQ","meg","meh","mes","EQ"],"ab-name":"Spelling","a-name":"Possible Misspelling","g-rebookmarkname":"","i-wm":"mEq","d-description":"Possible spelling mistake found","f-bookmark":"BMSPELLING100617"},{"b-find":"mEq","e-paracontent":"Magnesium &lt;mark&gt;mEq&lt;\/mark&gt;/kg/day)","c-replace":["me","men","met","Mel","Meg","med","seq","Mex","mew","AEQ","BEQ","CEQ","CMEQ","DEQ","GEQ","MDQ","ME","MEA","MEB","MEC","MED","MEF","MEG","MEL","MEN","MEP","MER","MES","MET","MTQ","Me","TEQ","meg","meh","mes","EQ"],"ab-name":"Spelling","a-name":"Possible Misspelling","g-rebookmarkname":"","i-wm":"mEq","d-description":"Possible spelling mistake found","f-bookmark":"BMSPELLING100622"},{"b-find":"mEq","e-paracontent":"Chloride &lt;mark&gt;mEq&lt;\/mark&gt;/kg/day)","c-replace":["me","men","met","Mel","Meg","med","seq","Mex","mew","AEQ","BEQ","CEQ","CMEQ","DEQ","GEQ","MDQ","ME","MEA","MEB","MEC","MED","MEF","MEG","MEL","MEN","MEP","MER","MES","MET","MTQ","Me","TEQ","meg","meh","mes","EQ"],"ab-name":"Spelling","a-name":"Possible Misspelling","g-rebookmarkname":"","i-wm":"mEq","d-description":"Possible spelling mistake found","f-bookmark":"BMSPELLING100625"},{"b-find":"mEq","e-paracontent":"Acetate &lt;mark&gt;mEq&lt;\/mark&gt;/kg/day)","c-replace":["me","men","met","Mel","Meg","med","seq","Mex","mew","AEQ","BEQ","CEQ","CMEQ","DEQ","GEQ","MDQ","ME","MEA","MEB","MEC","MED","MEF","MEG","MEL","MEN","MEP","MER","MES","MET","MTQ","Me","TEQ","meg","meh","mes","EQ"],"ab-name":"Spelling","a-name":"Possible Misspelling","g-rebookmarkname":"","i-wm":"mEq","d-description":"Possible spelling mistake found","f-bookmark":"BMSPELLING100628"},{"b-find":"mEq","e-paracontent":"\u2022 Sodium: infants with renal immaturity or high GI losses may need closer to 5-8&lt;mark&gt;mEq&lt;\/mark&gt;/kg","c-replace":["me","men","met","Mel","Meg","med","seq","Mex","mew","AEQ","BEQ","CEQ","CMEQ","DEQ","GEQ","MDQ","ME","MEA","MEB","MEC","MED","MEF","MEG","MEL","MEN","MEP","MER","MES","MET","MTQ","Me","TEQ","meg","meh","mes","EQ"],"ab-name":"Spelling","a-name":"Possible Misspelling","g-rebookmarkname":"","i-wm":"mEq","d-description":"Possible spelling mistake found","f-bookmark":"BMSPELLING100631"},{"b-find":"mEq","e-paracontent":"\u2022 Calcium: Ca/Phos ratio of 2.2-2.6&lt;mark&gt;mEq&lt;\/mark&gt; Ca: 1 mmol phos (minimum 1.6 mEq calcium:1 mMol phos) is ideal to promote bone mineralization","c-replace":["me","men","met","Mel","Meg","med","seq","Mex","mew","AEQ","BEQ","CEQ","CMEQ","DEQ","GEQ","MDQ","ME","MEA","MEB","MEC","MED","MEF","MEG","MEL","MEN","MEP","MER","MES","MET","MTQ","Me","TEQ","meg","meh","mes","EQ"],"ab-name":"Spelling","a-name":"Possible Misspelling","g-rebookmarkname":"","i-wm":"mEq","d-description":"Possible spelling mistake found","f-bookmark":"BMSPELLING100637"},{"b-find":"mEq","e-paracontent":"\u2022 Calcium: Ca/Phos ratio of 2.2-2.6 mEq Ca: 1 mmol phos (minimum 1.6&lt;mark&gt;mEq&lt;\/mark&gt; calcium:1 mMol phos) is ideal to promote bone mineralization","c-replace":["me","men","met","Mel","Meg","med","seq","Mex","mew","AEQ","BEQ","CEQ","CMEQ","DEQ","GEQ","MDQ","ME","MEA","MEB","MEC","MED","MEF","MEG","MEL","MEN","MEP","MER","MES","MET","MTQ","Me","TEQ","meg","meh","mes","EQ"],"ab-name":"Spelling","a-name":"Possible Misspelling","g-rebookmarkname":"","i-wm":"mEq","d-description":"Possible spelling mistake found","f-bookmark":"BMSPELLING100638"},{"b-find":"MVI","e-paracontent":"Pediatric&lt;mark&gt;MVI&lt;\/mark&gt;:","c-replace":["MVP","MRI","MV","Moi","MDI","MSI","MVC","MVD","MVA","MVR","MLI","AVI","BVI","CVI","DVI","IVI","M3I","MBI","MCI","MFI","MGI","MI","MMI","MOI","MPI","MVE","Mai","PVI","RVI","SVI","VI","VMI","Lvi","Mi","Vi","Xvi","M VI","MV I","MFi"],"ab-name":"Spelling","a-name":"Possible Misspelling","g-rebookmarkname":"","i-wm":"MVI","d-description":"Possible spelling mistake found","f-bookmark":"BMSPELLING100643"},{"b-find":"\u2022L","e-paracontent":"           &lt;mark&gt;\u2022L&lt;\/mark&gt;- Cysteine: The addition of cysteine is recommended for infants &lt; 1000 g. It can also be utilized for patients &gt; 1000g to optimize calcium and phosphorus provision, although solubility varies with the type of amino acid solution being utilized. Recommended dosing is 40 mg/g amino acid/day.","c-replace":["SL","DL","ml","cl","AL","Al","CL","Cl","FL","HL","IL","L","LL","ML","NL","PL","Pl","TL","Tl","UL","XL","YL","bl","fl","kl","l","ll","pl"],"ab-name":"Spelling","a-name":"Possible Misspelling","g-rebookmarkname":"","i-wm":"\u2022L","d-description":"Possible spelling mistake found","f-bookmark":"BMSPELLING100656"},{"b-find":"ELBW","e-paracontent":"ECF = extracellular fluid;&lt;mark&gt;ELBW&lt;\/mark&gt; = extremely low birth weight; PDA = patent ductus arteriosus; BSA = body surface area; GIR = glucose infusion rate; CO2 = carbon dioxide; BW = birth weight; PN = parenteral nutrition; EN = enteral nutrition; IFLAD = intestinal failure associated liver disease; PNAC = parenteral nutrition associated cholestasis; EFAD = essential fatty acid deficiency; BUN = blood urea nitrogen; AST = aspartate transaminase; ALT = alanine transaminase; Ca = calcium; Phos = phosphorus; MVI = multivitamin; AMA = American Medical Association; ASPEN = American Society for Parenteral and Enteral Nutrition","c-replace":["Elbow","Elbe","Elba","Lbw"],"ab-name":"Spelling","a-name":"Possible Misspelling","g-rebookmarkname":"","i-wm":"ELBW","d-description":"Possible spelling mistake found","f-bookmark":"BMSPELLING100683"},{"b-find":"GIR","e-paracontent":"ECF = extracellular fluid; ELBW = extremely low birth weight; PDA = patent ductus arteriosus; BSA = body surface area;&lt;mark&gt;GIR&lt;\/mark&gt; = glucose infusion rate; CO2 = carbon dioxide; BW = birth weight; PN = parenteral nutrition; EN = enteral nutrition; IFLAD = intestinal failure associated liver disease; PNAC = parenteral nutrition associated cholestasis; EFAD = essential fatty acid deficiency; BUN = blood urea nitrogen; AST = aspartate transaminase; ALT = alanine transaminase; Ca = calcium; Phos = phosphorus; MVI = multivitamin; AMA = American Medical Association; ASPEN = American Society for Parenteral and Enteral Nutrition","c-replace":["Air","Sir","Girl","Gig","GDR","GI","Gil","Mir","Gin","Dir","NIR","Gar","Girt","Gird","Giro","BIR","CIR","DIR","FIR","GAR","GBR","GCR","GFR","GIB","GIE","GIF","GIH","GIL","GIP","GIS","GMR","GPR","GR","GRI","GSR","GTR","Ger","Gr","IGIR","IR","Ir","KIR","LIR","RIR","UIR","VIR","WIR","Cir","Fir","Git","G IR","GI R"],"ab-name":"Spelling","a-name":"Possible Misspelling","g-rebookmarkname":"","i-wm":"GIR","d-description":"Possible spelling mistake found","f-bookmark":"BMSPELLING100684"},{"b-find":"BW","e-paracontent":"ECF = extracellular fluid; ELBW = extremely low birth weight; PDA = patent ductus arteriosus; BSA = body surface area; GIR = glucose infusion rate; CO2 = carbon dioxide;&lt;mark&gt;BW&lt;\/mark&gt; = birth weight; PN = parenteral nutrition; EN = enteral nutrition; IFLAD = intestinal failure associated liver disease; PNAC = parenteral nutrition associated cholestasis; EFAD = essential fatty acid deficiency; BUN = blood urea nitrogen; AST = aspartate transaminase; ALT = alanine transaminase; Ca = calcium; Phos = phosphorus; MVI = multivitamin; AMA = American Medical Association; ASPEN = American Society for Parenteral and Enteral Nutrition","c-replace":["By","Be","BC","BMW","Bow","BTW","BT","BWF","PW","BWI","BWR","Cw","MW","ABW","B","BA","BAW","BB","BBW","BD","BDW","BEW","BF","BFW","BGW","BIW","BJW","BKW","BLW","BM","BNW","BO","BOW","BP","BQW","BR","BS","BSW","BU","BUW","BVW","BWA","BWB","BWC","BWD","BWE","BWG","BWH","BWK","BWL","BWM","BWN","BWP","BWQ","BWS","BWT","BWU","BWV","BWY","BYW","Ba","Bi","Bk","Br","CW","EW","KW","NW","SW","TBW","TW","W","WB","WW","YW","Aw","Bf","Bl","Bu","Bx","kW","Kw","Lbw","Ow","B W","BJ","BV","DW","FW","HW","VW","Bc"],"ab-name":"Spelling","a-name":"Possible Misspelling","g-rebookmarkname":"","i-wm":"BW","d-description":"Possible spelling mistake found","f-bookmark":"BMSPELLING100685"},{"b-find":"PN","e-paracontent":"ECF = extracellular fluid; ELBW = extremely low birth weight; PDA = patent ductus arteriosus; BSA = body surface area; GIR = glucose infusion rate; CO2 = carbon dioxide; BW = birth weight;&lt;mark&gt;PN&lt;\/mark&gt; = parenteral nutrition; EN = enteral nutrition; IFLAD = intestinal failure associated liver disease; PNAC = parenteral nutrition associated cholestasis; EFAD = essential fatty acid deficiency; BUN = blood urea nitrogen; AST = aspartate transaminase; ALT = alanine transaminase; Ca = calcium; Phos = phosphorus; MVI = multivitamin; AMA = American Medical Association; ASPEN = American Society for Parenteral and Enteral Nutrition","c-replace":["In","On","An","PA","PC","PM","Pan","Pen","Pin","Pm","PR","PT","pH","Pun","NP","PD","PV","Pa","Pi","PJ","PNC","PNG","PNP","VPN","IPN","PNA","PNL","PNS","PW","Pt","APN","PNM","PX","RPN","VN","DPN","LPN","TPN","Zn","Pk","Jpn","PS","AN","BPN","CN","DN","EN","FN","GN","IN","JPN","KN","KPN","LN","Ln","MN","MPN","Mn","N","ON","P","PAN","PB","PBN","PCN","PE","PEN","PFN","PG","PGN","PH","PIN","PK","PL","PLN","PMN","PNB","PND","PNE","PNF","PNH","PNI","PNK","PNN","PNR","PNT","PNV","PNW","PO","PON","PP","PPN","PQ","PRN","PSN","PU","PUN","Pb","Pd","Pl","Po","Pr","Pu","RN","Rn","SN","Sn","TN","UN","UPN","En","Kn","Pf","Pg","Pj","Pp","Pwn","Tn","P N"],"ab-name":"Spelling","a-name":"Possible Misspelling","g-rebookmarkname":"","i-wm":"PN","d-description":"Possible spelling mistake found","f-bookmark":"BMSPELLING100686"},{"b-find":"IFLAD","e-paracontent":"ECF = extracellular fluid; ELBW = extremely low birth weight; PDA = patent ductus arteriosus; BSA = body surface area; GIR = glucose infusion rate; CO2 = carbon dioxide; BW = birth weight; PN = parenteral nutrition; EN = enteral nutrition;&lt;mark&gt;IFLAD&lt;\/mark&gt; = intestinal failure associated liver disease; PNAC = parenteral nutrition associated cholestasis; EFAD = essential fatty acid deficiency; BUN = blood urea nitrogen; AST = aspartate transaminase; ALT = alanine transaminase; Ca = calcium; Phos = phosphorus; MVI = multivitamin; AMA = American Medical Association; ASPEN = American Society for Parenteral and Enteral Nutrition","c-replace":["IFLA","IFL AD","IFLA D"],"ab-name":"Spelling","a-name":"Possible Misspelling","g-rebookmarkname":"","i-wm":"IFLAD","d-description":"Possible spelling mistake found","f-bookmark":"BMSPELLING100687"},{"b-find":"PNAC","e-paracontent":"ECF = extracellular fluid; ELBW = extremely low birth weight; PDA = patent ductus arteriosus; BSA = body surface area; GIR = glucose infusion rate; CO2 = carbon dioxide; BW = birth weight; PN = parenteral nutrition; EN = enteral nutrition; IFLAD = intestinal failure associated liver disease;&lt;mark&gt;PNAC&lt;\/mark&gt; = parenteral nutrition associated cholestasis; EFAD = essential fatty acid deficiency; BUN = blood urea nitrogen; AST = aspartate transaminase; ALT = alanine transaminase; Ca = calcium; Phos = phosphorus; MVI = multivitamin; AMA = American Medical Association; ASPEN = American Society for Parenteral and Enteral Nutrition","c-replace":["PAC","NAC","PNC","PNA","CNAC","ENAC","FNAC","INAC","PNEC","UNAC","P NAC","PNA C"],"ab-name":"Spelling","a-name":"Possible Misspelling","g-rebookmarkname":"","i-wm":"PNAC","d-description":"Possible spelling mistake found","f-bookmark":"BMSPELLING100688"},{"b-find":"EFAD","e-paracontent":"ECF = extracellular fluid; ELBW = extremely low birth weight; PDA = patent ductus arteriosus; BSA = body surface area; GIR = glucose infusion rate; CO2 = carbon dioxide; BW = birth weight; PN = parenteral nutrition; EN = enteral nutrition; IFLAD = intestinal failure associated liver disease; PNAC = parenteral nutrition associated cholestasis;&lt;mark&gt;EFAD&lt;\/mark&gt; = essential fatty acid deficiency; BUN = blood urea nitrogen; AST = aspartate transaminase; ALT = alanine transaminase; Ca = calcium; Phos = phosphorus; MVI = multivitamin; AMA = American Medical Association; ASPEN = American Society for Parenteral and Enteral Nutrition","c-replace":["Fad","EFA","Egad","EAD","ESAD","EFA D"],"ab-name":"Spelling","a-name":"Possible Misspelling","g-rebookmarkname":"","i-wm":"EFAD","d-description":"Possible spelling mistake found","f-bookmark":"BMSPELLING100689"},{"b-find":"MVI","e-paracontent":"ECF = extracellular fluid; ELBW = extremely low birth weight; PDA = patent ductus arteriosus; BSA = body surface area; GIR = glucose infusion rate; CO2 = carbon dioxide; BW = birth weight; PN = parenteral nutrition; EN = enteral nutrition; IFLAD = intestinal failure associated liver disease; PNAC = parenteral nutrition associated cholestasis; EFAD = essential fatty acid deficiency; BUN = blood urea nitrogen; AST = aspartate transaminase; ALT = alanine transaminase; Ca = calcium; Phos = phosphorus;&lt;mark&gt;MVI&lt;\/mark&gt; = multivitamin; AMA = American Medical Association; ASPEN = American Society for Parenteral and Enteral Nutrition","c-replace":["MVP","MRI","MV","Moi","MDI","MSI","MVC","MVD","MVA","MVR","MLI","AVI","BVI","CVI","DVI","IVI","M3I","MBI","MCI","MFI","MGI","MI","MMI","MOI","MPI","MVE","Mai","PVI","RVI","SVI","VI","VMI","Lvi","Mi","Vi","Xvi","M VI","MV I","MFi"],"ab-name":"Spelling","a-name":"Possible Misspelling","g-rebookmarkname":"","i-wm":"MVI","d-description":"Possible spelling mistake found","f-bookmark":"BMSPELLING100690"},{"b-find":"orogastric","e-paracontent":"Nasogastric&lt;mark&gt;orogastric&lt;\/mark&gt; tube feeding","c-replace":["gastric","orgasmic","orgiastic"],"ab-name":"Spelling","a-name":"Possible Misspelling","g-rebookmarkname":"","i-wm":"orogastric","d-description":"Possible spelling mistake found","f-bookmark":"BMSPELLING100693"},{"b-find":"NIPPV","e-paracontent":"Infants orally intubated or on&lt;mark&gt;NIPPV&lt;\/mark&gt;/CPAP/HFNC","c-replace":["Nippy","NI PPV","NIP PV"],"ab-name":"Spelling","a-name":"Possible Misspelling","g-rebookmarkname":"","i-wm":"NIPPV","d-description":"Possible spelling mistake found","f-bookmark":"BMSPELLING100698"},{"b-find":"HFNC","e-paracontent":"Infants orally intubated or on NIPPV/CPAP&lt;mark&gt;HFNC&lt;\/mark&gt;","c-replace":["HFC","FNC","HGNC","H FNC","HF NC"],"ab-name":"Spelling","a-name":"Possible Misspelling","g-rebookmarkname":"","i-wm":"HFNC","d-description":"Possible spelling mistake found","f-bookmark":"BMSPELLING100699"},{"b-find":"NIPPV","e-paracontent":"GA = gestational age;&lt;mark&gt;NIPPV&lt;\/mark&gt; = non-invasive positive pressure ventilation; CPAP= continuous positive airway pressure; HFNC = high flow nasal cannula; GER = gastroesophageal reflux; BPD = bronchopulmonary dysplasia.  ","c-replace":["Nippy","NI PPV","NIP PV"],"ab-name":"Spelling","a-name":"Possible Misspelling","g-rebookmarkname":"","i-wm":"NIPPV","d-description":"Possible spelling mistake found","f-bookmark":"BMSPELLING100716"},{"b-find":"HFNC","e-paracontent":"GA = gestational age; NIPPV = non-invasive positive pressure ventilation; CPAP= continuous positive airway pressure;&lt;mark&gt;HFNC&lt;\/mark&gt; = high flow nasal cannula; GER = gastroesophageal reflux; BPD = bronchopulmonary dysplasia.  ","c-replace":["HFC","FNC","HGNC","H FNC","HF NC"],"ab-name":"Spelling","a-name":"Possible Misspelling","g-rebookmarkname":"","i-wm":"HFNC","d-description":"Possible spelling mistake found","f-bookmark":"BMSPELLING100717"},{"b-find":"\u2022Initiate","e-paracontent":"&lt;mark&gt;\u2022Initiate&lt;\/mark&gt; at and advance by 10-50 mL/kg/day based on weight, gestational age, and clinical status","c-replace":["initiate"],"ab-name":"Spelling","a-name":"Possible Misspelling","g-rebookmarkname":"","i-wm":"\u2022Initiate","d-description":"Possible spelling mistake found","f-bookmark":"BMSPELLING100721"},{"b-find":"\u2022Increase","e-paracontent":"&lt;mark&gt;\u2022Increase&lt;\/mark&gt; in abdominal distention/girth","c-replace":["increase"],"ab-name":"Spelling","a-name":"Possible Misspelling","g-rebookmarkname":"","i-wm":"\u2022&lt;span style=\"padding-left:68px;\"&gt;&lt;\/span&gt;Increase","d-description":"Possible spelling mistake found","f-bookmark":"BMSPELLING100729"},{"b-find":"\u2022Vomiting","e-paracontent":"&lt;mark&gt;\u2022Vomiting&lt;\/mark&gt;","c-replace":["vomiting"],"ab-name":"Spelling","a-name":"Possible Misspelling","g-rebookmarkname":"","i-wm":"\u2022&lt;span style=\"padding-left:68px;\"&gt;&lt;\/span&gt;Vomiting","d-description":"Possible spelling mistake found","f-bookmark":"BMSPELLING100730"},{"b-find":"\u2022Bilious","e-paracontent":"&lt;mark&gt;\u2022Bilious&lt;\/mark&gt; emesis","c-replace":["bilious"],"ab-name":"Spelling","a-name":"Possible Misspelling","g-rebookmarkname":"","i-wm":"\u2022&lt;span style=\"padding-left:68px;\"&gt;&lt;\/span&gt;Bilious","d-description":"Possible spelling mistake found","f-bookmark":"BMSPELLING100731"},{"b-find":"\u2022Heme","e-paracontent":"&lt;mark&gt;\u2022Heme&lt;\/mark&gt; positive/frank blood in stools","c-replace":["theme","heme"],"ab-name":"Spelling","a-name":"Possible Misspelling","g-rebookmarkname":"","i-wm":"\u2022&lt;span style=\"padding-left:68px;\"&gt;&lt;\/span&gt;Heme","d-description":"Possible spelling mistake found","f-bookmark":"BMSPELLING100732"},{"b-find":"\u2022Reducing","e-paracontent":"&lt;mark&gt;\u2022Reducing&lt;\/mark&gt; substances &gt; 0.5%","c-replace":["reducing"],"ab-name":"Spelling","a-name":"Possible Misspelling","g-rebookmarkname":"","i-wm":"\u2022&lt;span style=\"padding-left:68px;\"&gt;&lt;\/span&gt;Reducing","d-description":"Possible spelling mistake found","f-bookmark":"BMSPELLING100733"},{"b-find":"\u2022Increase","e-paracontent":"&lt;mark&gt;\u2022Increase&lt;\/mark&gt; in apnea/bradycardia with feeds","c-replace":["increase"],"ab-name":"Spelling","a-name":"Possible Misspelling","g-rebookmarkname":"","i-wm":"\u2022&lt;span style=\"padding-left:68px;\"&gt;&lt;\/span&gt;Increase","d-description":"Possible spelling mistake found","f-bookmark":"BMSPELLING100735"},{"b-find":"kcal","e-paracontent":"\u2022110\u2013130&lt;mark&gt;kcal&lt;\/mark&gt;/kg/day","c-replace":["cal","CAL","Cal","FCAL","KAL","KCL","k cal"],"ab-name":"Spelling","a-name":"Possible Misspelling","g-rebookmarkname":"","i-wm":"kcal","d-description":"Possible spelling mistake found","f-bookmark":"BMSPELLING100736"},{"b-find":"\u2022Some","e-paracontent":"&lt;mark&gt;\u2022Some&lt;\/mark&gt; infants may have increased needs up to 150 kcal/kg/day (BPD, SGA)","c-replace":["some"],"ab-name":"Spelling","a-name":"Possible Misspelling","g-rebookmarkname":"","i-wm":"\u2022&lt;span style=\"padding-left:68px;\"&gt;&lt;\/span&gt;Some","d-description":"Possible spelling mistake found","f-bookmark":"BMSPELLING100741"},{"b-find":"kcal","e-paracontent":"\u2022Some infants may have increased needs up to 150&lt;mark&gt;kcal&lt;\/mark&gt;/kg/day (BPD, SGA)","c-replace":["cal","CAL","Cal","FCAL","KAL","KCL","k cal"],"ab-name":"Spelling","a-name":"Possible Misspelling","g-rebookmarkname":"","i-wm":"kcal","d-description":"Possible spelling mistake found","f-bookmark":"BMSPELLING100742"},{"b-find":"\u2022Protein","e-paracontent":"&lt;mark&gt;\u2022Protein&lt;\/mark&gt;:8\u201312% calories","c-replace":["protein"],"ab-name":"Spelling","a-name":"Possible Misspelling","g-rebookmarkname":"","i-wm":"\u2022&lt;span style=\"padding-left:68px;\"&gt;&lt;\/span&gt;Protein","d-description":"Possible spelling mistake found","f-bookmark":"BMSPELLING100743"},{"b-find":"\u2022Carbohydrate","e-paracontent":"&lt;mark&gt;\u2022Carbohydrate&lt;\/mark&gt;:40\u201355% calories","c-replace":["carbohydrate"],"ab-name":"Spelling","a-name":"Possible Misspelling","g-rebookmarkname":"","i-wm":"\u2022&lt;span style=\"padding-left:68px;\"&gt;&lt;\/span&gt;Carbohydrate","d-description":"Possible spelling mistake found","f-bookmark":"BMSPELLING100744"},{"b-find":"\u2022Fat","e-paracontent":"&lt;mark&gt;\u2022Fat&lt;\/mark&gt;:35\u201350% calories ","c-replace":["fat","AFAT","FAT","PFAT"],"ab-name":"Spelling","a-name":"Possible Misspelling","g-rebookmarkname":"","i-wm":"\u2022&lt;span style=\"padding-left:68px;\"&gt;&lt;\/span&gt;Fat","d-description":"Possible spelling mistake found","f-bookmark":"BMSPELLING100746"},{"b-find":"\u2022Infants","e-paracontent":"&lt;mark&gt;\u2022Infants&lt;\/mark&gt; receiving unfortified human milk or consuming &lt; 32 ounces/day of infant","c-replace":["infants"],"ab-name":"Spelling","a-name":"Possible Misspelling","g-rebookmarkname":"","i-wm":"\u2022&lt;span style=\"padding-left:68px;\"&gt;&lt;\/span&gt;Infants","d-description":"Possible spelling mistake found","f-bookmark":"BMSPELLING100747"},{"b-find":"\u2022Infants","e-paracontent":"&lt;mark&gt;\u2022Infants&lt;\/mark&gt; receiving human milk with added HMF may not require multivitamin","c-replace":["infants"],"ab-name":"Spelling","a-name":"Possible Misspelling","g-rebookmarkname":"","i-wm":"\u2022&lt;span style=\"padding-left:68px;\"&gt;&lt;\/span&gt;Infants","d-description":"Possible spelling mistake found","f-bookmark":"BMSPELLING100752"},{"b-find":"HMF","e-paracontent":"\u2022Infants receiving human milk with added&lt;mark&gt;HMF&lt;\/mark&gt; may not require multivitamin","c-replace":["HF","IMF","MF","CMF","HMC","HMI","HMO","SMF","Emf","HMS","AMF","BMF","DMF","EMF","GMF","HDF","HEF","HIF","HM","HMD","HMP","HMV","HNF","HSF","HTF","HUF","Hf","JMF","KMF","NMF","PMF","QMF","RMF","UMF","WMF","Hmm","H MF","HM F"],"ab-name":"Spelling","a-name":"Possible Misspelling","g-rebookmarkname":"","i-wm":"HMF","d-description":"Possible spelling mistake found","f-bookmark":"BMSPELLING100753"},{"b-find":"\u2022Infants","e-paracontent":"&lt;mark&gt;\u2022Infants&lt;\/mark&gt; receiving only human milk or human milk with added PDF do require","c-replace":["infants"],"ab-name":"Spelling","a-name":"Possible Misspelling","g-rebookmarkname":"","i-wm":"\u2022&lt;span style=\"padding-left:68px;\"&gt;&lt;\/span&gt;Infants","d-description":"Possible spelling mistake found","f-bookmark":"BMSPELLING100758"},{"b-find":"\u2022Preterm","e-paracontent":"&lt;mark&gt;\u2022Preterm&lt;\/mark&gt; infants are born with low stores and are at risk for anemia ","c-replace":["preterm"],"ab-name":"Spelling","a-name":"Possible Misspelling","g-rebookmarkname":"","i-wm":"\u2022&lt;span style=\"padding-left:68px;\"&gt;&lt;\/span&gt;Preterm","d-description":"Possible spelling mistake found","f-bookmark":"BMSPELLING100764"},{"b-find":"\u2022Initiate","e-paracontent":"&lt;mark&gt;\u2022Initiate&lt;\/mark&gt; iron supplementation by 4\u20136 weeks of age","c-replace":["initiate"],"ab-name":"Spelling","a-name":"Possible Misspelling","g-rebookmarkname":"","i-wm":"\u2022&lt;span style=\"padding-left:68px;\"&gt;&lt;\/span&gt;Initiate","d-description":"Possible spelling mistake found","f-bookmark":"BMSPELLING100765"},{"b-find":"\u2022Infant","e-paracontent":"&lt;mark&gt;\u2022Infant&lt;\/mark&gt; should generally be at full feeds (150 ml/kg/day at 24 kcal/oz.) prior to start","c-replace":["infant"],"ab-name":"Spelling","a-name":"Possible Misspelling","g-rebookmarkname":"","i-wm":"\u2022&lt;span style=\"padding-left:68px;\"&gt;&lt;\/span&gt;Infant","d-description":"Possible spelling mistake found","f-bookmark":"BMSPELLING100766"},{"b-find":"kcal","e-paracontent":"\u2022Infant should generally be at full feeds (150 ml/kg/day at 24&lt;mark&gt;kcal&lt;\/mark&gt;/oz.) prior to start","c-replace":["cal","CAL","Cal","FCAL","KAL","KCL","k cal"],"ab-name":"Spelling","a-name":"Possible Misspelling","g-rebookmarkname":"","i-wm":"kcal","d-description":"Possible spelling mistake found","f-bookmark":"BMSPELLING100767"},{"b-find":"HMF","e-paracontent":"BPD = bronchopulmonary dysplasia, SGA= small for gestational age; IU = international units;&lt;mark&gt;HMF&lt;\/mark&gt; = human milk fortifier; PDF = post-discharge formula","c-replace":["HF","IMF","MF","CMF","HMC","HMI","HMO","SMF","Emf","HMS","AMF","BMF","DMF","EMF","GMF","HDF","HEF","HIF","HM","HMD","HMP","HMV","HNF","HSF","HTF","HUF","Hf","JMF","KMF","NMF","PMF","QMF","RMF","UMF","WMF","Hmm","H MF","HM F"],"ab-name":"Spelling","a-name":"Possible Misspelling","g-rebookmarkname":"","i-wm":"HMF","d-description":"Possible spelling mistake found","f-bookmark":"BMSPELLING100776"},{"b-find":"NGT","e-paracontent":"\u2022 Fat in human milk may adhere to the&lt;mark&gt;NGT&lt;\/mark&gt;/OGT tubing, which reduces available calories and fats ","c-replace":["Not","Net","Nut","NGC","Sgt","Nat","NWT","Nit","Gt","AGT","BGT","CGT","DGT","EGT","GNT","GT","HGT","LGT","NBT","NDT","NFT","NG","NGA","NGE","NGN","NGS","NMT","NRT","NST","NT","NUT","NVT","PGT","SGT","UGT","Hgt","N GT","NG T","NGO"],"ab-name":"Spelling","a-name":"Possible Misspelling","g-rebookmarkname":"","i-wm":"NGT","d-description":"Possible spelling mistake found","f-bookmark":"BMSPELLING100785"},{"b-find":"HMF","e-paracontent":"Human Milk Fortifiers &lt;mark&gt;HMF&lt;\/mark&gt;) ","c-replace":["HF","IMF","MF","CMF","HMC","HMI","HMO","SMF","Emf","HMS","AMF","BMF","DMF","EMF","GMF","HDF","HEF","HIF","HM","HMD","HMP","HMV","HNF","HSF","HTF","HUF","Hf","JMF","KMF","NMF","PMF","QMF","RMF","UMF","WMF","Hmm","H MF","HM F"],"ab-name":"Spelling","a-name":"Possible Misspelling","g-rebookmarkname":"","i-wm":"HMF","d-description":"Possible spelling mistake found","f-bookmark":"BMSPELLING100792"},{"b-find":"kcal","e-paracontent":"\u2022 Bovine-based fortifiers used in standardized recipes for 22 and 24&lt;mark&gt;kcal&lt;\/mark&gt;/oz.","c-replace":["cal","CAL","Cal","FCAL","KAL","KCL","k cal"],"ab-name":"Spelling","a-name":"Possible Misspelling","g-rebookmarkname":"","i-wm":"kcal","d-description":"Possible spelling mistake found","f-bookmark":"BMSPELLING100811"},{"b-find":"kcal","e-paracontent":"\u2022 Human milk-based fortifiers used in standardized recipes for 24, 26, 28, 30&lt;mark&gt;kcal&lt;\/mark&gt;/oz. ","c-replace":["cal","CAL","Cal","FCAL","KAL","KCL","k cal"],"ab-name":"Spelling","a-name":"Possible Misspelling","g-rebookmarkname":"","i-wm":"kcal","d-description":"Possible spelling mistake found","f-bookmark":"BMSPELLING100814"},{"b-find":"kcal","e-paracontent":"\u2022 Available in 20, 24, 24 high protein and 30&lt;mark&gt;kcal&lt;\/mark&gt;/oz. RTF; can be mixed together to make additional energy densities","c-replace":["cal","CAL","Cal","FCAL","KAL","KCL","k cal"],"ab-name":"Spelling","a-name":"Possible Misspelling","g-rebookmarkname":"","i-wm":"kcal","d-description":"Possible spelling mistake found","f-bookmark":"BMSPELLING100821"},{"b-find":"kcal","e-paracontent":"\u2022 Standard energy density is intermediate between preterm and term formulas at 22&lt;mark&gt;kcal&lt;\/mark&gt;/oz; powder may be mixed &gt; 22 kcal/oz. for infants with higher nutrient needs","c-replace":["cal","CAL","Cal","FCAL","KAL","KCL","k cal"],"ab-name":"Spelling","a-name":"Possible Misspelling","g-rebookmarkname":"","i-wm":"kcal","d-description":"Possible spelling mistake found","f-bookmark":"BMSPELLING100836"},{"b-find":"kcal","e-paracontent":"\u2022 Standard energy density is intermediate between preterm and term formulas at 22 kcal/oz; powder may be mixed &gt; 22&lt;mark&gt;kcal&lt;\/mark&gt;/oz. for infants with higher nutrient needs","c-replace":["cal","CAL","Cal","FCAL","KAL","KCL","k cal"],"ab-name":"Spelling","a-name":"Possible Misspelling","g-rebookmarkname":"","i-wm":"kcal","d-description":"Possible spelling mistake found","f-bookmark":"BMSPELLING100837"},{"b-find":"kcal","e-paracontent":"\u2022 Additional vitamin D supplementation required for intake &lt; 770 mL/day at 22&lt;mark&gt;kcal&lt;\/mark&gt;/oz.","c-replace":["cal","CAL","Cal","FCAL","KAL","KCL","k cal"],"ab-name":"Spelling","a-name":"Possible Misspelling","g-rebookmarkname":"","i-wm":"kcal","d-description":"Possible spelling mistake found","f-bookmark":"BMSPELLING100842"},{"b-find":"phytates","e-paracontent":"\u2022 Lower bioavailability of calcium and phosphorus due to soy&lt;mark&gt;phytates&lt;\/mark&gt; and aluminum may have adverse effects on bone mineralization ","c-replace":["fates","fixates","folates"],"ab-name":"Spelling","a-name":"Possible Misspelling","g-rebookmarkname":"","i-wm":"phytates","d-description":"Possible spelling mistake found","f-bookmark":"BMSPELLING100856"},{"b-find":"suboptimal","e-paracontent":"\u2022 Not recommended long term for preterm infants due to&lt;mark&gt;suboptimal&lt;\/mark&gt; nutrient composition; If medically indicated may need to concentrate or provide additional protein and/or micronutrient supplementation","c-replace":["sub optimal"],"ab-name":"Spelling","a-name":"Possible Misspelling","g-rebookmarkname":"","i-wm":"suboptimal","d-description":"Possible spelling mistake found","f-bookmark":"BMSPELLING100861"},{"b-find":"Modulars","e-paracontent":"&lt;mark&gt;Modulars&lt;\/mark&gt; (See Chapter 16: Enteral Nutrition)","c-replace":["Modular","Modular s"],"ab-name":"Spelling","a-name":"Possible Misspelling","g-rebookmarkname":"","i-wm":"Modulars","d-description":"Possible spelling mistake found","f-bookmark":"BMSPELLING100864"},{"b-find":"NGT","e-paracontent":"&lt;mark&gt;NGT&lt;\/mark&gt; = nasogastric tube; OGT = orogastric tube; EFA = essential fatty acids; PMA post-menstrual age; RTF = ready-to-feed; MCT = medium chain triglycerides","c-replace":["Not","Net","Nut","NGC","Sgt","Nat","NWT","Nit","Gt","AGT","BGT","CGT","DGT","EGT","GNT","GT","HGT","LGT","NBT","NDT","NFT","NG","NGA","NGE","NGN","NGS","NMT","NRT","NST","NT","NUT","NVT","PGT","SGT","UGT","Hgt","N GT","NG T","NGO"],"ab-name":"Spelling","a-name":"Possible Misspelling","g-rebookmarkname":"","i-wm":"NGT","d-description":"Possible spelling mistake found","f-bookmark":"BMSPELLING100873"},{"b-find":"orogastric","e-paracontent":"NGT = nasogastric tube; OGT =&lt;mark&gt;orogastric&lt;\/mark&gt; tube; EFA = essential fatty acids; PMA post-menstrual age; RTF = ready-to-feed; MCT = medium chain triglycerides","c-replace":["gastric","orgasmic","orgiastic"],"ab-name":"Spelling","a-name":"Possible Misspelling","g-rebookmarkname":"","i-wm":"orogastric","d-description":"Possible spelling mistake found","f-bookmark":"BMSPELLING100874"}]</preedit>
</file>

<file path=customXml/item6.xml><?xml version="1.0" encoding="utf-8"?>
<preedit xmlns="http://www.machineedit.net/AMOD/CustomXML/Inconsistencies.htm">[{"b-find":"Preterm","e-paracontent":"Fenton growth curves are merged with the World Health Organization (WHO) curves for term infants, which combines intrauterine growth with postnatal growth and results in a \u201cfetal-infant\u201d growth curve that can be used to plot the growth of preterm infants on the same chart until 50 weeks PMA.2,3,4  However, transitioning to the WHO chart earlier (approximately 42-44 weeks PMA) has the added capability of assessing weight-for-length in term (or corrected to term) infants thereby distinguishing between wasting and global (but proportionate) growth faltering.&lt;mark&gt;Preterm&lt;\/mark&gt; infants should be plotted on the WHO chart by corrected age. An infant\u2019s corrected age (CA) is the number of weeks the infant was born preterm subtracted from the infant\u2019s chronologic age thereby \u201ccorrecting\u201d the postnatal age for prematurity.6 For example, a preterm infant who is born at 32 weeks GA is born 8 weeks early (40 weeks full term \u2013 32 weeks GA = 8 weeks).  At a chronological age of 12 weeks, this infant would have a corrected age of 4 weeks (12 weeks of age \u2013 8 weeks preterm = 4 weeks CA).  This infant\u2019s weight, length, and head circumference should therefore all be plotted at the 4-week position on the WHO curves.","c-replace":["Preterm","Pre-term"],"a-name":"ComplexWord","g-rebookmarkname":"","i-wm":"Preterm","d-description":"Hyphenated / Open / Closed forms found.","l-hyphenWordCount":0,"f-bookmark":"BMHYPHEN100082","ab-name":"Inconsistencies","n-withOutSpaceCount":16,"m-withSpaceWordCount":0,"j-groupid":100003},{"b-find":"Preterm","e-paracontent":"&lt;mark&gt;Preterm&lt;\/mark&gt; infants require supplementation with 2-4 mg/kg/day of elemental iron due to anemia of prematurity.10,11 At a typical feeding volume of 150 mL/kg/day and energy density of 24 Cal/fl. oz., most iron fortified formulas provide 2.2 mg/kg/day; the iron content of human milk fortified with HMF needs to be calculated because iron content varies by HMF product. Supplementation with vitamin D is also routine with a minimum goal (feeds + supplementation) of 10 mcg/day.10 Higher dosing may be needed for infants with osteopenia of prematurity.","c-replace":["Preterm","Pre-term"],"a-name":"ComplexWord","g-rebookmarkname":"","i-wm":"Preterm","d-description":"Hyphenated / Open / Closed forms found.","l-hyphenWordCount":0,"f-bookmark":"BMHYPHEN100159","ab-name":"Inconsistencies","n-withOutSpaceCount":16,"m-withSpaceWordCount":0,"j-groupid":100003},{"b-find":"long-term","e-paracontent":" For most preterm infants, a soybean or mixed oil based lipid solution is recommended as a calorically-dense energy source as well as to supply the essential fatty acids (α-linolenic and linoleic acids).13  Hypertriglyceridemia, fasting serum triglyceride level &gt; 250 mg/dL, may occur in preterm infants due to reduced lipoprotein lipase activity;14 treatment may require a dose reduction in the infusion of lipids or a cycled infusion (i.e., an infusion of the same volume over fewer hours).  Patient-specific lipid emulsion recommendations continue to evolve as more research on newer-to-market mixed oil and 100% fish oil emulsions become available. For infants on PN&lt;mark&gt;long-term&lt;\/mark&gt; (&gt; 3-4 weeks), a mixed oil or fish oil lipid emulsion may be utilized as prevention (mixed oil) or treatment (fish oil) for intestinal failure-associated liver disease (IFALD) or Parenteral Nutrition Associated Cholestasis (PNAC). Alternatively, a reduced dose of soybean oil lipid emulsion may reduce the risks of IFALD while also providing an adequate amount of essential fatty acids to prevent and treat essential fatty acid deficiency. Mixed oil lipid emulsions should not be dose restricted because there is a higher risk of developing an essential fatty acid deficiency than with soybean oil lipid emulsions. Serum fatty acid profiles should be monitored in all infants receiving reduced dosing of soybean oil emulsions or goal dosing of mixed and fish oil lipid injectable emulsions, especially if enteral fat intake is minimal. When lipid emulsions are dose restricted, high glucose infusion rates need to be tolerated to maintain adequate parenteral energy infusion. See also Chapter 17, Parenteral Nutrition.","c-replace":["long-term","long term"],"a-name":"ComplexWord","g-rebookmarkname":"","i-wm":"long-term","d-description":"Hyphenated / Open / Closed forms found.","l-hyphenWordCount":3,"f-bookmark":"BMHYPHEN100206","ab-name":"Inconsistencies","n-withOutSpaceCount":0,"m-withSpaceWordCount":4,"j-groupid":100001},{"b-find":"Preterm","e-paracontent":"&lt;mark&gt;Preterm&lt;\/mark&gt; infant formulas and HMFs are not available for home use due to their high nutrient concentrations designed to meet the needs of infants who take smaller feeding volumes.  Close to hospital discharge, infants requiring non-human milk feedings should be transitioned to \u201cpost-discharge\u201d formulas (PDF) or \u201ctransitional\u201d formulas for home use. Studies suggest that compared to term formula, preterm infants fed PDF demonstrate improved growth (weight, length, and head circumference).15 Evidence is mixed on whether PDF may also benefit body composition, bone mineralization, and neurodevelopment.15 Post-discharge formulas provide higher concentrations of energy, protein, vitamins, and minerals at a standard 22 kcal/oz. dilution than term infant formulas (standard 20 kcal/oz.), but less than those in preterm infant formulas and human milk fortified with HMF (standard 24 kcal/oz.). Preterm infants receiving human milk may require additional nutrients from PDF as well. There is no optimal practice15; common methods include adding formula powder to pumped human milk, alternating moderately concentrated formula bottles with direct breastfeeding, or mostly direct breastfeeding with few highly concentrated formula \u201cbooster\u201d bottles. PDF prescribed at higher than 22 kcal/oz. and fortified human milk at any energy density require specialized mixing recipes. Referral to a community lactation consultant, Special Supplemental Food Program for Women, Infants, and Children (WIC), Early Intervention Program (EIP), and/or home-health nursing may be beneficial for assistance with feeding skills and weight checks. Additionally, the American Academy of Pediatrics16 and countries throughout the world17 recommend that preterm infants receive multidisciplinary follow up care with attention to nutritional and neurodevelopmental needs.","c-replace":["Preterm","Pre-term"],"a-name":"ComplexWord","g-rebookmarkname":"","i-wm":"Preterm","d-description":"Hyphenated / Open / Closed forms found.","l-hyphenWordCount":0,"f-bookmark":"BMHYPHEN100244","ab-name":"Inconsistencies","n-withOutSpaceCount":16,"m-withSpaceWordCount":0,"j-groupid":100003},{"b-find":"Preterm","e-paracontent":"Preterm infant formulas and HMFs are not available for home use due to their high nutrient concentrations designed to meet the needs of infants who take smaller feeding volumes.  Close to hospital discharge, infants requiring non-human milk feedings should be transitioned to \u201cpost-discharge\u201d formulas (PDF) or \u201ctransitional\u201d formulas for home use. Studies suggest that compared to term formula, preterm infants fed PDF demonstrate improved growth (weight, length, and head circumference).15 Evidence is mixed on whether PDF may also benefit body composition, bone mineralization, and neurodevelopment.15 Post-discharge formulas provide higher concentrations of energy, protein, vitamins, and minerals at a standard 22 kcal/oz. dilution than term infant formulas (standard 20 kcal/oz.), but less than those in preterm infant formulas and human milk fortified with HMF (standard 24 kcal/oz.).&lt;mark&gt;Preterm&lt;\/mark&gt; infants receiving human milk may require additional nutrients from PDF as well. There is no optimal practice15; common methods include adding formula powder to pumped human milk, alternating moderately concentrated formula bottles with direct breastfeeding, or mostly direct breastfeeding with few highly concentrated formula \u201cbooster\u201d bottles. PDF prescribed at higher than 22 kcal/oz. and fortified human milk at any energy density require specialized mixing recipes. Referral to a community lactation consultant, Special Supplemental Food Program for Women, Infants, and Children (WIC), Early Intervention Program (EIP), and/or home-health nursing may be beneficial for assistance with feeding skills and weight checks. Additionally, the American Academy of Pediatrics16 and countries throughout the world17 recommend that preterm infants receive multidisciplinary follow up care with attention to nutritional and neurodevelopmental needs.","c-replace":["Preterm","Pre-term"],"a-name":"ComplexWord","g-rebookmarkname":"","i-wm":"Preterm","d-description":"Hyphenated / Open / Closed forms found.","l-hyphenWordCount":0,"f-bookmark":"BMHYPHEN100245","ab-name":"Inconsistencies","n-withOutSpaceCount":16,"m-withSpaceWordCount":0,"j-groupid":100003},{"b-find":"long-term","e-paracontent":"\u2022 May require&lt;mark&gt;long-term&lt;\/mark&gt; enteral access (poor oral feeding with increased work of breathing, oral aversion with prolonged intubation)","c-replace":["long-term","long term"],"a-name":"ComplexWord","g-rebookmarkname":"","i-wm":"long-term","d-description":"Hyphenated / Open / Closed forms found.","l-hyphenWordCount":3,"f-bookmark":"BMHYPHEN100453","ab-name":"Inconsistencies","n-withOutSpaceCount":0,"m-withSpaceWordCount":4,"j-groupid":100001},{"b-find":"long term","e-paracontent":"\u2022 Increased risk with immobility, medications that cause mineral excretion (diuretics, steroids),&lt;mark&gt;long term&lt;\/mark&gt; PN (due to limited calcium/phosphorus solubility of solution and inherent aluminum content) ","c-replace":["long-term","long term"],"a-name":"ComplexWord","g-rebookmarkname":"","i-wm":"long term","d-description":"Hyphenated / Open / Closed forms found.","l-hyphenWordCount":3,"f-bookmark":"BMHYPHEN100467","ab-name":"Inconsistencies","n-withOutSpaceCount":0,"m-withSpaceWordCount":4,"j-groupid":100001},{"b-find":"long term","e-paracontent":"\u2022 Multifactorial etiology: genetic, intraventricular hemorrhage, medications,&lt;mark&gt;long term&lt;\/mark&gt; hospitalization, inadequate nutrition provision/growth faltering","c-replace":["long-term","long term"],"a-name":"ComplexWord","g-rebookmarkname":"","i-wm":"long term","d-description":"Hyphenated / Open / Closed forms found.","l-hyphenWordCount":3,"f-bookmark":"BMHYPHEN100482","ab-name":"Inconsistencies","n-withOutSpaceCount":0,"m-withSpaceWordCount":4,"j-groupid":100001},{"b-find":"long term","e-paracontent":"\u2022 Can impair oral intake,&lt;mark&gt;long term&lt;\/mark&gt; enteral access may be needed","c-replace":["long-term","long term"],"a-name":"ComplexWord","g-rebookmarkname":"","i-wm":"long term","d-description":"Hyphenated / Open / Closed forms found.","l-hyphenWordCount":3,"f-bookmark":"BMHYPHEN100486","ab-name":"Inconsistencies","n-withOutSpaceCount":0,"m-withSpaceWordCount":4,"j-groupid":100001},{"b-find":"Preterm","e-paracontent":"\u2022&lt;mark&gt;Preterm&lt;\/mark&gt;: &lt; 37 weeks ","c-replace":["Preterm","Pre-term"],"a-name":"ComplexWord","g-rebookmarkname":"","i-wm":"Preterm","d-description":"Hyphenated / Open / Closed forms found.","l-hyphenWordCount":0,"f-bookmark":"BMHYPHEN100501","ab-name":"Inconsistencies","n-withOutSpaceCount":16,"m-withSpaceWordCount":0,"j-groupid":100003},{"b-find":"postmenstrual","e-paracontent":"HC = head circumference; PMA =&lt;mark&gt;postmenstrual&lt;\/mark&gt; age; FT = full term.","c-replace":["postmenstrual","post-menstrual"],"a-name":"ComplexWord","g-rebookmarkname":"","i-wm":"postmenstrual","d-description":"Hyphenated / Open / Closed forms found.","l-hyphenWordCount":0,"f-bookmark":"BMHYPHEN100548","ab-name":"Inconsistencies","n-withOutSpaceCount":1,"m-withSpaceWordCount":0,"j-groupid":100004},{"b-find":"Preterm","e-paracontent":"Table 35-5. Parenteral Nutrition in&lt;mark&gt;Preterm&lt;\/mark&gt; Infants","c-replace":["Preterm","Pre-term"],"a-name":"ComplexWord","g-rebookmarkname":"","i-wm":"Preterm","d-description":"Hyphenated / Open / Closed forms found.","l-hyphenWordCount":0,"f-bookmark":"BMHYPHEN100552","ab-name":"Inconsistencies","n-withOutSpaceCount":16,"m-withSpaceWordCount":0,"j-groupid":100003},{"b-find":"Preterm","e-paracontent":"\u2022&lt;mark&gt;Preterm&lt;\/mark&gt; infants have greater ECF volumes and body weight is a greater percentage of fluid compared with term infants","c-replace":["Preterm","Pre-term"],"a-name":"ComplexWord","g-rebookmarkname":"","i-wm":"Preterm","d-description":"Hyphenated / Open / Closed forms found.","l-hyphenWordCount":0,"f-bookmark":"BMHYPHEN100554","ab-name":"Inconsistencies","n-withOutSpaceCount":16,"m-withSpaceWordCount":0,"j-groupid":100003},{"b-find":"Pre-term","e-paracontent":"Growing        &lt;mark&gt;Pre-term&lt;\/mark&gt;","c-replace":["Preterm","Pre-term"],"a-name":"ComplexWord","g-rebookmarkname":"","i-wm":"Pre-term","d-description":"Hyphenated / Open / Closed forms found.","l-hyphenWordCount":0,"f-bookmark":"BMHYPHEN100606","ab-name":"Inconsistencies","n-withOutSpaceCount":16,"m-withSpaceWordCount":0,"j-groupid":100003},{"b-find":"post-menstrual","e-paracontent":"Typically for infants &gt;32\u201334 weeks&lt;mark&gt;post-menstrual&lt;\/mark&gt; age","c-replace":["postmenstrual","post-menstrual"],"a-name":"ComplexWord","g-rebookmarkname":"","i-wm":"post-menstrual","d-description":"Hyphenated / Open / Closed forms found.","l-hyphenWordCount":0,"f-bookmark":"BMHYPHEN100692","ab-name":"Inconsistencies","n-withOutSpaceCount":1,"m-withSpaceWordCount":0,"j-groupid":100004},{"b-find":"long-term","e-paracontent":"May prevent oral aversion associated with&lt;mark&gt;long-term&lt;\/mark&gt; nasogastric tube ","c-replace":["long-term","long term"],"a-name":"ComplexWord","g-rebookmarkname":"","i-wm":"long-term","d-description":"Hyphenated / Open / Closed forms found.","l-hyphenWordCount":3,"f-bookmark":"BMHYPHEN100703","ab-name":"Inconsistencies","n-withOutSpaceCount":0,"m-withSpaceWordCount":4,"j-groupid":100001},{"b-find":"Preterm","e-paracontent":"Table 35-7. Enteral Nutrition: Feeding Advancement and Goals for&lt;mark&gt;Preterm&lt;\/mark&gt; Infants","c-replace":["Preterm","Pre-term"],"a-name":"ComplexWord","g-rebookmarkname":"","i-wm":"Preterm","d-description":"Hyphenated / Open / Closed forms found.","l-hyphenWordCount":0,"f-bookmark":"BMHYPHEN100719","ab-name":"Inconsistencies","n-withOutSpaceCount":16,"m-withSpaceWordCount":0,"j-groupid":100003},{"b-find":"Preterm","e-paracontent":"&lt;mark&gt;Preterm&lt;\/mark&gt;","c-replace":["Preterm","Pre-term"],"a-name":"ComplexWord","g-rebookmarkname":"","i-wm":"Preterm","d-description":"Hyphenated / Open / Closed forms found.","l-hyphenWordCount":0,"f-bookmark":"BMHYPHEN100726","ab-name":"Inconsistencies","n-withOutSpaceCount":16,"m-withSpaceWordCount":0,"j-groupid":100003},{"b-find":"Preterm","e-paracontent":"&lt;mark&gt;Preterm&lt;\/mark&gt;","c-replace":["Preterm","Pre-term"],"a-name":"ComplexWord","g-rebookmarkname":"","i-wm":"Preterm","d-description":"Hyphenated / Open / Closed forms found.","l-hyphenWordCount":0,"f-bookmark":"BMHYPHEN100727","ab-name":"Inconsistencies","n-withOutSpaceCount":16,"m-withSpaceWordCount":0,"j-groupid":100003},{"b-find":"Preterm","e-paracontent":"&lt;mark&gt;Preterm&lt;\/mark&gt;","c-replace":["Preterm","Pre-term"],"a-name":"ComplexWord","g-rebookmarkname":"","i-wm":"Preterm","d-description":"Hyphenated / Open / Closed forms found.","l-hyphenWordCount":0,"f-bookmark":"BMHYPHEN100728","ab-name":"Inconsistencies","n-withOutSpaceCount":16,"m-withSpaceWordCount":0,"j-groupid":100003},{"b-find":"Preterm","e-paracontent":"&lt;mark&gt;Preterm&lt;\/mark&gt; infants are born with low stores and are at risk for anemia ","c-replace":["Preterm","Pre-term"],"a-name":"ComplexWord","g-rebookmarkname":"","i-wm":"Preterm","d-description":"Hyphenated / Open / Closed forms found.","l-hyphenWordCount":0,"f-bookmark":"BMHYPHEN100761","ab-name":"Inconsistencies","n-withOutSpaceCount":16,"m-withSpaceWordCount":0,"j-groupid":100003},{"b-find":"Preterm","e-paracontent":"Table 35-8. Enteral Nutrition in&lt;mark&gt;Preterm&lt;\/mark&gt; Infants: Choice of Feeding Substrate","c-replace":["Preterm","Pre-term"],"a-name":"ComplexWord","g-rebookmarkname":"","i-wm":"Preterm","d-description":"Hyphenated / Open / Closed forms found.","l-hyphenWordCount":0,"f-bookmark":"BMHYPHEN100778","ab-name":"Inconsistencies","n-withOutSpaceCount":16,"m-withSpaceWordCount":0,"j-groupid":100003},{"b-find":"Preterm","e-paracontent":"&lt;mark&gt;Preterm&lt;\/mark&gt; infants require fortification of human milk (parent\u2019s own or donor)","c-replace":["Preterm","Pre-term"],"a-name":"ComplexWord","g-rebookmarkname":"","i-wm":"Preterm","d-description":"Hyphenated / Open / Closed forms found.","l-hyphenWordCount":0,"f-bookmark":"BMHYPHEN100779","ab-name":"Inconsistencies","n-withOutSpaceCount":16,"m-withSpaceWordCount":0,"j-groupid":100003},{"b-find":"Preterm","e-paracontent":"&lt;mark&gt;Preterm&lt;\/mark&gt; formulas","c-replace":["Preterm","Pre-term"],"a-name":"ComplexWord","g-rebookmarkname":"","i-wm":"Preterm","d-description":"Hyphenated / Open / Closed forms found.","l-hyphenWordCount":0,"f-bookmark":"BMHYPHEN100815","ab-name":"Inconsistencies","n-withOutSpaceCount":16,"m-withSpaceWordCount":0,"j-groupid":100003},{"b-find":"Preterm","e-paracontent":"&lt;mark&gt;Preterm&lt;\/mark&gt; discharge formulas (transitional/post-discharge formulas)","c-replace":["Preterm","Pre-term"],"a-name":"ComplexWord","g-rebookmarkname":"","i-wm":"Preterm","d-description":"Hyphenated / Open / Closed forms found.","l-hyphenWordCount":0,"f-bookmark":"BMHYPHEN100826","ab-name":"Inconsistencies","n-withOutSpaceCount":16,"m-withSpaceWordCount":0,"j-groupid":100003},{"b-find":"long term","e-paracontent":"\u2022 Not recommended&lt;mark&gt;long term&lt;\/mark&gt; for preterm infants due to suboptimal nutrient composition; If medically indicated may need to concentrate or provide additional protein and/or micronutrient supplementation","c-replace":["long-term","long term"],"a-name":"ComplexWord","g-rebookmarkname":"","i-wm":"long term","d-description":"Hyphenated / Open / Closed forms found.","l-hyphenWordCount":3,"f-bookmark":"BMHYPHEN100860","ab-name":"Inconsistencies","n-withOutSpaceCount":0,"m-withSpaceWordCount":4,"j-groupid":100001},{"b-find":"post-menstrual","e-paracontent":"NGT = nasogastric tube; OGT = orogastric tube; EFA = essential fatty acids; PMA&lt;mark&gt;post-menstrual&lt;\/mark&gt; age; RTF = ready-to-feed; MCT = medium chain triglycerides","c-replace":["postmenstrual","post-menstrual"],"a-name":"ComplexWord","g-rebookmarkname":"","i-wm":"post-menstrual","d-description":"Hyphenated / Open / Closed forms found.","l-hyphenWordCount":0,"f-bookmark":"BMHYPHEN100872","ab-name":"Inconsistencies","n-withOutSpaceCount":1,"m-withSpaceWordCount":0,"j-groupid":100004}]</preedit>
</file>

<file path=customXml/item7.xml><?xml version="1.0" encoding="utf-8"?>
<preedit xmlns="http://www.machineedit.net/AMOD/CustomXML/Pre-Edit.htm">[{"b-find":"NICU","e-paracontent":"Globally, more than 1 in 4 of all live births are newborns small for gestational age, of low birthweight, or preterm, and these \u201csmall vulnerable newborns\u201d account for more than 1 million deaths yearly.  The preterm infant (&lt; 37 weeks gestation) is born with limited nutrient stores, the highest nutrient demands (per kg) in the lifecycle, and organ system immaturity that present substantial challenges for replicating in utero growth and development (Table 35-1). Complications of prematurity such as osteopenia, anemia, and respiratory distress add to metabolic demand and some, like necrotizing enterocolitis (NEC), disrupt nutrient delivery (Table 35-2).  Multidisciplinary teams in neonatal intensive care units &lt;mark&gt;NICU&lt;\/mark&gt;) strive to optimize growth and nutrient delivery despite these challenges to ensure optimal developmental, cardiometabolic, body composition and overall health outcomes.1 ","c-replace":[],"ab-name":"Pre-Edit","a-name":"Small_cap","g-rebookmarkname":"","i-wm":"NICU","d-description":"Abbreviations should be in small caps.","f-bookmark":"BMPRE_ME_Small_cap_100013"},{"b-find":"SGA","e-paracontent":"The nutritional assessment of preterm infants begins immediately after birth with the measurements of birth weight, length, and head circumference. These anthropometrics provide the basis for nutrient needs and growth expectations (Table 35-3). Intrauterine growth charts (Fenton or Olsen) should be used to assess whether the infant is small for gestational age &lt;mark&gt;SGA&lt;\/mark&gt;), appropriate for gestational age (AGA) or large for gestational age (LGA) and can be used until at least 42 weeks postmenstrual age (PMA).2, 3, 4 The most recent intrauterine chart was published in 20254\u2014an update to the Fenton 2013 charts. The \u201cgold standard\u201d for postnatal growth of preterm infants remains the expected rate of weight gain seen in utero (Table 35-4).2  However, this model does not account for physiologic auto-diuresis  (the expected fluid loss and extra- to intracellular fluid shift that occurs in the first one to two weeks of postnatal life) (Table 35-5). Disregarding this expected loss of fluid weight may promote nutritional strategies that result in rapid weight gain (primarily as adipose tissue). Determining the change in weight-for-age Z score since birth augments the growth assessment by distinguishing between a \u201chealthful\u201d decline in Z score and growth faltering.2  The INTERGROWTH-21st charts do take this phenomenon into account, but they are limited by a small sample size at the lowest gestational ages.2 Weight- and length-for-age Z score changes are included as part of the neonatal malnutrition assessment,5 however these criteria have not yet been consistently validated to predict neurodevelopmental or neuro-disability outcomes at all levels of malnutrition. Weight-for-length Z scores are not available for preterm infants. BMI Z scores are available, but as with older children, BMI measures do not distinguish between fat and lean mass and the outcome significance for preterm infants is unknown.2","c-replace":[],"ab-name":"Pre-Edit","a-name":"Small_cap","g-rebookmarkname":"","i-wm":"SGA","d-description":"Abbreviations should be in small caps.","f-bookmark":"BMPRE_ME_Small_cap_100038"},{"b-find":"AGA","e-paracontent":"The nutritional assessment of preterm infants begins immediately after birth with the measurements of birth weight, length, and head circumference. These anthropometrics provide the basis for nutrient needs and growth expectations (Table 35-3). Intrauterine growth charts (Fenton or Olsen) should be used to assess whether the infant is small for gestational age (SGA), appropriate for gestational age &lt;mark&gt;AGA&lt;\/mark&gt;) or large for gestational age (LGA) and can be used until at least 42 weeks postmenstrual age (PMA).2, 3, 4 The most recent intrauterine chart was published in 20254\u2014an update to the Fenton 2013 charts. The \u201cgold standard\u201d for postnatal growth of preterm infants remains the expected rate of weight gain seen in utero (Table 35-4).2  However, this model does not account for physiologic auto-diuresis  (the expected fluid loss and extra- to intracellular fluid shift that occurs in the first one to two weeks of postnatal life) (Table 35-5). Disregarding this expected loss of fluid weight may promote nutritional strategies that result in rapid weight gain (primarily as adipose tissue). Determining the change in weight-for-age Z score since birth augments the growth assessment by distinguishing between a \u201chealthful\u201d decline in Z score and growth faltering.2  The INTERGROWTH-21st charts do take this phenomenon into account, but they are limited by a small sample size at the lowest gestational ages.2 Weight- and length-for-age Z score changes are included as part of the neonatal malnutrition assessment,5 however these criteria have not yet been consistently validated to predict neurodevelopmental or neuro-disability outcomes at all levels of malnutrition. Weight-for-length Z scores are not available for preterm infants. BMI Z scores are available, but as with older children, BMI measures do not distinguish between fat and lean mass and the outcome significance for preterm infants is unknown.2","c-replace":[],"ab-name":"Pre-Edit","a-name":"Small_cap","g-rebookmarkname":"","i-wm":"AGA","d-description":"Abbreviations should be in small caps.","f-bookmark":"BMPRE_ME_Small_cap_100039"},{"b-find":"LGA","e-paracontent":"The nutritional assessment of preterm infants begins immediately after birth with the measurements of birth weight, length, and head circumference. These anthropometrics provide the basis for nutrient needs and growth expectations (Table 35-3). Intrauterine growth charts (Fenton or Olsen) should be used to assess whether the infant is small for gestational age (SGA), appropriate for gestational age (AGA) or large for gestational age &lt;mark&gt;LGA&lt;\/mark&gt;) and can be used until at least 42 weeks postmenstrual age (PMA).2, 3, 4 The most recent intrauterine chart was published in 20254\u2014an update to the Fenton 2013 charts. The \u201cgold standard\u201d for postnatal growth of preterm infants remains the expected rate of weight gain seen in utero (Table 35-4).2  However, this model does not account for physiologic auto-diuresis  (the expected fluid loss and extra- to intracellular fluid shift that occurs in the first one to two weeks of postnatal life) (Table 35-5). Disregarding this expected loss of fluid weight may promote nutritional strategies that result in rapid weight gain (primarily as adipose tissue). Determining the change in weight-for-age Z score since birth augments the growth assessment by distinguishing between a \u201chealthful\u201d decline in Z score and growth faltering.2  The INTERGROWTH-21st charts do take this phenomenon into account, but they are limited by a small sample size at the lowest gestational ages.2 Weight- and length-for-age Z score changes are included as part of the neonatal malnutrition assessment,5 however these criteria have not yet been consistently validated to predict neurodevelopmental or neuro-disability outcomes at all levels of malnutrition. Weight-for-length Z scores are not available for preterm infants. BMI Z scores are available, but as with older children, BMI measures do not distinguish between fat and lean mass and the outcome significance for preterm infants is unknown.2","c-replace":[],"ab-name":"Pre-Edit","a-name":"Small_cap","g-rebookmarkname":"","i-wm":"LGA","d-description":"Abbreviations should be in small caps.","f-bookmark":"BMPRE_ME_Small_cap_100040"},{"b-find":"PMA","e-paracontent":"The nutritional assessment of preterm infants begins immediately after birth with the measurements of birth weight, length, and head circumference. These anthropometrics provide the basis for nutrient needs and growth expectations (Table 35-3). Intrauterine growth charts (Fenton or Olsen) should be used to assess whether the infant is small for gestational age (SGA), appropriate for gestational age (AGA) or large for gestational age (LGA) and can be used until at least 42 weeks postmenstrual age &lt;mark&gt;PMA&lt;\/mark&gt;).2, 3, 4 The most recent intrauterine chart was published in 20254\u2014an update to the Fenton 2013 charts. The \u201cgold standard\u201d for postnatal growth of preterm infants remains the expected rate of weight gain seen in utero (Table 35-4).2  However, this model does not account for physiologic auto-diuresis  (the expected fluid loss and extra- to intracellular fluid shift that occurs in the first one to two weeks of postnatal life) (Table 35-5). Disregarding this expected loss of fluid weight may promote nutritional strategies that result in rapid weight gain (primarily as adipose tissue). Determining the change in weight-for-age Z score since birth augments the growth assessment by distinguishing between a \u201chealthful\u201d decline in Z score and growth faltering.2  The INTERGROWTH-21st charts do take this phenomenon into account, but they are limited by a small sample size at the lowest gestational ages.2 Weight- and length-for-age Z score changes are included as part of the neonatal malnutrition assessment,5 however these criteria have not yet been consistently validated to predict neurodevelopmental or neuro-disability outcomes at all levels of malnutrition. Weight-for-length Z scores are not available for preterm infants. BMI Z scores are available, but as with older children, BMI measures do not distinguish between fat and lean mass and the outcome significance for preterm infants is unknown.2","c-replace":[],"ab-name":"Pre-Edit","a-name":"Small_cap","g-rebookmarkname":"","i-wm":"PMA","d-description":"Abbreviations should be in small caps.","f-bookmark":"BMPRE_ME_Small_cap_100041"},{"b-find":"WHO","e-paracontent":"Fenton growth curves are merged with the World Health Organization &lt;mark&gt;WHO&lt;\/mark&gt;) curves for term infants, which combines intrauterine growth with postnatal growth and results in a \u201cfetal-infant\u201d growth curve that can be used to plot the growth of preterm infants on the same chart until 50 weeks PMA.2,3,4  However, transitioning to the WHO chart earlier (approximately 42-44 weeks PMA) has the added capability of assessing weight-for-length in term (or corrected to term) infants thereby distinguishing between wasting and global (but proportionate) growth faltering. Preterm infants should be plotted on the WHO chart by corrected age. An infant\u2019s corrected age (CA) is the number of weeks the infant was born preterm subtracted from the infant\u2019s chronologic age thereby \u201ccorrecting\u201d the postnatal age for prematurity.6 For example, a preterm infant who is born at 32 weeks GA is born 8 weeks early (40 weeks full term \u2013 32 weeks GA = 8 weeks).  At a chronological age of 12 weeks, this infant would have a corrected age of 4 weeks (12 weeks of age \u2013 8 weeks preterm = 4 weeks CA).  This infant\u2019s weight, length, and head circumference should therefore all be plotted at the 4-week position on the WHO curves.","c-replace":[],"ab-name":"Pre-Edit","a-name":"Small_cap","g-rebookmarkname":"","i-wm":"WHO","d-description":"Abbreviations should be in small caps.","f-bookmark":"BMPRE_ME_Small_cap_100080"},{"b-find":"CA","e-paracontent":"Fenton growth curves are merged with the World Health Organization (WHO) curves for term infants, which combines intrauterine growth with postnatal growth and results in a \u201cfetal-infant\u201d growth curve that can be used to plot the growth of preterm infants on the same chart until 50 weeks PMA.2,3,4  However, transitioning to the WHO chart earlier (approximately 42-44 weeks PMA) has the added capability of assessing weight-for-length in term (or corrected to term) infants thereby distinguishing between wasting and global (but proportionate) growth faltering. Preterm infants should be plotted on the WHO chart by corrected age. An infant\u2019s corrected age &lt;mark&gt;CA&lt;\/mark&gt;) is the number of weeks the infant was born preterm subtracted from the infant\u2019s chronologic age thereby \u201ccorrecting\u201d the postnatal age for prematurity.6 For example, a preterm infant who is born at 32 weeks GA is born 8 weeks early (40 weeks full term \u2013 32 weeks GA = 8 weeks).  At a chronological age of 12 weeks, this infant would have a corrected age of 4 weeks (12 weeks of age \u2013 8 weeks preterm = 4 weeks CA).  This infant\u2019s weight, length, and head circumference should therefore all be plotted at the 4-week position on the WHO curves.","c-replace":[],"ab-name":"Pre-Edit","a-name":"Small_cap","g-rebookmarkname":"","i-wm":"CA","d-description":"Abbreviations should be in small caps.","f-bookmark":"BMPRE_ME_Small_cap_100081"},{"b-find":"HMF","e-paracontent":"Fortification of human milk with human milk fortifiers &lt;mark&gt;HMF&lt;\/mark&gt;) is recommended for all infants born &lt; 32 weeks GA or with a birth weight of &lt; 1500 grams up until at least a late preterm PMA.10,11 Human milk fortifiers contain most macro- and micronutrients, but are particularly notable for their energy, protein, calcium, phosphorus, zinc, and vitamin A content. Bovine protein-based HMFs are available in different protein types (casein vs. whey), levels of hydrolysis (polymeric vs. partial vs. extensive), and protein content (low vs. high vs. standard). Human milk-based HMFs are also available. Generally, HMFs are added when tolerance to moderate volumes of human milk have been established (60-100 mL/kg), although NICU practices vary.12 Further fortification may be required in the setting of poor growth or in instances of fluid restriction.  A variety of macronutrient-specific additives (modulars) can be used to meet individualized patient needs (Table 35-8). Chapter 16, Enteral Nutrition, has additional information on specific fortification and modular products. If parent\u2019s own human milk is not available, the use of pasteurized or irradiated donor human milk should be considered.  Donor human milk is preferred for high-risk neonates, typically those &lt; 32 weeks PMA, &lt; 1500 grams, with a history of NEC, or with congenital cardiac defects at risk of developing ischemic bowel.11","c-replace":[],"ab-name":"Pre-Edit","a-name":"Small_cap","g-rebookmarkname":"","i-wm":"HMF","d-description":"Abbreviations should be in small caps.","f-bookmark":"BMPRE_ME_Small_cap_100128"},{"b-find":"10","e-paracontent":"Preterm infants require supplementation with 2-4 mg/kg/day of elemental iron due to anemia of prematurity.10,11 At a typical feeding volume of 150 mL/kg/day and energy density of 24 Cal/fl. oz., most iron fortified formulas provide 2.2 mg/kg/day; the iron content of human milk fortified with HMF needs to be calculated because iron content varies by HMF product. Supplementation with vitamin D is also routine with a minimum goal (feeds + supplementation) of&lt;mark&gt;10&lt;\/mark&gt; mcg/day.10 Higher dosing may be needed for infants with osteopenia of prematurity.","c-replace":["ten"],"ab-name":"Pre-Edit","a-name":"Spell_out","g-rebookmarkname":"","i-wm":"10","d-description":"Spell out from one to ninety-nine.","f-bookmark":"BMPRE_ME_Spell_out_100163"},{"b-find":"PN","e-paracontent":"During periods when enteral nutrition is incomplete (such as in the first days after birth while enteral feeds are advancing) or is contraindicated (due to severe hemodynamic instability, NEC, or other congenital gastrointestinal anomalies) parenteral nutrition &lt;mark&gt;PN&lt;\/mark&gt;) should be initiated. Parenteral nutrition should begin within the first few hours of life for preterm infants born &lt; 32 weeks gestation or with a birth weight &lt; 1500 g to prevent catabolism and hypoglycemia secondary to limited glycogen stores.  The PN solution should be advanced daily to provide recommended fluid and nutrient estimates (Table 35-5) while enteral feeding volumes are low. PN can then be weaned as enteral feeds advance to reach goal volumes and energy density.","c-replace":[],"ab-name":"Pre-Edit","a-name":"Small_cap","g-rebookmarkname":"","i-wm":"PN","d-description":"Abbreviations should be in small caps.","f-bookmark":"BMPRE_ME_Small_cap_100172"},{"b-find":"ELBW","e-paracontent":"Amino acid requirements in preterm infants are different both qualitatively and quantitatively from term infants and older children.  Some amino acids, such as L-cysteine and taurine, are conditionally essential because preterm infants do not synthesize them in sufficient quantities as term infants do and can be added to PN.  A specialized amino acid blend, designed to approximate the blood amino acid profile of the human milk fed infant, is used for PN in the preterm infant. Extremely preterm and/or extremely low birth weight &lt;mark&gt;ELBW&lt;\/mark&gt;) infants have increased rates of protein turnover. Therefore, they require higher protein intake than term infants to achieve ideal growth velocity and positive nitrogen balance. ","c-replace":[],"ab-name":"Pre-Edit","a-name":"Small_cap","g-rebookmarkname":"","i-wm":"ELBW","d-description":"Abbreviations should be in small caps.","f-bookmark":"BMPRE_ME_Small_cap_100187"},{"b-find":"IFALD","e-paracontent":" For most preterm infants, a soybean or mixed oil based lipid solution is recommended as a calorically-dense energy source as well as to supply the essential fatty acids (α-linolenic and linoleic acids).13  Hypertriglyceridemia, fasting serum triglyceride level &gt; 250 mg/dL, may occur in preterm infants due to reduced lipoprotein lipase activity;14 treatment may require a dose reduction in the infusion of lipids or a cycled infusion (i.e., an infusion of the same volume over fewer hours).  Patient-specific lipid emulsion recommendations continue to evolve as more research on newer-to-market mixed oil and 100% fish oil emulsions become available. For infants on PN long-term (&gt; 3-4 weeks), a mixed oil or fish oil lipid emulsion may be utilized as prevention (mixed oil) or treatment (fish oil) for intestinal failure-associated liver disease &lt;mark&gt;IFALD&lt;\/mark&gt;) or Parenteral Nutrition Associated Cholestasis (PNAC). Alternatively, a reduced dose of soybean oil lipid emulsion may reduce the risks of IFALD while also providing an adequate amount of essential fatty acids to prevent and treat essential fatty acid deficiency. Mixed oil lipid emulsions should not be dose restricted because there is a higher risk of developing an essential fatty acid deficiency than with soybean oil lipid emulsions. Serum fatty acid profiles should be monitored in all infants receiving reduced dosing of soybean oil emulsions or goal dosing of mixed and fish oil lipid injectable emulsions, especially if enteral fat intake is minimal. When lipid emulsions are dose restricted, high glucose infusion rates need to be tolerated to maintain adequate parenteral energy infusion. See also Chapter 17, Parenteral Nutrition.","c-replace":[],"ab-name":"Pre-Edit","a-name":"Small_cap","g-rebookmarkname":"","i-wm":"IFALD","d-description":"Abbreviations should be in small caps.","f-bookmark":"BMPRE_ME_Small_cap_100204"},{"b-find":"PNAC","e-paracontent":" For most preterm infants, a soybean or mixed oil based lipid solution is recommended as a calorically-dense energy source as well as to supply the essential fatty acids (α-linolenic and linoleic acids).13  Hypertriglyceridemia, fasting serum triglyceride level &gt; 250 mg/dL, may occur in preterm infants due to reduced lipoprotein lipase activity;14 treatment may require a dose reduction in the infusion of lipids or a cycled infusion (i.e., an infusion of the same volume over fewer hours).  Patient-specific lipid emulsion recommendations continue to evolve as more research on newer-to-market mixed oil and 100% fish oil emulsions become available. For infants on PN long-term (&gt; 3-4 weeks), a mixed oil or fish oil lipid emulsion may be utilized as prevention (mixed oil) or treatment (fish oil) for intestinal failure-associated liver disease (IFALD) or Parenteral Nutrition Associated Cholestasis &lt;mark&gt;PNAC&lt;\/mark&gt;). Alternatively, a reduced dose of soybean oil lipid emulsion may reduce the risks of IFALD while also providing an adequate amount of essential fatty acids to prevent and treat essential fatty acid deficiency. Mixed oil lipid emulsions should not be dose restricted because there is a higher risk of developing an essential fatty acid deficiency than with soybean oil lipid emulsions. Serum fatty acid profiles should be monitored in all infants receiving reduced dosing of soybean oil emulsions or goal dosing of mixed and fish oil lipid injectable emulsions, especially if enteral fat intake is minimal. When lipid emulsions are dose restricted, high glucose infusion rates need to be tolerated to maintain adequate parenteral energy infusion. See also Chapter 17, Parenteral Nutrition.","c-replace":[],"ab-name":"Pre-Edit","a-name":"Small_cap","g-rebookmarkname":"","i-wm":"PNAC","d-description":"Abbreviations should be in small caps.","f-bookmark":"BMPRE_ME_Small_cap_100205"},{"b-find":"PDF","e-paracontent":"Preterm infant formulas and HMFs are not available for home use due to their high nutrient concentrations designed to meet the needs of infants who take smaller feeding volumes.  Close to hospital discharge, infants requiring non-human milk feedings should be transitioned to \u201cpost-discharge\u201d formulas &lt;mark&gt;PDF&lt;\/mark&gt;) or \u201ctransitional\u201d formulas for home use. Studies suggest that compared to term formula, preterm infants fed PDF demonstrate improved growth (weight, length, and head circumference).15 Evidence is mixed on whether PDF may also benefit body composition, bone mineralization, and neurodevelopment.15 Post-discharge formulas provide higher concentrations of energy, protein, vitamins, and minerals at a standard 22 kcal/oz. dilution than term infant formulas (standard 20 kcal/oz.), but less than those in preterm infant formulas and human milk fortified with HMF (standard 24 kcal/oz.). Preterm infants receiving human milk may require additional nutrients from PDF as well. There is no optimal practice15; common methods include adding formula powder to pumped human milk, alternating moderately concentrated formula bottles with direct breastfeeding, or mostly direct breastfeeding with few highly concentrated formula \u201cbooster\u201d bottles. PDF prescribed at higher than 22 kcal/oz. and fortified human milk at any energy density require specialized mixing recipes. Referral to a community lactation consultant, Special Supplemental Food Program for Women, Infants, and Children (WIC), Early Intervention Program (EIP), and/or home-health nursing may be beneficial for assistance with feeding skills and weight checks. Additionally, the American Academy of Pediatrics16 and countries throughout the world17 recommend that preterm infants receive multidisciplinary follow up care with attention to nutritional and neurodevelopmental needs.","c-replace":[],"ab-name":"Pre-Edit","a-name":"Small_cap","g-rebookmarkname":"","i-wm":"PDF","d-description":"Abbreviations should be in small caps.","f-bookmark":"BMPRE_ME_Small_cap_100241"},{"b-find":"WIC","e-paracontent":"Preterm infant formulas and HMFs are not available for home use due to their high nutrient concentrations designed to meet the needs of infants who take smaller feeding volumes.  Close to hospital discharge, infants requiring non-human milk feedings should be transitioned to \u201cpost-discharge\u201d formulas (PDF) or \u201ctransitional\u201d formulas for home use. Studies suggest that compared to term formula, preterm infants fed PDF demonstrate improved growth (weight, length, and head circumference).15 Evidence is mixed on whether PDF may also benefit body composition, bone mineralization, and neurodevelopment.15 Post-discharge formulas provide higher concentrations of energy, protein, vitamins, and minerals at a standard 22 kcal/oz. dilution than term infant formulas (standard 20 kcal/oz.), but less than those in preterm infant formulas and human milk fortified with HMF (standard 24 kcal/oz.). Preterm infants receiving human milk may require additional nutrients from PDF as well. There is no optimal practice15; common methods include adding formula powder to pumped human milk, alternating moderately concentrated formula bottles with direct breastfeeding, or mostly direct breastfeeding with few highly concentrated formula \u201cbooster\u201d bottles. PDF prescribed at higher than 22 kcal/oz. and fortified human milk at any energy density require specialized mixing recipes. Referral to a community lactation consultant, Special Supplemental Food Program for Women, Infants, and Children &lt;mark&gt;WIC&lt;\/mark&gt;), Early Intervention Program (EIP), and/or home-health nursing may be beneficial for assistance with feeding skills and weight checks. Additionally, the American Academy of Pediatrics16 and countries throughout the world17 recommend that preterm infants receive multidisciplinary follow up care with attention to nutritional and neurodevelopmental needs.","c-replace":[],"ab-name":"Pre-Edit","a-name":"Small_cap","g-rebookmarkname":"","i-wm":"WIC","d-description":"Abbreviations should be in small caps.","f-bookmark":"BMPRE_ME_Small_cap_100242"},{"b-find":"EIP","e-paracontent":"Preterm infant formulas and HMFs are not available for home use due to their high nutrient concentrations designed to meet the needs of infants who take smaller feeding volumes.  Close to hospital discharge, infants requiring non-human milk feedings should be transitioned to \u201cpost-discharge\u201d formulas (PDF) or \u201ctransitional\u201d formulas for home use. Studies suggest that compared to term formula, preterm infants fed PDF demonstrate improved growth (weight, length, and head circumference).15 Evidence is mixed on whether PDF may also benefit body composition, bone mineralization, and neurodevelopment.15 Post-discharge formulas provide higher concentrations of energy, protein, vitamins, and minerals at a standard 22 kcal/oz. dilution than term infant formulas (standard 20 kcal/oz.), but less than those in preterm infant formulas and human milk fortified with HMF (standard 24 kcal/oz.). Preterm infants receiving human milk may require additional nutrients from PDF as well. There is no optimal practice15; common methods include adding formula powder to pumped human milk, alternating moderately concentrated formula bottles with direct breastfeeding, or mostly direct breastfeeding with few highly concentrated formula \u201cbooster\u201d bottles. PDF prescribed at higher than 22 kcal/oz. and fortified human milk at any energy density require specialized mixing recipes. Referral to a community lactation consultant, Special Supplemental Food Program for Women, Infants, and Children (WIC), Early Intervention Program &lt;mark&gt;EIP&lt;\/mark&gt;), and/or home-health nursing may be beneficial for assistance with feeding skills and weight checks. Additionally, the American Academy of Pediatrics16 and countries throughout the world17 recommend that preterm infants receive multidisciplinary follow up care with attention to nutritional and neurodevelopmental needs.","c-replace":[],"ab-name":"Pre-Edit","a-name":"Small_cap","g-rebookmarkname":"","i-wm":"EIP","d-description":"Abbreviations should be in small caps.","f-bookmark":"BMPRE_ME_Small_cap_100243"},{"b-find":"22","e-paracontent":"Preterm infant formulas and HMFs are not available for home use due to their high nutrient concentrations designed to meet the needs of infants who take smaller feeding volumes.  Close to hospital discharge, infants requiring non-human milk feedings should be transitioned to \u201cpost-discharge\u201d formulas (PDF) or \u201ctransitional\u201d formulas for home use. Studies suggest that compared to term formula, preterm infants fed PDF demonstrate improved growth (weight, length, and head circumference).15 Evidence is mixed on whether PDF may also benefit body composition, bone mineralization, and neurodevelopment.15 Post-discharge formulas provide higher concentrations of energy, protein, vitamins, and minerals at a standard&lt;mark&gt;22&lt;\/mark&gt; kcal/oz. dilution than term infant formulas (standard 20 kcal/oz.), but less than those in preterm infant formulas and human milk fortified with HMF (standard 24 kcal/oz.). Preterm infants receiving human milk may require additional nutrients from PDF as well. There is no optimal practice15; common methods include adding formula powder to pumped human milk, alternating moderately concentrated formula bottles with direct breastfeeding, or mostly direct breastfeeding with few highly concentrated formula \u201cbooster\u201d bottles. PDF prescribed at higher than 22 kcal/oz. and fortified human milk at any energy density require specialized mixing recipes. Referral to a community lactation consultant, Special Supplemental Food Program for Women, Infants, and Children (WIC), Early Intervention Program (EIP), and/or home-health nursing may be beneficial for assistance with feeding skills and weight checks. Additionally, the American Academy of Pediatrics16 and countries throughout the world17 recommend that preterm infants receive multidisciplinary follow up care with attention to nutritional and neurodevelopmental needs.","c-replace":["twenty-two"],"ab-name":"Pre-Edit","a-name":"Spell_out","g-rebookmarkname":"","i-wm":"22","d-description":"Spell out from one to ninety-nine.","f-bookmark":"BMPRE_ME_Spell_out_100259"},{"b-find":"22","e-paracontent":"Preterm infant formulas and HMFs are not available for home use due to their high nutrient concentrations designed to meet the needs of infants who take smaller feeding volumes.  Close to hospital discharge, infants requiring non-human milk feedings should be transitioned to \u201cpost-discharge\u201d formulas (PDF) or \u201ctransitional\u201d formulas for home use. Studies suggest that compared to term formula, preterm infants fed PDF demonstrate improved growth (weight, length, and head circumference).15 Evidence is mixed on whether PDF may also benefit body composition, bone mineralization, and neurodevelopment.15 Post-discharge formulas provide higher concentrations of energy, protein, vitamins, and minerals at a standard 22 kcal/oz. dilution than term infant formulas (standard 20 kcal/oz.), but less than those in preterm infant formulas and human milk fortified with HMF (standard 24 kcal/oz.). Preterm infants receiving human milk may require additional nutrients from PDF as well. There is no optimal practice15; common methods include adding formula powder to pumped human milk, alternating moderately concentrated formula bottles with direct breastfeeding, or mostly direct breastfeeding with few highly concentrated formula \u201cbooster\u201d bottles. PDF prescribed at higher than&lt;mark&gt;22&lt;\/mark&gt; kcal/oz. and fortified human milk at any energy density require specialized mixing recipes. Referral to a community lactation consultant, Special Supplemental Food Program for Women, Infants, and Children (WIC), Early Intervention Program (EIP), and/or home-health nursing may be beneficial for assistance with feeding skills and weight checks. Additionally, the American Academy of Pediatrics16 and countries throughout the world17 recommend that preterm infants receive multidisciplinary follow up care with attention to nutritional and neurodevelopmental needs.","c-replace":["twenty-two"],"ab-name":"Pre-Edit","a-name":"Spell_out","g-rebookmarkname":"","i-wm":"22","d-description":"Spell out from one to ninety-nine.","f-bookmark":"BMPRE_ME_Spell_out_100260"},{"b-find":"NEC","e-paracontent":"Necrotizing Enterocolitis &lt;mark&gt;NEC&lt;\/mark&gt;)","c-replace":[],"ab-name":"Pre-Edit","a-name":"Small_cap","g-rebookmarkname":"","i-wm":"NEC","d-description":"Abbreviations should be in small caps.","f-bookmark":"BMPRE_ME_Small_cap_100426"},{"b-find":"RDS","e-paracontent":"Respiratory Distress Syndrome &lt;mark&gt;RDS&lt;\/mark&gt;)/Bronchopulmonary Dysplasia (BPD)","c-replace":[],"ab-name":"Pre-Edit","a-name":"Small_cap","g-rebookmarkname":"","i-wm":"RDS","d-description":"Abbreviations should be in small caps.","f-bookmark":"BMPRE_ME_Small_cap_100440"},{"b-find":"BPD","e-paracontent":"Respiratory Distress Syndrome (RDS)/Bronchopulmonary Dysplasia &lt;mark&gt;BPD&lt;\/mark&gt;)","c-replace":[],"ab-name":"Pre-Edit","a-name":"Small_cap","g-rebookmarkname":"","i-wm":"BPD","d-description":"Abbreviations should be in small caps.","f-bookmark":"BMPRE_ME_Small_cap_100441"},{"b-find":"PDA","e-paracontent":"Patent Ductus Arteriosus &lt;mark&gt;PDA&lt;\/mark&gt;) ","c-replace":[],"ab-name":"Pre-Edit","a-name":"Small_cap","g-rebookmarkname":"","i-wm":"PDA","d-description":"Abbreviations should be in small caps.","f-bookmark":"BMPRE_ME_Small_cap_100457"},{"b-find":"GA","e-paracontent":"Maturity by Gestational Age &lt;mark&gt;GA&lt;\/mark&gt;)","c-replace":[],"ab-name":"Pre-Edit","a-name":"Small_cap","g-rebookmarkname":"","i-wm":"GA","d-description":"Abbreviations should be in small caps.","f-bookmark":"BMPRE_ME_Small_cap_100498"},{"b-find":"LBW","e-paracontent":"\u2022 Low Birth Weight &lt;mark&gt;LBW&lt;\/mark&gt;): &lt; 2,500 g ","c-replace":[],"ab-name":"Pre-Edit","a-name":"Small_cap","g-rebookmarkname":"","i-wm":"LBW","d-description":"Abbreviations should be in small caps.","f-bookmark":"BMPRE_ME_Small_cap_100505"},{"b-find":"VLBW","e-paracontent":"\u2022 Very Low Birth Weight &lt;mark&gt;VLBW&lt;\/mark&gt;): &lt; 1,500 g ","c-replace":[],"ab-name":"Pre-Edit","a-name":"Small_cap","g-rebookmarkname":"","i-wm":"VLBW","d-description":"Abbreviations should be in small caps.","f-bookmark":"BMPRE_ME_Small_cap_100510"},{"b-find":"ELBW","e-paracontent":"\u2022 Extremely Low Birth Weight &lt;mark&gt;ELBW&lt;\/mark&gt;): &lt; 1,000 g ","c-replace":[],"ab-name":"Pre-Edit","a-name":"Small_cap","g-rebookmarkname":"","i-wm":"ELBW","d-description":"Abbreviations should be in small caps.","f-bookmark":"BMPRE_ME_Small_cap_100516"},{"b-find":"SGA","e-paracontent":"\u2022 Small for gestational age &lt;mark&gt;SGA&lt;\/mark&gt;): &lt; 10th percentile","c-replace":[],"ab-name":"Pre-Edit","a-name":"Small_cap","g-rebookmarkname":"","i-wm":"SGA","d-description":"Abbreviations should be in small caps.","f-bookmark":"BMPRE_ME_Small_cap_100523"},{"b-find":"AGA","e-paracontent":"\u2022 Appropriate for gestational age &lt;mark&gt;AGA&lt;\/mark&gt;): 10th\u201390th percentile","c-replace":[],"ab-name":"Pre-Edit","a-name":"Small_cap","g-rebookmarkname":"","i-wm":"AGA","d-description":"Abbreviations should be in small caps.","f-bookmark":"BMPRE_ME_Small_cap_100527"},{"b-find":"LGA","e-paracontent":"\u2022 Large for gestational age &lt;mark&gt;LGA&lt;\/mark&gt;): &gt; 90th percentile ","c-replace":[],"ab-name":"Pre-Edit","a-name":"Small_cap","g-rebookmarkname":"","i-wm":"LGA","d-description":"Abbreviations should be in small caps.","f-bookmark":"BMPRE_ME_Small_cap_100531"},{"b-find":"HMF","e-paracontent":"Human Milk Fortifiers &lt;mark&gt;HMF&lt;\/mark&gt;) ","c-replace":[],"ab-name":"Pre-Edit","a-name":"Small_cap","g-rebookmarkname":"","i-wm":"HMF","d-description":"Abbreviations should be in small caps.","f-bookmark":"BMPRE_ME_Small_cap_100788"}]</preedit>
</file>

<file path=customXml/item8.xml><?xml version="1.0" encoding="utf-8"?>
<preedit xmlns="http://www.machineedit.net/AMOD/CustomXML/Missing/Misplaced/Duplicate.htm">[{"b-find":"Vanek, V. W., Borum, P., Buchman, A., Fessler, T. A., Howard, L., Jeejeebhoy, K., ... &amp; American Society for Parenteral and Enteral Nutrition (ASPEN) Board of Directors. (2012). ASPEN position paper: recommendations for changes in commercially available parenteral multivitamin and multi\u2013trace element products. Nutrition in Clinical Practice, 27(4), 440-491.","e-paracontent":"&lt;mark&gt;Vanek, V. W., Borum, P., Buchman, A., Fessler, T. A., Howard, L., Jeejeebhoy, K., ... &amp; American Society for Parenteral and Enteral Nutrition (ASPEN) Board of Directors. (2012). ASPEN position paper: recommendations for changes in commercially available parenteral multivitamin and multi\u2013trace element products. Nutrition in Clinical Practice, 27(4), 440-491.&lt;\/mark&gt;","c-replace":[],"ab-name":"Missing Reference Citations","a-name":"Reference","g-rebookmarkname":"","i-wm":"Vanek, V. W., Borum, P., Buchman, A., Fessler, T. A., Howard, L., Jeejeebhoy, K., ... &amp;amp; American Society for Parenteral and Enteral Nutrition (ASPEN) Board of Directors. (2012). ASPEN position paper: recommendations for changes in commercially available parenteral multivitamin and multi\u2013trace element products. Nutrition in Clinical Practice, 27(4), 440-491.","d-description":"Citation for the reference is missing","f-bookmark":"BMMISSING100369"},{"b-find":"Broekaert, I.J., Falconer, J., Bronsky, J., Gottrand, F., Dall'Oglio, L., Goto, E., Hojsak, I., Hulst, J., Kochavi, B., Papadopoulou, A. and Ribes\u2010Koninckx, C., 2019. The use of jejunal tube feeding in children: a position paper by the Gastroenterology and Nutrition Committees of the European Society for Paediatric Gastroenterology, Hepatology, and Nutrition 2019. Journal of pediatric gastroenterology and nutrition, 69(2), pp.239-258.","e-paracontent":"&lt;mark&gt;Broekaert, I.J., Falconer, J., Bronsky, J., Gottrand, F., Dall'Oglio, L., Goto, E., Hojsak, I., Hulst, J., Kochavi, B., Papadopoulou, A. and Ribes\u2010Koninckx, C., 2019. The use of jejunal tube feeding in children: a position paper by the Gastroenterology and Nutrition Committees of the European Society for Paediatric Gastroenterology, Hepatology, and Nutrition 2019. Journal of pediatric gastroenterology and nutrition, 69(2), pp.239-258.&lt;\/mark&gt;","c-replace":[],"ab-name":"Missing Reference Citations","a-name":"Reference","g-rebookmarkname":"","i-wm":"Broekaert, I.J., Falconer, J., Bronsky, J., Gottrand, F., Dall'Oglio, L., Goto, E., Hojsak, I., Hulst, J., Kochavi, B., Papadopoulou, A. and Ribes\u2010Koninckx, C., 2019. The use of jejunal tube feeding in children: a position paper by the Gastroenterology and Nutrition Committees of the European Society for Paediatric Gastroenterology, Hepatology, and Nutrition 2019. &lt;\/span&gt;&lt;i&gt;&lt;span style=\"color: #222222\"&gt;Journal of pediatric gastroenterology and nutrition&lt;\/span&gt;&lt;\/i&gt;&lt;span style=\"color: #222222\"&gt;, &lt;\/span&gt;&lt;i&gt;&lt;span style=\"color: #222222\"&gt;69&lt;\/span&gt;&lt;\/i&gt;&lt;span style=\"color: #222222\"&gt;(2), pp.239-258.","d-description":"Citation for the reference is missing","f-bookmark":"BMMISSING100380"},{"b-find":"Thoene, M. and Anderson-Berry, A., 2021. Early enteral feeding in preterm infants: a narrative review of the nutritional, metabolic, and developmental benefits. Nutrients, 13(7), p.2289","e-paracontent":"&lt;mark&gt;Thoene, M. and Anderson-Berry, A., 2021. Early enteral feeding in preterm infants: a narrative review of the nutritional, metabolic, and developmental benefits. Nutrients, 13(7), p.2289&lt;\/mark&gt;","c-replace":[],"ab-name":"Missing Reference Citations","a-name":"Reference","g-rebookmarkname":"","i-wm":"Thoene, M. and Anderson-Berry, A., 2021. Early enteral feeding in preterm infants: a narrative review of the nutritional, metabolic, and developmental benefits. Nutrients, 13(7), p.2289","d-description":"Citation for the reference is missing","f-bookmark":"BMMISSING100395"},{"b-find":"Oddie, S.J., Young, L. and McGuire, W., 2021. Slow advancement of enteral feed volumes to prevent necrotising enterocolitis in very low birth weight infants. Cochrane database of systematic reviews","e-paracontent":"&lt;mark&gt;Oddie, S.J., Young, L. and McGuire, W., 2021. Slow advancement of enteral feed volumes to prevent necrotising enterocolitis in very low birth weight infants. Cochrane database of systematic reviews&lt;\/mark&gt;","c-replace":[],"ab-name":"Missing Reference Citations","a-name":"Reference","g-rebookmarkname":"","i-wm":"Oddie, S.J., Young, L. and McGuire, W., 2021. Slow advancement of enteral feed volumes to prevent necrotising enterocolitis in very low birth weight infants. Cochrane database of systematic reviews","d-description":"Citation for the reference is missing","f-bookmark":"BMMISSING100398"}]</preedit>
</file>

<file path=customXml/item9.xml><?xml version="1.0" encoding="utf-8"?>
<b:Sources xmlns:w14="http://schemas.microsoft.com/office/word/2010/wordml" xmlns:r="http://schemas.openxmlformats.org/officeDocument/2006/relationships" xmlns:a="http://schemas.openxmlformats.org/drawingml/2006/main" xmlns:a14="http://schemas.microsoft.com/office/drawing/2010/main" xmlns:w="http://schemas.openxmlformats.org/wordprocessingml/2006/main" xmlns:m="http://schemas.openxmlformats.org/officeDocument/2006/math" xmlns:wp="http://schemas.openxmlformats.org/drawingml/2006/wordprocessingDrawing"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SixthEditionOfficeOnline.xsl" StyleName="APA"/>
</file>

<file path=customXml/itemProps1.xml><?xml version="1.0" encoding="utf-8"?>
<ds:datastoreItem xmlns:ds="http://schemas.openxmlformats.org/officeDocument/2006/customXml" ds:itemID="{DAC56DDF-FCDC-4634-BA82-BC881781A60C}">
  <ds:schemaRefs>
    <ds:schemaRef ds:uri="http://www.machineedit.net/AMOD/CustomXML/Abbreviations.htm"/>
  </ds:schemaRefs>
</ds:datastoreItem>
</file>

<file path=customXml/itemProps2.xml><?xml version="1.0" encoding="utf-8"?>
<ds:datastoreItem xmlns:ds="http://schemas.openxmlformats.org/officeDocument/2006/customXml" ds:itemID="{D9433B2A-93F8-4F84-A49C-88CEB66C3232}">
  <ds:schemaRefs>
    <ds:schemaRef ds:uri="http://www.machineedit.net/AMOD/CustomXML/Grammar.htm"/>
  </ds:schemaRefs>
</ds:datastoreItem>
</file>

<file path=customXml/itemProps3.xml><?xml version="1.0" encoding="utf-8"?>
<ds:datastoreItem xmlns:ds="http://schemas.openxmlformats.org/officeDocument/2006/customXml" ds:itemID="{093F1C1D-34BB-4CB7-A558-4C3AB09C60C6}">
  <ds:schemaRefs/>
</ds:datastoreItem>
</file>

<file path=customXml/itemProps4.xml><?xml version="1.0" encoding="utf-8"?>
<ds:datastoreItem xmlns:ds="http://schemas.openxmlformats.org/officeDocument/2006/customXml" ds:itemID="{B8A7984C-2001-4A50-967F-B8046F067A3A}">
  <ds:schemaRefs/>
</ds:datastoreItem>
</file>

<file path=customXml/itemProps5.xml><?xml version="1.0" encoding="utf-8"?>
<ds:datastoreItem xmlns:ds="http://schemas.openxmlformats.org/officeDocument/2006/customXml" ds:itemID="{37CFA6DB-9F72-4833-AF0F-905877C795DF}">
  <ds:schemaRefs>
    <ds:schemaRef ds:uri="http://www.machineedit.net/AMOD/CustomXML/Spelling.htm"/>
  </ds:schemaRefs>
</ds:datastoreItem>
</file>

<file path=customXml/itemProps6.xml><?xml version="1.0" encoding="utf-8"?>
<ds:datastoreItem xmlns:ds="http://schemas.openxmlformats.org/officeDocument/2006/customXml" ds:itemID="{A8AEADA9-029C-4E59-886A-0CFF514EB318}">
  <ds:schemaRefs>
    <ds:schemaRef ds:uri="http://www.machineedit.net/AMOD/CustomXML/Inconsistencies.htm"/>
  </ds:schemaRefs>
</ds:datastoreItem>
</file>

<file path=customXml/itemProps7.xml><?xml version="1.0" encoding="utf-8"?>
<ds:datastoreItem xmlns:ds="http://schemas.openxmlformats.org/officeDocument/2006/customXml" ds:itemID="{A6F512DA-C648-49ED-B8B3-B12B698A134F}">
  <ds:schemaRefs>
    <ds:schemaRef ds:uri="http://www.machineedit.net/AMOD/CustomXML/Pre-Edit.htm"/>
  </ds:schemaRefs>
</ds:datastoreItem>
</file>

<file path=customXml/itemProps8.xml><?xml version="1.0" encoding="utf-8"?>
<ds:datastoreItem xmlns:ds="http://schemas.openxmlformats.org/officeDocument/2006/customXml" ds:itemID="{0B8D212C-DA51-40A1-ABB3-3145E1D68DAE}">
  <ds:schemaRefs>
    <ds:schemaRef ds:uri="http://www.machineedit.net/AMOD/CustomXML/Missing/Misplaced/Duplicate.htm"/>
  </ds:schemaRefs>
</ds:datastoreItem>
</file>

<file path=customXml/itemProps9.xml><?xml version="1.0" encoding="utf-8"?>
<ds:datastoreItem xmlns:ds="http://schemas.openxmlformats.org/officeDocument/2006/customXml" ds:itemID="{D0BD903B-B0DA-42DF-9AE8-1843FA3DFEAB}">
  <ds:schemaRefs>
    <ds:schemaRef ds:uri="http://schemas.microsoft.com/office/word/2010/wordml"/>
    <ds:schemaRef ds:uri="http://schemas.openxmlformats.org/officeDocument/2006/relationships"/>
    <ds:schemaRef ds:uri="http://schemas.openxmlformats.org/drawingml/2006/main"/>
    <ds:schemaRef ds:uri="http://schemas.microsoft.com/office/drawing/2010/main"/>
    <ds:schemaRef ds:uri="http://schemas.openxmlformats.org/wordprocessingml/2006/main"/>
    <ds:schemaRef ds:uri="http://schemas.openxmlformats.org/officeDocument/2006/math"/>
    <ds:schemaRef ds:uri="http://schemas.openxmlformats.org/drawingml/2006/wordprocessingDrawing"/>
    <ds:schemaRef ds:uri="http://schemas.microsoft.com/office/word/2010/wordprocessingDrawing"/>
    <ds:schemaRef ds:uri="http://schemas.microsoft.com/office/word/2012/wordml"/>
    <ds:schemaRef ds:uri="http://schemas.openxmlformats.org/markup-compatibility/2006"/>
    <ds:schemaRef ds:uri="http://schemas.openxmlformats.org/schemaLibrary/2006/main"/>
    <ds:schemaRef ds:uri="http://schemas.microsoft.com/office/word/2006/wordml"/>
    <ds:schemaRef ds:uri="http://schemas.openxmlformats.org/drawingml/2006/chart"/>
    <ds:schemaRef ds:uri="http://schemas.openxmlformats.org/drawingml/2006/chartDrawing"/>
    <ds:schemaRef ds:uri="http://schemas.microsoft.com/office/drawing/2007/8/2/chart"/>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vm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microsoft.com/ink/2010/main"/>
    <ds:schemaRef ds:uri="http://schemas.microsoft.com/office/drawing/2010/chartDrawing"/>
    <ds:schemaRef ds:uri="http://schemas.microsoft.com/office/drawing/2012/chart"/>
    <ds:schemaRef ds:uri="http://schemas.microsoft.com/office/drawing/2012/chartStyle"/>
    <ds:schemaRef ds:uri="http://www.w3.org/1998/Math/MathML"/>
    <ds:schemaRef ds:uri="http://www.w3.org/2003/InkML"/>
    <ds:schemaRef ds:uri="http://schemas.microsoft.com/office/drawing/2013/main/command"/>
    <ds:schemaRef ds:uri="http://schemas.microsoft.com/office/drawing/2014/chartex"/>
    <ds:schemaRef ds:uri="http://schemas.microsoft.com/office/drawing/2014/chart"/>
    <ds:schemaRef ds:uri="http://schemas.microsoft.com/office/drawing/2016/11/diagram"/>
    <ds:schemaRef ds:uri="http://schemas.microsoft.com/office/drawing/2017/03/chart"/>
    <ds:schemaRef ds:uri="http://schemas.microsoft.com/office/drawing/2017/model3d"/>
    <ds:schemaRef ds:uri="http://schemas.microsoft.com/office/drawing/2018/animation"/>
    <ds:schemaRef ds:uri="http://schemas.microsoft.com/office/drawing/2018/animation/model3d"/>
    <ds:schemaRef ds:uri="http://schemas.microsoft.com/office/powerpoint/2014/inkAction"/>
    <ds:schemaRef ds:uri="http://schemas.microsoft.com/office/thememl/2012/main"/>
    <ds:schemaRef ds:uri="http://schemas.microsoft.com/office/word/2010/wordprocessingShape"/>
    <ds:schemaRef ds:uri="http://schemas.microsoft.com/office/word/2010/wordprocessingCanvas"/>
    <ds:schemaRef ds:uri="http://schemas.microsoft.com/office/word/2010/wordprocessingGroup"/>
    <ds:schemaRef ds:uri="http://schemas.microsoft.com/office/word/2015/wordml/symex"/>
    <ds:schemaRef ds:uri="http://schemas.microsoft.com/office/word/2016/wordml/cid"/>
    <ds:schemaRef ds:uri="http://schemas.microsoft.com/office/webextensions/taskpanes/2010/11"/>
    <ds:schemaRef ds:uri="http://schemas.microsoft.com/office/webextensions/webextension/2010/11"/>
    <ds:schemaRef ds:uri="http://schemas.openxmlformats.org/drawingml/2006/compatibility"/>
    <ds:schemaRef ds:uri="http://schemas.openxmlformats.org/drawingml/2006/lockedCanvas"/>
    <ds:schemaRef ds:uri="http://schemas.microsoft.com/office/drawing/2010/diagram"/>
    <ds:schemaRef ds:uri="http://schemas.microsoft.com/office/drawing/2012/main"/>
    <ds:schemaRef ds:uri="http://schemas.microsoft.com/office/drawing/2010/picture"/>
    <ds:schemaRef ds:uri="http://schemas.microsoft.com/office/drawing/2014/chart/ac"/>
    <ds:schemaRef ds:uri="http://schemas.microsoft.com/office/drawing/2014/main"/>
    <ds:schemaRef ds:uri="http://schemas.microsoft.com/office/drawing/2016/11/main"/>
    <ds:schemaRef ds:uri="http://schemas.microsoft.com/office/drawing/2016/12/diagram"/>
    <ds:schemaRef ds:uri="http://schemas.microsoft.com/office/drawing/2016/SVG/main"/>
    <ds:schemaRef ds:uri="http://schemas.microsoft.com/office/drawing/2017/decorative"/>
    <ds:schemaRef ds:uri="http://schemas.microsoft.com/office/drawing/2018/hyperlinkcolor"/>
    <ds:schemaRef ds:uri="http://schemas.microsoft.com/office/word/2012/wordprocessingDrawing"/>
  </ds:schemaRefs>
</ds:datastoreItem>
</file>

<file path=docProps/app.xml><?xml version="1.0" encoding="utf-8"?>
<Properties xmlns="http://schemas.openxmlformats.org/officeDocument/2006/extended-properties" xmlns:vt="http://schemas.openxmlformats.org/officeDocument/2006/docPropsVTypes">
  <Template>Lww-REF.dotm</Template>
  <TotalTime>399</TotalTime>
  <Pages>32</Pages>
  <Words>5406</Words>
  <Characters>30815</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34</vt:lpstr>
    </vt:vector>
  </TitlesOfParts>
  <Company>Boston Children's Hospital</Company>
  <LinksUpToDate>false</LinksUpToDate>
  <CharactersWithSpaces>36149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34</dc:title>
  <dc:subject/>
  <dc:creator>OBRYAN</dc:creator>
  <cp:keywords/>
  <dc:description>Pagemajik - Stylefinder</dc:description>
  <cp:lastModifiedBy>Murali Balu</cp:lastModifiedBy>
  <cp:revision>77</cp:revision>
  <cp:lastPrinted>2025-03-24T15:51:00Z</cp:lastPrinted>
  <dcterms:created xsi:type="dcterms:W3CDTF">2025-09-25T14:47:00Z</dcterms:created>
  <dcterms:modified xsi:type="dcterms:W3CDTF">2026-01-16T10:23:00Z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e6ee112-9e5c-4f16-b63d-fcad06e1707e_Enabled">
    <vt:lpwstr>true</vt:lpwstr>
  </property>
  <property fmtid="{D5CDD505-2E9C-101B-9397-08002B2CF9AE}" pid="3" name="MSIP_Label_fe6ee112-9e5c-4f16-b63d-fcad06e1707e_SetDate">
    <vt:lpwstr>2025-12-03T21:14:34Z</vt:lpwstr>
  </property>
  <property fmtid="{D5CDD505-2E9C-101B-9397-08002B2CF9AE}" pid="4" name="MSIP_Label_fe6ee112-9e5c-4f16-b63d-fcad06e1707e_Method">
    <vt:lpwstr>Standard</vt:lpwstr>
  </property>
  <property fmtid="{D5CDD505-2E9C-101B-9397-08002B2CF9AE}" pid="5" name="MSIP_Label_fe6ee112-9e5c-4f16-b63d-fcad06e1707e_Name">
    <vt:lpwstr>Internal Use</vt:lpwstr>
  </property>
  <property fmtid="{D5CDD505-2E9C-101B-9397-08002B2CF9AE}" pid="6" name="MSIP_Label_fe6ee112-9e5c-4f16-b63d-fcad06e1707e_SiteId">
    <vt:lpwstr>8ac76c91-e7f1-41ff-a89c-3553b2da2c17</vt:lpwstr>
  </property>
  <property fmtid="{D5CDD505-2E9C-101B-9397-08002B2CF9AE}" pid="7" name="MSIP_Label_fe6ee112-9e5c-4f16-b63d-fcad06e1707e_ActionId">
    <vt:lpwstr>44157e35-9604-442e-aba0-9501890bef55</vt:lpwstr>
  </property>
  <property fmtid="{D5CDD505-2E9C-101B-9397-08002B2CF9AE}" pid="8" name="MSIP_Label_fe6ee112-9e5c-4f16-b63d-fcad06e1707e_ContentBits">
    <vt:lpwstr>0</vt:lpwstr>
  </property>
  <property fmtid="{D5CDD505-2E9C-101B-9397-08002B2CF9AE}" pid="9" name="MSIP_Label_fe6ee112-9e5c-4f16-b63d-fcad06e1707e_Tag">
    <vt:lpwstr>10, 3, 0, 1</vt:lpwstr>
  </property>
</Properties>
</file>