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240" w:before="0"/>
        <w:jc w:val="center"/>
      </w:pPr>
      <w:r>
        <w:rPr>
          <w:rFonts w:ascii="Arial" w:cs="Arial" w:eastAsia="Arial" w:hAnsi="Arial"/>
          <w:b/>
          <w:bCs/>
          <w:color w:val="1e3a5f"/>
          <w:sz w:val="56"/>
          <w:szCs w:val="56"/>
        </w:rPr>
        <w:t xml:space="preserve">Matrix Reimbursement Platform</w:t>
      </w:r>
    </w:p>
    <w:p>
      <w:pPr>
        <w:spacing w:after="120" w:before="0"/>
        <w:jc w:val="center"/>
      </w:pPr>
      <w:r>
        <w:rPr>
          <w:rFonts w:ascii="Arial" w:cs="Arial" w:eastAsia="Arial" w:hAnsi="Arial"/>
          <w:color w:val="1e3a5f"/>
          <w:sz w:val="40"/>
          <w:szCs w:val="40"/>
        </w:rPr>
        <w:t xml:space="preserve">System Architecture Design</w:t>
      </w:r>
    </w:p>
    <w:p>
      <w:pPr>
        <w:spacing w:after="80" w:before="0"/>
        <w:jc w:val="center"/>
      </w:pPr>
      <w:r>
        <w:rPr>
          <w:rFonts w:ascii="Arial" w:cs="Arial" w:eastAsia="Arial" w:hAnsi="Arial"/>
          <w:color w:val="666666"/>
          <w:sz w:val="24"/>
          <w:szCs w:val="24"/>
        </w:rPr>
        <w:t xml:space="preserve">Version 1.0  |  June 2026</w:t>
      </w:r>
    </w:p>
    <w:p>
      <w:pPr>
        <w:spacing w:after="2880" w:before="0"/>
      </w:pPr>
    </w:p>
    <w:p>
      <w:pPr>
        <w:jc w:val="center"/>
      </w:pPr>
      <w:r>
        <w:rPr>
          <w:rFonts w:ascii="Arial" w:cs="Arial" w:eastAsia="Arial" w:hAnsi="Arial"/>
          <w:i/>
          <w:iCs/>
          <w:color w:val="666666"/>
          <w:sz w:val="22"/>
          <w:szCs w:val="22"/>
        </w:rPr>
        <w:t xml:space="preserve">Senior Healthcare Platform Architecture Review</w:t>
      </w:r>
    </w:p>
    <w:p>
      <w:pPr>
        <w:pageBreakBefore/>
      </w:pPr>
    </w:p>
    <w:p>
      <w:pPr>
        <w:pStyle w:val="Heading1"/>
        <w:spacing w:after="160" w:before="4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60" w:before="400"/>
      </w:pPr>
      <w:r>
        <w:rPr>
          <w:rFonts w:ascii="Arial" w:cs="Arial" w:eastAsia="Arial" w:hAnsi="Arial"/>
          <w:b/>
          <w:bCs/>
          <w:sz w:val="32"/>
          <w:szCs w:val="32"/>
        </w:rPr>
        <w:t xml:space="preserve">1. Executive Summary</w:t>
      </w:r>
    </w:p>
    <w:p>
      <w:pPr>
        <w:pStyle w:val="Heading2"/>
        <w:spacing w:after="120" w:before="280"/>
      </w:pPr>
      <w:r>
        <w:rPr>
          <w:rFonts w:ascii="Arial" w:cs="Arial" w:eastAsia="Arial" w:hAnsi="Arial"/>
          <w:b/>
          <w:bCs/>
          <w:sz w:val="26"/>
          <w:szCs w:val="26"/>
        </w:rPr>
        <w:t xml:space="preserve">1.1 What the Current App Is</w:t>
      </w:r>
    </w:p>
    <w:p>
      <w:pPr>
        <w:spacing w:after="100" w:before="60"/>
      </w:pPr>
      <w:r>
        <w:rPr>
          <w:rFonts w:ascii="Arial" w:cs="Arial" w:eastAsia="Arial" w:hAnsi="Arial"/>
          <w:sz w:val="22"/>
          <w:szCs w:val="22"/>
        </w:rPr>
        <w:t xml:space="preserve">The current system is a pricing calculation engine with a contract management shell. It does one thing extremely well: given a contract ID, a procedure code, and a claim line, it resolves the correct rule and returns an allowed amount with a full audit trace. The contract model is mature — versioning, carve-outs, stop-loss, outlier, MPPR, blending, DRG, APC, and drug pricing are all implemented. The rule engine is sophisticated (specificity scoring, staged resolution, conditions).</w:t>
      </w:r>
    </w:p>
    <w:p>
      <w:pPr>
        <w:spacing w:after="100" w:before="60"/>
      </w:pPr>
      <w:r>
        <w:rPr>
          <w:rFonts w:ascii="Arial" w:cs="Arial" w:eastAsia="Arial" w:hAnsi="Arial"/>
          <w:sz w:val="22"/>
          <w:szCs w:val="22"/>
        </w:rPr>
        <w:t xml:space="preserve">What it is not is a reimbursement platform. Today the caller must already know which contract applies. The system has no opinion on who the member is, which product they are enrolled in, which network their provider participates in, or whether the billing provider and rendering provider are different entities. These gaps are not bugs — they were the correct scope for a pricing kernel. They become the limiting constraint the moment a real claim arrives.</w:t>
      </w:r>
    </w:p>
    <w:p>
      <w:pPr>
        <w:pStyle w:val="Heading2"/>
        <w:spacing w:after="120" w:before="280"/>
      </w:pPr>
      <w:r>
        <w:rPr>
          <w:rFonts w:ascii="Arial" w:cs="Arial" w:eastAsia="Arial" w:hAnsi="Arial"/>
          <w:b/>
          <w:bCs/>
          <w:sz w:val="26"/>
          <w:szCs w:val="26"/>
        </w:rPr>
        <w:t xml:space="preserve">1.2 The Gap: Pricing Tool vs. Reimbursement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Dimension</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Pricing Tool (Today)</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Reimbursement Platform (Target)</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 selection</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Caller supplies contract_id</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System resolves from claim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Thin org + NPI fields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Rich provider domain: billing, rendering, facility, specialty, affiliation, network participation</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Not modeled</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 + enrollment + product 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Product / LOB</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Partial hints in ContractVersion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First-class product/plan/LOB driving contract and network resolution</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Network</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PayerNetwork exists but thin</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Network participation as a primary resolution axis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Claim intake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Simplified ClaimHeader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Enriched claim with billing/rendering/facility/service context</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Context resolution</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None — manual</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Automated: member → product → network → contract → 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Repricing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 modeled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Core workflow: apply different contract to historical claim</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Simulation</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Draft rule only</w:t>
            </w:r>
          </w:p>
        </w:tc>
        <w:tc>
          <w:tcPr>
            <w:tcW w:type="dxa" w:w="33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Full scenario simulation across provider, product, contract changes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Audit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Per-line trace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End-to-end provenance: claim → context → contract → rule → price</w:t>
            </w:r>
          </w:p>
        </w:tc>
      </w:tr>
    </w:tbl>
    <w:p>
      <w:pPr>
        <w:pStyle w:val="Heading2"/>
        <w:spacing w:after="120" w:before="280"/>
      </w:pPr>
      <w:r>
        <w:rPr>
          <w:rFonts w:ascii="Arial" w:cs="Arial" w:eastAsia="Arial" w:hAnsi="Arial"/>
          <w:b/>
          <w:bCs/>
          <w:sz w:val="26"/>
          <w:szCs w:val="26"/>
        </w:rPr>
        <w:t xml:space="preserve">1.3 Can the Existing Pricing Core Remain Intact?</w:t>
      </w:r>
    </w:p>
    <w:p>
      <w:pPr>
        <w:spacing w:after="100" w:before="60"/>
      </w:pPr>
      <w:r>
        <w:rPr>
          <w:rFonts w:ascii="Arial" w:cs="Arial" w:eastAsia="Arial" w:hAnsi="Arial"/>
          <w:sz w:val="22"/>
          <w:szCs w:val="22"/>
        </w:rPr>
        <w:t xml:space="preserve">Yes — under one condition: upstream context resolution must produce a well-formed ClaimPricingContext (a structured input DTO) that feeds the existing ClaimOrchestrator without requiring it to know where the contract came from.</w:t>
      </w:r>
    </w:p>
    <w:p>
      <w:pPr>
        <w:spacing w:after="100" w:before="60"/>
      </w:pPr>
      <w:r>
        <w:rPr>
          <w:rFonts w:ascii="Arial" w:cs="Arial" w:eastAsia="Arial" w:hAnsi="Arial"/>
          <w:sz w:val="22"/>
          <w:szCs w:val="22"/>
        </w:rPr>
        <w:t xml:space="preserve">The engine already accepts contract_id + claim lines and produces correct output. The work is not inside the engine — it is in the layer above it that answers "which contract?" before the engine runs.</w:t>
      </w:r>
    </w:p>
    <w:p>
      <w:pPr>
        <w:spacing w:after="100" w:before="60"/>
      </w:pPr>
      <w:r>
        <w:rPr>
          <w:rFonts w:ascii="Arial" w:cs="Arial" w:eastAsia="Arial" w:hAnsi="Arial"/>
          <w:sz w:val="22"/>
          <w:szCs w:val="22"/>
        </w:rPr>
        <w:t xml:space="preserve">Concretely: the existing ClaimPricingService, ClaimOrchestrator, StrictRuleResolver, and all strategies can remain unchanged. What must be built is a Pricing Context Resolver that takes an enriched claim + member + provider context and produces the contract binding that the engine already expects.</w:t>
      </w:r>
    </w:p>
    <w:p>
      <w:pPr>
        <w:spacing w:after="100" w:before="60"/>
      </w:pPr>
      <w:r>
        <w:rPr>
          <w:rFonts w:ascii="Arial" w:cs="Arial" w:eastAsia="Arial" w:hAnsi="Arial"/>
          <w:sz w:val="22"/>
          <w:szCs w:val="22"/>
        </w:rPr>
        <w:t xml:space="preserve">The only internal changes warranted in the near term are:</w:t>
      </w:r>
    </w:p>
    <w:p>
      <w:pPr>
        <w:pStyle w:val="ListParagraph"/>
        <w:numPr>
          <w:ilvl w:val="0"/>
          <w:numId w:val="2"/>
        </w:numPr>
        <w:spacing w:after="60" w:before="40"/>
      </w:pPr>
      <w:r>
        <w:rPr>
          <w:rFonts w:ascii="Arial" w:cs="Arial" w:eastAsia="Arial" w:hAnsi="Arial"/>
          <w:sz w:val="22"/>
          <w:szCs w:val="22"/>
        </w:rPr>
        <w:t xml:space="preserve">Accepting billing_provider_id, rendering_provider_id, facility_id, member_id, and product_id on ClaimPricingInput (today these are optional hints)</w:t>
      </w:r>
    </w:p>
    <w:p>
      <w:pPr>
        <w:pStyle w:val="ListParagraph"/>
        <w:numPr>
          <w:ilvl w:val="0"/>
          <w:numId w:val="2"/>
        </w:numPr>
        <w:spacing w:after="60" w:before="40"/>
      </w:pPr>
      <w:r>
        <w:rPr>
          <w:rFonts w:ascii="Arial" w:cs="Arial" w:eastAsia="Arial" w:hAnsi="Arial"/>
          <w:sz w:val="22"/>
          <w:szCs w:val="22"/>
        </w:rPr>
        <w:t xml:space="preserve">Making contract resolution in loader.py use those fields properly rather than the current thin matching logic</w:t>
      </w:r>
    </w:p>
    <w:p>
      <w:pPr>
        <w:pStyle w:val="ListParagraph"/>
        <w:numPr>
          <w:ilvl w:val="0"/>
          <w:numId w:val="2"/>
        </w:numPr>
        <w:spacing w:after="60" w:before="40"/>
      </w:pPr>
      <w:r>
        <w:rPr>
          <w:rFonts w:ascii="Arial" w:cs="Arial" w:eastAsia="Arial" w:hAnsi="Arial"/>
          <w:sz w:val="22"/>
          <w:szCs w:val="22"/>
        </w:rPr>
        <w:t xml:space="preserve">Removing print() debug statements and replacing with logging</w:t>
      </w:r>
    </w:p>
    <w:p>
      <w:pPr>
        <w:spacing w:after="100" w:before="60"/>
      </w:pPr>
      <w:r>
        <w:rPr>
          <w:rFonts w:ascii="Arial" w:cs="Arial" w:eastAsia="Arial" w:hAnsi="Arial"/>
          <w:sz w:val="22"/>
          <w:szCs w:val="22"/>
        </w:rPr>
        <w:t xml:space="preserve">Everything else is additive, upstream, or in new bounded contexts.</w:t>
      </w:r>
    </w:p>
    <w:p>
      <w:pPr>
        <w:pageBreakBefore/>
      </w:pPr>
    </w:p>
    <w:p>
      <w:pPr>
        <w:pStyle w:val="Heading1"/>
        <w:spacing w:after="160" w:before="400"/>
      </w:pPr>
      <w:r>
        <w:rPr>
          <w:rFonts w:ascii="Arial" w:cs="Arial" w:eastAsia="Arial" w:hAnsi="Arial"/>
          <w:b/>
          <w:bCs/>
          <w:sz w:val="32"/>
          <w:szCs w:val="32"/>
        </w:rPr>
        <w:t xml:space="preserve">2. Problem Framing</w:t>
      </w:r>
    </w:p>
    <w:p>
      <w:pPr>
        <w:pStyle w:val="Heading2"/>
        <w:spacing w:after="120" w:before="280"/>
      </w:pPr>
      <w:r>
        <w:rPr>
          <w:rFonts w:ascii="Arial" w:cs="Arial" w:eastAsia="Arial" w:hAnsi="Arial"/>
          <w:b/>
          <w:bCs/>
          <w:sz w:val="26"/>
          <w:szCs w:val="26"/>
        </w:rPr>
        <w:t xml:space="preserve">2.1 The Real Pricing Problem in Healthcare Reimbursement</w:t>
      </w:r>
    </w:p>
    <w:p>
      <w:pPr>
        <w:spacing w:after="100" w:before="60"/>
      </w:pPr>
      <w:r>
        <w:rPr>
          <w:rFonts w:ascii="Arial" w:cs="Arial" w:eastAsia="Arial" w:hAnsi="Arial"/>
          <w:sz w:val="22"/>
          <w:szCs w:val="22"/>
        </w:rPr>
        <w:t xml:space="preserve">Healthcare reimbursement pricing is not fundamentally a math problem. The math — once you have the right contract and rule — is straightforward. The hard problem is context resolution: determining which contractual relationship governs a specific claim, for a specific member, delivered by a specific provider, under a specific product, on a specific date.</w:t>
      </w:r>
    </w:p>
    <w:p>
      <w:pPr>
        <w:spacing w:after="100" w:before="60"/>
      </w:pPr>
      <w:r>
        <w:rPr>
          <w:rFonts w:ascii="Arial" w:cs="Arial" w:eastAsia="Arial" w:hAnsi="Arial"/>
          <w:sz w:val="22"/>
          <w:szCs w:val="22"/>
        </w:rPr>
        <w:t xml:space="preserve">Real reimbursement pricing has five sub-problems:</w:t>
      </w:r>
    </w:p>
    <w:p>
      <w:pPr>
        <w:spacing w:after="100" w:before="60"/>
      </w:pPr>
      <w:r>
        <w:rPr>
          <w:rFonts w:ascii="Arial" w:cs="Arial" w:eastAsia="Arial" w:hAnsi="Arial"/>
          <w:b/>
          <w:bCs/>
          <w:sz w:val="22"/>
          <w:szCs w:val="22"/>
        </w:rPr>
        <w:t xml:space="preserve">1. Who delivered the service?</w:t>
      </w:r>
    </w:p>
    <w:p>
      <w:pPr>
        <w:spacing w:after="100" w:before="60"/>
      </w:pPr>
      <w:r>
        <w:rPr>
          <w:rFonts w:ascii="Arial" w:cs="Arial" w:eastAsia="Arial" w:hAnsi="Arial"/>
          <w:sz w:val="22"/>
          <w:szCs w:val="22"/>
        </w:rPr>
        <w:t xml:space="preserve">A claim has a billing provider (the entity submitting the bill, usually a group or facility), a rendering provider (the individual clinician), and optionally a facility (the place of service). Each may have different network participation, different contracts, and different fee schedules.</w:t>
      </w:r>
    </w:p>
    <w:p>
      <w:pPr>
        <w:spacing w:after="100" w:before="60"/>
      </w:pPr>
      <w:r>
        <w:rPr>
          <w:rFonts w:ascii="Arial" w:cs="Arial" w:eastAsia="Arial" w:hAnsi="Arial"/>
          <w:b/>
          <w:bCs/>
          <w:sz w:val="22"/>
          <w:szCs w:val="22"/>
        </w:rPr>
        <w:t xml:space="preserve">2. Who is the member and what product are they on?</w:t>
      </w:r>
    </w:p>
    <w:p>
      <w:pPr>
        <w:spacing w:after="100" w:before="60"/>
      </w:pPr>
      <w:r>
        <w:rPr>
          <w:rFonts w:ascii="Arial" w:cs="Arial" w:eastAsia="Arial" w:hAnsi="Arial"/>
          <w:sz w:val="22"/>
          <w:szCs w:val="22"/>
        </w:rPr>
        <w:t xml:space="preserve">The same procedure for the same provider may price differently depending on whether the member is on a commercial PPO, a Medicare Advantage plan, or a Medicaid managed care product. Product drives LOB, which drives which contract family applies.</w:t>
      </w:r>
    </w:p>
    <w:p>
      <w:pPr>
        <w:spacing w:after="100" w:before="60"/>
      </w:pPr>
      <w:r>
        <w:rPr>
          <w:rFonts w:ascii="Arial" w:cs="Arial" w:eastAsia="Arial" w:hAnsi="Arial"/>
          <w:b/>
          <w:bCs/>
          <w:sz w:val="22"/>
          <w:szCs w:val="22"/>
        </w:rPr>
        <w:t xml:space="preserve">3. Which network governs the relationship?</w:t>
      </w:r>
    </w:p>
    <w:p>
      <w:pPr>
        <w:spacing w:after="100" w:before="60"/>
      </w:pPr>
      <w:r>
        <w:rPr>
          <w:rFonts w:ascii="Arial" w:cs="Arial" w:eastAsia="Arial" w:hAnsi="Arial"/>
          <w:sz w:val="22"/>
          <w:szCs w:val="22"/>
        </w:rPr>
        <w:t xml:space="preserve">In-network vs. out-of-network is a binary that changes the entire pricing path. A provider may be in-network for a primary care product but out-of-network for a specialist product from the same payer. Network participation is a dated, scoped relationship between a provider and a payer product.</w:t>
      </w:r>
    </w:p>
    <w:p>
      <w:pPr>
        <w:spacing w:after="100" w:before="60"/>
      </w:pPr>
      <w:r>
        <w:rPr>
          <w:rFonts w:ascii="Arial" w:cs="Arial" w:eastAsia="Arial" w:hAnsi="Arial"/>
          <w:b/>
          <w:bCs/>
          <w:sz w:val="22"/>
          <w:szCs w:val="22"/>
        </w:rPr>
        <w:t xml:space="preserve">4. Which contract and rule apply?</w:t>
      </w:r>
    </w:p>
    <w:p>
      <w:pPr>
        <w:spacing w:after="100" w:before="60"/>
      </w:pPr>
      <w:r>
        <w:rPr>
          <w:rFonts w:ascii="Arial" w:cs="Arial" w:eastAsia="Arial" w:hAnsi="Arial"/>
          <w:sz w:val="22"/>
          <w:szCs w:val="22"/>
        </w:rPr>
        <w:t xml:space="preserve">Once provider, member, and product are known, contract resolution must find the governing contract for the service date. If multiple contracts match, the most specific one wins. This is exactly what the existing StrictRuleResolver does — but it currently starts from contract_id, not from claim context.</w:t>
      </w:r>
    </w:p>
    <w:p>
      <w:pPr>
        <w:spacing w:after="100" w:before="60"/>
      </w:pPr>
      <w:r>
        <w:rPr>
          <w:rFonts w:ascii="Arial" w:cs="Arial" w:eastAsia="Arial" w:hAnsi="Arial"/>
          <w:b/>
          <w:bCs/>
          <w:sz w:val="22"/>
          <w:szCs w:val="22"/>
        </w:rPr>
        <w:t xml:space="preserve">5. Are there carve-outs, exceptions, or overrides?</w:t>
      </w:r>
    </w:p>
    <w:p>
      <w:pPr>
        <w:spacing w:after="100" w:before="60"/>
      </w:pPr>
      <w:r>
        <w:rPr>
          <w:rFonts w:ascii="Arial" w:cs="Arial" w:eastAsia="Arial" w:hAnsi="Arial"/>
          <w:sz w:val="22"/>
          <w:szCs w:val="22"/>
        </w:rPr>
        <w:t xml:space="preserve">Specific procedure codes, revenue codes, DRG ranges, or member cohorts may be carved out, priced at a different rate, or subject to stop-loss / outlier provisions. This is already handled by the existing engine's post-resolution pipeline.</w:t>
      </w:r>
    </w:p>
    <w:p>
      <w:pPr>
        <w:pStyle w:val="Heading2"/>
        <w:spacing w:after="120" w:before="280"/>
      </w:pPr>
      <w:r>
        <w:rPr>
          <w:rFonts w:ascii="Arial" w:cs="Arial" w:eastAsia="Arial" w:hAnsi="Arial"/>
          <w:b/>
          <w:bCs/>
          <w:sz w:val="26"/>
          <w:szCs w:val="26"/>
        </w:rPr>
        <w:t xml:space="preserve">2.2 How Context Axes Interact</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Member ─────────────────────→ Product/Plan ────→ Line of Business</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Provider ──→ Affiliation → Network Participation → Network</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Billing NPI   Rendering NPI / Specialty / Facility</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Claim Context (dates, codes, site)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Contract Resolution  ←── Scope / Participation</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Rule Resolution (existing engine)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Allowed Amount + Audit</w:t>
      </w:r>
    </w:p>
    <w:p>
      <w:pPr>
        <w:shd w:fill="EEF2F8" w:val="clear"/>
        <w:spacing w:after="120" w:before="0"/>
        <w:ind w:left="360"/>
      </w:pPr>
      <w:r>
        <w:rPr>
          <w:rFonts w:ascii="Courier New" w:cs="Courier New" w:eastAsia="Courier New" w:hAnsi="Courier New"/>
          <w:sz w:val="18"/>
          <w:szCs w:val="18"/>
        </w:rPr>
        <w:t xml:space="preserve"/>
      </w:r>
    </w:p>
    <w:p>
      <w:pPr>
        <w:pStyle w:val="Heading2"/>
        <w:spacing w:after="120" w:before="280"/>
      </w:pPr>
      <w:r>
        <w:rPr>
          <w:rFonts w:ascii="Arial" w:cs="Arial" w:eastAsia="Arial" w:hAnsi="Arial"/>
          <w:b/>
          <w:bCs/>
          <w:sz w:val="26"/>
          <w:szCs w:val="26"/>
        </w:rPr>
        <w:t xml:space="preserve">2.3 What "Pricing Context Resolution" Should Mean</w:t>
      </w:r>
    </w:p>
    <w:p>
      <w:pPr>
        <w:spacing w:after="100" w:before="60"/>
      </w:pPr>
      <w:r>
        <w:rPr>
          <w:rFonts w:ascii="Arial" w:cs="Arial" w:eastAsia="Arial" w:hAnsi="Arial"/>
          <w:sz w:val="22"/>
          <w:szCs w:val="22"/>
        </w:rPr>
        <w:t xml:space="preserve">Pricing context resolution is the process of transforming a raw claim + upstream domain data into a fully-resolved, engine-ready ClaimPricingContext. It is a read-only, deterministic lookup — not a pricing calculation. Its job is to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Source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Who is the member?</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 master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What product/LOB are they enrolled in on the service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Enrollment</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Which network does that product use for this service type?</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Product → Network config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Is the rendering provider in that network on the service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 Network participation</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What contract governs that provider/network/product combination?</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 + ContractScope + ContractProviderParticipation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What is the pricing date, claim type, site of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Claim context</w:t>
            </w:r>
          </w:p>
        </w:tc>
      </w:tr>
    </w:tbl>
    <w:p>
      <w:pPr>
        <w:pageBreakBefore/>
      </w:pPr>
    </w:p>
    <w:p>
      <w:pPr>
        <w:pStyle w:val="Heading1"/>
        <w:spacing w:after="160" w:before="400"/>
      </w:pPr>
      <w:r>
        <w:rPr>
          <w:rFonts w:ascii="Arial" w:cs="Arial" w:eastAsia="Arial" w:hAnsi="Arial"/>
          <w:b/>
          <w:bCs/>
          <w:sz w:val="32"/>
          <w:szCs w:val="32"/>
        </w:rPr>
        <w:t xml:space="preserve">3. Target Domain Model</w:t>
      </w:r>
    </w:p>
    <w:p>
      <w:pPr>
        <w:pStyle w:val="Heading2"/>
        <w:spacing w:after="120" w:before="280"/>
      </w:pPr>
      <w:r>
        <w:rPr>
          <w:rFonts w:ascii="Arial" w:cs="Arial" w:eastAsia="Arial" w:hAnsi="Arial"/>
          <w:b/>
          <w:bCs/>
          <w:sz w:val="26"/>
          <w:szCs w:val="26"/>
        </w:rPr>
        <w:t xml:space="preserve">3.1 Provider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Master record for every individual clinician, non-physician practitioner, or individual healthcare professional who renders services.</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Individual clinician: NPI (Type 1), name, credentials, license state, DEA, taxonomy code(s)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ProviderCredential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License type, license number, state, expiration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ProviderTaxonomy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NUCC taxonomy codes (primary + secondary) — drives specialty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ProviderSpecialty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Human-readable specialty (derived from taxonomy or manually set)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ProviderIdentifier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Alternate IDs: Medicaid provider ID, UPIN (legacy), payer-specific IDs</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Provider → ProviderOrganization (affiliation), Provider → Network (participation), Provider → ProviderSpecialty</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Specialty drives fee schedule selection. The rendering provider NPI determines network status and may determine which contract applies when a billing group has multiple contracts by specialty or product line.</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NPI, taxonomy/specialty, basic credential status.</w:t>
      </w:r>
      <w:r>
        <w:rPr>
          <w:rFonts w:ascii="Arial" w:cs="Arial" w:eastAsia="Arial" w:hAnsi="Arial"/>
          <w:b/>
          <w:bCs/>
          <w:sz w:val="22"/>
          <w:szCs w:val="22"/>
        </w:rPr>
        <w:t xml:space="preserve">   Optional now: </w:t>
      </w:r>
      <w:r>
        <w:rPr>
          <w:rFonts w:ascii="Arial" w:cs="Arial" w:eastAsia="Arial" w:hAnsi="Arial"/>
          <w:sz w:val="22"/>
          <w:szCs w:val="22"/>
        </w:rPr>
        <w:t xml:space="preserve">Full credential lifecycle, DEA, CAQH integration.</w:t>
      </w:r>
    </w:p>
    <w:p>
      <w:pPr>
        <w:pStyle w:val="Heading2"/>
        <w:spacing w:after="120" w:before="280"/>
      </w:pPr>
      <w:r>
        <w:rPr>
          <w:rFonts w:ascii="Arial" w:cs="Arial" w:eastAsia="Arial" w:hAnsi="Arial"/>
          <w:b/>
          <w:bCs/>
          <w:sz w:val="26"/>
          <w:szCs w:val="26"/>
        </w:rPr>
        <w:t xml:space="preserve">3.2 Facility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Master record for every physical location where services are rendered — hospitals, ASCs, imaging centers, labs, offices.</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Facility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NPI (Type 2), name, facility type, address, CMS Certification Number (CCN)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FacilityType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Hospital (inpatient/outpatient), ASC, SNF, FQHC, RHC, lab, imaging, physician office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FacilityPlaceOfService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CMS Place of Service codes mapped to facility (11=office, 21=inpatient, 22=outpatient, 24=ASC)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FacilityBedCount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Operational capacity (relevant for DRG case rate modeling)</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FacilityAccreditation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Joint Commission, CMS-certified, state licensure</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Facility → ProviderOrganization (owned by or affiliated with), Facility → Network participation</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Place of service changes the pricing methodology. The same CPT code billed from a physician office (POS 11) prices under RBRVS with office PE RVUs; from an outpatient hospital (POS 22) prices under APC/OPPS with facility rates.</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Facility type, POS codes, CCN, NPI.</w:t>
      </w:r>
      <w:r>
        <w:rPr>
          <w:rFonts w:ascii="Arial" w:cs="Arial" w:eastAsia="Arial" w:hAnsi="Arial"/>
          <w:b/>
          <w:bCs/>
          <w:sz w:val="22"/>
          <w:szCs w:val="22"/>
        </w:rPr>
        <w:t xml:space="preserve">   Optional now: </w:t>
      </w:r>
      <w:r>
        <w:rPr>
          <w:rFonts w:ascii="Arial" w:cs="Arial" w:eastAsia="Arial" w:hAnsi="Arial"/>
          <w:sz w:val="22"/>
          <w:szCs w:val="22"/>
        </w:rPr>
        <w:t xml:space="preserve">Bed count, accreditation, credentialing.</w:t>
      </w:r>
    </w:p>
    <w:p>
      <w:pPr>
        <w:pStyle w:val="Heading2"/>
        <w:spacing w:after="120" w:before="280"/>
      </w:pPr>
      <w:r>
        <w:rPr>
          <w:rFonts w:ascii="Arial" w:cs="Arial" w:eastAsia="Arial" w:hAnsi="Arial"/>
          <w:b/>
          <w:bCs/>
          <w:sz w:val="26"/>
          <w:szCs w:val="26"/>
        </w:rPr>
        <w:t xml:space="preserve">3.3 Provider Organization / Group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Master record for the billing entity — the tax entity that submits claims and holds contracts. (Already exists as ProviderOrganization — needs hierarchy and richer identifiers.)</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ProviderOrganization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Tax ID (EIN), NPI (Type 2), legal name, group type (solo/group/IDS/health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OrganizationHierarchy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Parent/child relationships (system → hospital → department)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OrganizationIdentifier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Payer-assigned group IDs, state Medicaid IDs</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ProviderOrganization → Provider (employs/affiliates), ProviderOrganization → Facility (owns/operates), ProviderOrganization → Contract (holds)</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Contracts are almost always held at the organization level (Tax ID), not the individual provider level. The billing NPI on a claim maps to a ProviderOrganization, which maps to a contract.</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Tax ID, NPI Type 2, organization type, parent hierarchy (2 levels).</w:t>
      </w:r>
      <w:r>
        <w:rPr>
          <w:rFonts w:ascii="Arial" w:cs="Arial" w:eastAsia="Arial" w:hAnsi="Arial"/>
          <w:b/>
          <w:bCs/>
          <w:sz w:val="22"/>
          <w:szCs w:val="22"/>
        </w:rPr>
        <w:t xml:space="preserve">   Optional now: </w:t>
      </w:r>
      <w:r>
        <w:rPr>
          <w:rFonts w:ascii="Arial" w:cs="Arial" w:eastAsia="Arial" w:hAnsi="Arial"/>
          <w:sz w:val="22"/>
          <w:szCs w:val="22"/>
        </w:rPr>
        <w:t xml:space="preserve">Deep org hierarchy, M&amp;A history, IDN relationships.</w:t>
      </w:r>
    </w:p>
    <w:p>
      <w:pPr>
        <w:pStyle w:val="Heading2"/>
        <w:spacing w:after="120" w:before="280"/>
      </w:pPr>
      <w:r>
        <w:rPr>
          <w:rFonts w:ascii="Arial" w:cs="Arial" w:eastAsia="Arial" w:hAnsi="Arial"/>
          <w:b/>
          <w:bCs/>
          <w:sz w:val="26"/>
          <w:szCs w:val="26"/>
        </w:rPr>
        <w:t xml:space="preserve">3.4 Provider Affiliation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Models the dated relationship between an individual provider and an organization or facility — who works where, in what role, during what period.</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ProviderAffiliation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 → ProviderOrganization, role (employee/contractor/admitting/covering), effective 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ProviderFacilityAffiliation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 Facility, privilege type (admitting/surgical/consulting), effective dates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RenderingProviderBillingGroup</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Which billing groups a provider renders under (for contract resolution)</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Many-to-many between Provider and ProviderOrganization; many-to-many between Provider and Facility; all date-scoped.</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When a claim arrives with a billing NPI (organization) and a rendering NPI (individual), the system must verify the rendering provider was affiliated with the billing organization on the service date. This is the foundation of contract inheritance.</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Provider → Org affiliation with effective dates.</w:t>
      </w:r>
      <w:r>
        <w:rPr>
          <w:rFonts w:ascii="Arial" w:cs="Arial" w:eastAsia="Arial" w:hAnsi="Arial"/>
          <w:b/>
          <w:bCs/>
          <w:sz w:val="22"/>
          <w:szCs w:val="22"/>
        </w:rPr>
        <w:t xml:space="preserve">   Optional now: </w:t>
      </w:r>
      <w:r>
        <w:rPr>
          <w:rFonts w:ascii="Arial" w:cs="Arial" w:eastAsia="Arial" w:hAnsi="Arial"/>
          <w:sz w:val="22"/>
          <w:szCs w:val="22"/>
        </w:rPr>
        <w:t xml:space="preserve">Facility privileges, covering/locum tenens relationships.</w:t>
      </w:r>
    </w:p>
    <w:p>
      <w:pPr>
        <w:pStyle w:val="Heading2"/>
        <w:spacing w:after="120" w:before="280"/>
      </w:pPr>
      <w:r>
        <w:rPr>
          <w:rFonts w:ascii="Arial" w:cs="Arial" w:eastAsia="Arial" w:hAnsi="Arial"/>
          <w:b/>
          <w:bCs/>
          <w:sz w:val="26"/>
          <w:szCs w:val="26"/>
        </w:rPr>
        <w:t xml:space="preserve">3.5 Payer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Master record for the insurance company, health plan, TPA, or self-funded plan sponsor.</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PayerOrganization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Parent payer (BCBS, Aetna, UHC, CMS for Medicare, State Medicaid agency)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Operating entity that issues EOBs and remits payments (may differ from parent)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PayerIdentifier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Payer IDs used on claims (837P/837I loops 2010BB)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PayerContact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EDI contacts, portal URLs, claims submission addresses</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Payer → PayerOrganization (parent), Payer → PayerNetwork (one payer operates many networks across products)</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Payer identity determines which contract family and which conversion factors apply. CMS Medicare repricing uses published fee schedules; commercial payers use negotiated rates.</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Payer entity, payer ID (for claim matching), parent org.</w:t>
      </w:r>
      <w:r>
        <w:rPr>
          <w:rFonts w:ascii="Arial" w:cs="Arial" w:eastAsia="Arial" w:hAnsi="Arial"/>
          <w:b/>
          <w:bCs/>
          <w:sz w:val="22"/>
          <w:szCs w:val="22"/>
        </w:rPr>
        <w:t xml:space="preserve">   Optional now: </w:t>
      </w:r>
      <w:r>
        <w:rPr>
          <w:rFonts w:ascii="Arial" w:cs="Arial" w:eastAsia="Arial" w:hAnsi="Arial"/>
          <w:sz w:val="22"/>
          <w:szCs w:val="22"/>
        </w:rPr>
        <w:t xml:space="preserve">EDI contacts, portal URLs.</w:t>
      </w:r>
    </w:p>
    <w:p>
      <w:pPr>
        <w:pStyle w:val="Heading2"/>
        <w:spacing w:after="120" w:before="280"/>
      </w:pPr>
      <w:r>
        <w:rPr>
          <w:rFonts w:ascii="Arial" w:cs="Arial" w:eastAsia="Arial" w:hAnsi="Arial"/>
          <w:b/>
          <w:bCs/>
          <w:sz w:val="26"/>
          <w:szCs w:val="26"/>
        </w:rPr>
        <w:t xml:space="preserve">3.6 Product / Plan / Line of Business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Models the insurance product that a member is enrolled in — the commercial PPO, HMO, Medicare Advantage plan, or Medicaid managed care contract.</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LineOfBusiness</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Categorical segment: Commercial, Medicare Advantage, Medicaid, Exchange, Self-Funded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Product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Named product offered by a payer: "BlueSelect PPO 2025", "Aetna Medicare Advantage HMO"</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Plan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Specific benefit design under a product (may differ by employer group or metal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ProductNetworkConfig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Which networks this product uses by service type and geographic area</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ProductEffectivePeriod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Product active dates (products are annual)</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Payer → Product → Plan; Product → Network (via ProductNetworkConfig); Product drives LOB which drives contract family selection</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Product is the single most important upstream determinant of which contract applies. The same provider may have three different contracts with the same payer — one for commercial PPO, one for Medicare Advantage, one for Exchange.</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LOB, Product, ProductNetworkConfig (product → network mapping by service type).</w:t>
      </w:r>
      <w:r>
        <w:rPr>
          <w:rFonts w:ascii="Arial" w:cs="Arial" w:eastAsia="Arial" w:hAnsi="Arial"/>
          <w:b/>
          <w:bCs/>
          <w:sz w:val="22"/>
          <w:szCs w:val="22"/>
        </w:rPr>
        <w:t xml:space="preserve">   Optional now: </w:t>
      </w:r>
      <w:r>
        <w:rPr>
          <w:rFonts w:ascii="Arial" w:cs="Arial" w:eastAsia="Arial" w:hAnsi="Arial"/>
          <w:sz w:val="22"/>
          <w:szCs w:val="22"/>
        </w:rPr>
        <w:t xml:space="preserve">Plan-level benefit design, employer group differentiation, metal tiers.</w:t>
      </w:r>
    </w:p>
    <w:p>
      <w:pPr>
        <w:pStyle w:val="Heading2"/>
        <w:spacing w:after="120" w:before="280"/>
      </w:pPr>
      <w:r>
        <w:rPr>
          <w:rFonts w:ascii="Arial" w:cs="Arial" w:eastAsia="Arial" w:hAnsi="Arial"/>
          <w:b/>
          <w:bCs/>
          <w:sz w:val="26"/>
          <w:szCs w:val="26"/>
        </w:rPr>
        <w:t xml:space="preserve">3.7 Network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Models the network of providers that a payer/product makes available to members.</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Network</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Named network: "Tier 1 HMO", "Broad PPO", "Narrow ACO"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NetworkType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HMO, PPO, EPO, POS, ACO, narrow</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ProviderNetworkParticipation</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 (or Org) → Network, effective dates, tier (in-network/tier1/tier2), specialty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FacilityNetworkParticipation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Facility → Network, effective dates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NetworkGeography</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Counties/states/ZIP codes where network is active</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Product → Network (ProductNetworkConfig), Provider → Network (ProviderNetworkParticipation, date-scoped), Facility → Network (FacilityNetworkParticipation, date-scoped)</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Network participation status on the service date determines in-network vs. out-of-network pricing. It also narrows which contracts apply — contracts are scoped to a network, so resolving the network is a prerequisite for resolving the contract.</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Network entity, ProviderNetworkParticipation (NPI + network + effective dates + in/out status).</w:t>
      </w:r>
      <w:r>
        <w:rPr>
          <w:rFonts w:ascii="Arial" w:cs="Arial" w:eastAsia="Arial" w:hAnsi="Arial"/>
          <w:b/>
          <w:bCs/>
          <w:sz w:val="22"/>
          <w:szCs w:val="22"/>
        </w:rPr>
        <w:t xml:space="preserve">   Optional now: </w:t>
      </w:r>
      <w:r>
        <w:rPr>
          <w:rFonts w:ascii="Arial" w:cs="Arial" w:eastAsia="Arial" w:hAnsi="Arial"/>
          <w:sz w:val="22"/>
          <w:szCs w:val="22"/>
        </w:rPr>
        <w:t xml:space="preserve">Tiered network differentials (TierMultiplier already exists in engine), geographic scoping.</w:t>
      </w:r>
    </w:p>
    <w:p>
      <w:pPr>
        <w:pStyle w:val="Heading2"/>
        <w:spacing w:after="120" w:before="280"/>
      </w:pPr>
      <w:r>
        <w:rPr>
          <w:rFonts w:ascii="Arial" w:cs="Arial" w:eastAsia="Arial" w:hAnsi="Arial"/>
          <w:b/>
          <w:bCs/>
          <w:sz w:val="26"/>
          <w:szCs w:val="26"/>
        </w:rPr>
        <w:t xml:space="preserve">3.8 Member / Enrollment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Models the individual human covered by the insurance product — their identity and their enrollment in a specific plan on specific dates.</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Subscriber or dependent: member ID, DOB, gender, address, relationship to subscriber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Enrollment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Member → Plan enrollment with effective dates and termination date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MemberProductLink</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Derived: Member → Product (via enrollment), valid on a service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Subscriber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 primary insured (member may be a dependent)</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Member → Enrollment → Plan → Product → Network; Subscriber → Member (dependent relationship)</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The member's enrollment on the service date determines the product, which determines the network, which determines the contract. The member's geographic address may also affect GPCI locality selection for RBRVS pricing.</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Member, Enrollment (member + product + effective dates).</w:t>
      </w:r>
      <w:r>
        <w:rPr>
          <w:rFonts w:ascii="Arial" w:cs="Arial" w:eastAsia="Arial" w:hAnsi="Arial"/>
          <w:b/>
          <w:bCs/>
          <w:sz w:val="22"/>
          <w:szCs w:val="22"/>
        </w:rPr>
        <w:t xml:space="preserve">   Optional now: </w:t>
      </w:r>
      <w:r>
        <w:rPr>
          <w:rFonts w:ascii="Arial" w:cs="Arial" w:eastAsia="Arial" w:hAnsi="Arial"/>
          <w:sz w:val="22"/>
          <w:szCs w:val="22"/>
        </w:rPr>
        <w:t xml:space="preserve">Dependent relationships, COB (coordination of benefits), benefit accumulator data.</w:t>
      </w:r>
    </w:p>
    <w:p>
      <w:pPr>
        <w:pStyle w:val="Heading2"/>
        <w:spacing w:after="120" w:before="280"/>
      </w:pPr>
      <w:r>
        <w:rPr>
          <w:rFonts w:ascii="Arial" w:cs="Arial" w:eastAsia="Arial" w:hAnsi="Arial"/>
          <w:b/>
          <w:bCs/>
          <w:sz w:val="26"/>
          <w:szCs w:val="26"/>
        </w:rPr>
        <w:t xml:space="preserve">3.9 Contract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The negotiated reimbursement agreement between a payer and a provider organization, scoped to a network and effective for a date range. (Most mature domain in the current system — the key gap is upstream context.)</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ProviderContract (existing)</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Links ProviderOrganization + PayerNetwork with effective 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ContractVersion (existing)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Versioned contract with DRAFT/ACTIVE/SUPERSEDED/ARCHIVED lifecycle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PricingRule (existing)</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Methodology, multiplier, specificity score,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ContractMethodology (existing)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Contract-level methodology fallback with effective dates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ContractProductScope (new)</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 → LOB/Product scoping — enables automated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other contract entities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Carve-outs, stop-loss, outlier, MPPR, blending, cap/floor — all existing</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ProviderContract links org + network; ContractVersion → PricingRule; new ContractProductScope links contract → LOB/Product</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Everything in the engine flows from the resolved contract. This domain is correct and mature. The only addition is ContractProductScope to enable product-aware resolution.</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Add ContractProductScope. All existing entities remain unchanged.</w:t>
      </w:r>
      <w:r>
        <w:rPr>
          <w:rFonts w:ascii="Arial" w:cs="Arial" w:eastAsia="Arial" w:hAnsi="Arial"/>
          <w:b/>
          <w:bCs/>
          <w:sz w:val="22"/>
          <w:szCs w:val="22"/>
        </w:rPr>
        <w:t xml:space="preserve">   Optional now: </w:t>
      </w:r>
      <w:r>
        <w:rPr>
          <w:rFonts w:ascii="Arial" w:cs="Arial" w:eastAsia="Arial" w:hAnsi="Arial"/>
          <w:sz w:val="22"/>
          <w:szCs w:val="22"/>
        </w:rPr>
        <w:t xml:space="preserve">Multi-payer contract modeling, global contract catalog.</w:t>
      </w:r>
    </w:p>
    <w:p>
      <w:pPr>
        <w:pStyle w:val="Heading2"/>
        <w:spacing w:after="120" w:before="280"/>
      </w:pPr>
      <w:r>
        <w:rPr>
          <w:rFonts w:ascii="Arial" w:cs="Arial" w:eastAsia="Arial" w:hAnsi="Arial"/>
          <w:b/>
          <w:bCs/>
          <w:sz w:val="26"/>
          <w:szCs w:val="26"/>
        </w:rPr>
        <w:t xml:space="preserve">3.10 Claim Intake / Claim Context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Represents the incoming claim as a richly-contextualized object ready for pricing — either a real-world 837 claim or a synthetic scenario.</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ClaimHeader (existing, extend)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Service dates, claim type, DRG, place of service + new FK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ClaimBillingProvider (new FK)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Billing NPI + Tax ID — maps to ProviderOrganization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ClaimRenderingProvider (new FK)</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Rendering NPI — maps to Provider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ClaimFacility (new FK)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Facility NPI/CCN — maps to Facility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ClaimMember (new FK)</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 ID — maps to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ClaimDiagnosis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ICD-10 codes (principal + secondary)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ClaimLine (existing, extend)</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Revenue code, modifier, units, billed amount, cost amount</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Claim → Member, Claim → BillingProvider (org), Claim → RenderingProvider (individual), Claim → Facility</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A claim is not just procedure codes and billed amounts — it is the full business event whose context determines which contract, which methodology, and which rate applies.</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Add billing_provider, rendering_provider, member FK fields (nullable) to ClaimHeader.</w:t>
      </w:r>
      <w:r>
        <w:rPr>
          <w:rFonts w:ascii="Arial" w:cs="Arial" w:eastAsia="Arial" w:hAnsi="Arial"/>
          <w:b/>
          <w:bCs/>
          <w:sz w:val="22"/>
          <w:szCs w:val="22"/>
        </w:rPr>
        <w:t xml:space="preserve">   Optional now: </w:t>
      </w:r>
      <w:r>
        <w:rPr>
          <w:rFonts w:ascii="Arial" w:cs="Arial" w:eastAsia="Arial" w:hAnsi="Arial"/>
          <w:sz w:val="22"/>
          <w:szCs w:val="22"/>
        </w:rPr>
        <w:t xml:space="preserve">Diagnosis codes (needed for DRG grouping in the future), full 837 field parity.</w:t>
      </w:r>
    </w:p>
    <w:p>
      <w:pPr>
        <w:pStyle w:val="Heading2"/>
        <w:spacing w:after="120" w:before="280"/>
      </w:pPr>
      <w:r>
        <w:rPr>
          <w:rFonts w:ascii="Arial" w:cs="Arial" w:eastAsia="Arial" w:hAnsi="Arial"/>
          <w:b/>
          <w:bCs/>
          <w:sz w:val="26"/>
          <w:szCs w:val="26"/>
        </w:rPr>
        <w:t xml:space="preserve">3.11 Pricing Context / Adjudication Context Domain</w:t>
      </w:r>
    </w:p>
    <w:p>
      <w:pPr>
        <w:spacing w:after="100" w:before="60"/>
      </w:pPr>
      <w:r>
        <w:rPr>
          <w:rFonts w:ascii="Arial" w:cs="Arial" w:eastAsia="Arial" w:hAnsi="Arial"/>
          <w:b/>
          <w:bCs/>
          <w:sz w:val="22"/>
          <w:szCs w:val="22"/>
        </w:rPr>
        <w:t xml:space="preserve">Purpose: </w:t>
      </w:r>
      <w:r>
        <w:rPr>
          <w:rFonts w:ascii="Arial" w:cs="Arial" w:eastAsia="Arial" w:hAnsi="Arial"/>
          <w:sz w:val="22"/>
          <w:szCs w:val="22"/>
        </w:rPr>
        <w:t xml:space="preserve">A transient, fully-resolved, immutable context object that the pricing engine consumes. This is not a persisted model — it is a DTO produced by the Pricing Context Resolver and passed directly to the existing ClaimOrchestrator.</w:t>
      </w:r>
    </w:p>
    <w:p>
      <w:pPr>
        <w:spacing w:after="100" w:before="60"/>
      </w:pPr>
      <w:r>
        <w:rPr>
          <w:rFonts w:ascii="Arial" w:cs="Arial" w:eastAsia="Arial" w:hAnsi="Arial"/>
          <w:b/>
          <w:bCs/>
          <w:sz w:val="22"/>
          <w:szCs w:val="22"/>
        </w:rPr>
        <w:t xml:space="preserve">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Entity</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ClaimPricingContext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Fully-resolved DTO: contract_id, version_id, provider context, member context, network_status, 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ProviderPricingContext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billing_org_id, rendering_provider_id, facility_id, network_status, network_tier, place_of_service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MemberPricingContext</w:t>
            </w:r>
          </w:p>
        </w:tc>
        <w:tc>
          <w:tcPr>
            <w:tcW w:type="dxa" w:w="6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member_id, product_id, lob, network_id, locality_zip, enrollment_id</w:t>
            </w:r>
          </w:p>
        </w:tc>
      </w:tr>
    </w:tbl>
    <w:p>
      <w:pPr>
        <w:spacing w:after="120" w:before="0"/>
      </w:pPr>
    </w:p>
    <w:p>
      <w:pPr>
        <w:spacing w:after="100" w:before="60"/>
      </w:pPr>
      <w:r>
        <w:rPr>
          <w:rFonts w:ascii="Arial" w:cs="Arial" w:eastAsia="Arial" w:hAnsi="Arial"/>
          <w:b/>
          <w:bCs/>
          <w:sz w:val="22"/>
          <w:szCs w:val="22"/>
        </w:rPr>
        <w:t xml:space="preserve">Key Relationships: </w:t>
      </w:r>
      <w:r>
        <w:rPr>
          <w:rFonts w:ascii="Arial" w:cs="Arial" w:eastAsia="Arial" w:hAnsi="Arial"/>
          <w:sz w:val="22"/>
          <w:szCs w:val="22"/>
        </w:rPr>
        <w:t xml:space="preserve">Produced by PricingContextResolver; consumed by ClaimPricingService; never stored as a model</w:t>
      </w:r>
    </w:p>
    <w:p>
      <w:pPr>
        <w:spacing w:after="100" w:before="60"/>
      </w:pPr>
      <w:r>
        <w:rPr>
          <w:rFonts w:ascii="Arial" w:cs="Arial" w:eastAsia="Arial" w:hAnsi="Arial"/>
          <w:b/>
          <w:bCs/>
          <w:sz w:val="22"/>
          <w:szCs w:val="22"/>
        </w:rPr>
        <w:t xml:space="preserve">Why it matters for pricing: </w:t>
      </w:r>
      <w:r>
        <w:rPr>
          <w:rFonts w:ascii="Arial" w:cs="Arial" w:eastAsia="Arial" w:hAnsi="Arial"/>
          <w:sz w:val="22"/>
          <w:szCs w:val="22"/>
        </w:rPr>
        <w:t xml:space="preserve">This is the single crossing point between upstream context resolution and the pricing engine. Full design in Section 11.</w:t>
      </w:r>
    </w:p>
    <w:p>
      <w:pPr>
        <w:spacing w:after="100" w:before="60"/>
      </w:pPr>
      <w:r>
        <w:rPr>
          <w:rFonts w:ascii="Arial" w:cs="Arial" w:eastAsia="Arial" w:hAnsi="Arial"/>
          <w:b/>
          <w:bCs/>
          <w:sz w:val="22"/>
          <w:szCs w:val="22"/>
        </w:rPr>
        <w:t xml:space="preserve">Essential now: </w:t>
      </w:r>
      <w:r>
        <w:rPr>
          <w:rFonts w:ascii="Arial" w:cs="Arial" w:eastAsia="Arial" w:hAnsi="Arial"/>
          <w:sz w:val="22"/>
          <w:szCs w:val="22"/>
        </w:rPr>
        <w:t xml:space="preserve">Define and implement the DTO structure — see Section 11 for the full dataclass.</w:t>
      </w:r>
      <w:r>
        <w:rPr>
          <w:rFonts w:ascii="Arial" w:cs="Arial" w:eastAsia="Arial" w:hAnsi="Arial"/>
          <w:b/>
          <w:bCs/>
          <w:sz w:val="22"/>
          <w:szCs w:val="22"/>
        </w:rPr>
        <w:t xml:space="preserve">   Optional now: </w:t>
      </w:r>
      <w:r>
        <w:rPr>
          <w:rFonts w:ascii="Arial" w:cs="Arial" w:eastAsia="Arial" w:hAnsi="Arial"/>
          <w:sz w:val="22"/>
          <w:szCs w:val="22"/>
        </w:rPr>
        <w:t xml:space="preserve">Persistence of resolved context (useful for audit; implement as PricingAuditRecord).</w:t>
      </w:r>
    </w:p>
    <w:p>
      <w:pPr>
        <w:pageBreakBefore/>
      </w:pPr>
    </w:p>
    <w:p>
      <w:pPr>
        <w:pStyle w:val="Heading1"/>
        <w:spacing w:after="160" w:before="400"/>
      </w:pPr>
      <w:r>
        <w:rPr>
          <w:rFonts w:ascii="Arial" w:cs="Arial" w:eastAsia="Arial" w:hAnsi="Arial"/>
          <w:b/>
          <w:bCs/>
          <w:sz w:val="32"/>
          <w:szCs w:val="32"/>
        </w:rPr>
        <w:t xml:space="preserve">4. Recommended Architecture</w:t>
      </w:r>
    </w:p>
    <w:p>
      <w:pPr>
        <w:pStyle w:val="Heading2"/>
        <w:spacing w:after="120" w:before="280"/>
      </w:pPr>
      <w:r>
        <w:rPr>
          <w:rFonts w:ascii="Arial" w:cs="Arial" w:eastAsia="Arial" w:hAnsi="Arial"/>
          <w:b/>
          <w:bCs/>
          <w:sz w:val="26"/>
          <w:szCs w:val="26"/>
        </w:rPr>
        <w:t xml:space="preserve">4.1 Layered Architecture Overview</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LAYER 0 — UPSTREAM MASTER DATA  (new bounded contexts)</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Provider  │  Member   │ Product/LOB  │  Network  │  Payer   │ Ref Data │</w:t>
      </w:r>
    </w:p>
    <w:p>
      <w:pPr>
        <w:shd w:fill="EEF2F8" w:val="clear"/>
        <w:spacing w:after="0" w:before="0"/>
        <w:ind w:left="360"/>
      </w:pPr>
      <w:r>
        <w:rPr>
          <w:rFonts w:ascii="Courier New" w:cs="Courier New" w:eastAsia="Courier New" w:hAnsi="Courier New"/>
          <w:sz w:val="18"/>
          <w:szCs w:val="18"/>
        </w:rPr>
        <w:t xml:space="preserve">│ Org·Indiv  │ Subscriber│ Plan·LOB     │ Particip. │ Org·IDs  │ RVU·DRG  │</w:t>
      </w:r>
    </w:p>
    <w:p>
      <w:pPr>
        <w:shd w:fill="EEF2F8" w:val="clear"/>
        <w:spacing w:after="0" w:before="0"/>
        <w:ind w:left="360"/>
      </w:pPr>
      <w:r>
        <w:rPr>
          <w:rFonts w:ascii="Courier New" w:cs="Courier New" w:eastAsia="Courier New" w:hAnsi="Courier New"/>
          <w:sz w:val="18"/>
          <w:szCs w:val="18"/>
        </w:rPr>
        <w:t xml:space="preserve">│ Facility   │ Enrollment│ ProdNetCfg   │ In/Out    │          │ APC·ASP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LAYER 1 — CLAIM INTAKE  (extend existing ClaimHeader)</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ClaimHeader         │  ClaimLine        │  ClaimIngestionAPI           │</w:t>
      </w:r>
    </w:p>
    <w:p>
      <w:pPr>
        <w:shd w:fill="EEF2F8" w:val="clear"/>
        <w:spacing w:after="0" w:before="0"/>
        <w:ind w:left="360"/>
      </w:pPr>
      <w:r>
        <w:rPr>
          <w:rFonts w:ascii="Courier New" w:cs="Courier New" w:eastAsia="Courier New" w:hAnsi="Courier New"/>
          <w:sz w:val="18"/>
          <w:szCs w:val="18"/>
        </w:rPr>
        <w:t xml:space="preserve">│  (enriched)          │  (existing)       │  (new endpoint)              │</w:t>
      </w:r>
    </w:p>
    <w:p>
      <w:pPr>
        <w:shd w:fill="EEF2F8" w:val="clear"/>
        <w:spacing w:after="0" w:before="0"/>
        <w:ind w:left="360"/>
      </w:pPr>
      <w:r>
        <w:rPr>
          <w:rFonts w:ascii="Courier New" w:cs="Courier New" w:eastAsia="Courier New" w:hAnsi="Courier New"/>
          <w:sz w:val="18"/>
          <w:szCs w:val="18"/>
        </w:rPr>
        <w:t xml:space="preserve">│  billing NPI         │  CPT·rev code     │  REST / batch / 837 bridge   │</w:t>
      </w:r>
    </w:p>
    <w:p>
      <w:pPr>
        <w:shd w:fill="EEF2F8" w:val="clear"/>
        <w:spacing w:after="0" w:before="0"/>
        <w:ind w:left="360"/>
      </w:pPr>
      <w:r>
        <w:rPr>
          <w:rFonts w:ascii="Courier New" w:cs="Courier New" w:eastAsia="Courier New" w:hAnsi="Courier New"/>
          <w:sz w:val="18"/>
          <w:szCs w:val="18"/>
        </w:rPr>
        <w:t xml:space="preserve">│  rendering NPI       │  units · billed   │                              │</w:t>
      </w:r>
    </w:p>
    <w:p>
      <w:pPr>
        <w:shd w:fill="EEF2F8" w:val="clear"/>
        <w:spacing w:after="0" w:before="0"/>
        <w:ind w:left="360"/>
      </w:pPr>
      <w:r>
        <w:rPr>
          <w:rFonts w:ascii="Courier New" w:cs="Courier New" w:eastAsia="Courier New" w:hAnsi="Courier New"/>
          <w:sz w:val="18"/>
          <w:szCs w:val="18"/>
        </w:rPr>
        <w:t xml:space="preserve">│  member · facility   │                   │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LAYER 2 — PRICING CONTEXT RESOLVER  (new — the key addition)</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│ProviderResolv│MemberResolv  │ContractResolv│ContextBuilder│ OON Handler │</w:t>
      </w:r>
    </w:p>
    <w:p>
      <w:pPr>
        <w:shd w:fill="EEF2F8" w:val="clear"/>
        <w:spacing w:after="0" w:before="0"/>
        <w:ind w:left="360"/>
      </w:pPr>
      <w:r>
        <w:rPr>
          <w:rFonts w:ascii="Courier New" w:cs="Courier New" w:eastAsia="Courier New" w:hAnsi="Courier New"/>
          <w:sz w:val="18"/>
          <w:szCs w:val="18"/>
        </w:rPr>
        <w:t xml:space="preserve">│billing→org   │member→enroll │org+net+lob   │builds Claim  │if no in-net │</w:t>
      </w:r>
    </w:p>
    <w:p>
      <w:pPr>
        <w:shd w:fill="EEF2F8" w:val="clear"/>
        <w:spacing w:after="0" w:before="0"/>
        <w:ind w:left="360"/>
      </w:pPr>
      <w:r>
        <w:rPr>
          <w:rFonts w:ascii="Courier New" w:cs="Courier New" w:eastAsia="Courier New" w:hAnsi="Courier New"/>
          <w:sz w:val="18"/>
          <w:szCs w:val="18"/>
        </w:rPr>
        <w:t xml:space="preserve">│render→net st.│→product→net  │+date→contract│PricingContext│→OON path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 ClaimPricingContext (DTO)</w:t>
      </w:r>
    </w:p>
    <w:p>
      <w:pPr>
        <w:shd w:fill="EEF2F8" w:val="clear"/>
        <w:spacing w:after="0" w:before="0"/>
        <w:ind w:left="360"/>
      </w:pPr>
      <w:r>
        <w:rPr>
          <w:rFonts w:ascii="Courier New" w:cs="Courier New" w:eastAsia="Courier New" w:hAnsi="Courier New"/>
          <w:sz w:val="18"/>
          <w:szCs w:val="18"/>
        </w:rPr>
        <w:t xml:space="preserve">LAYER 3 — PRICING ENGINE  (existing — largely unchanged)</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│ClaimOrchestrat│StrictRuleResolv │Strategies    │Post-process Pipeline     │</w:t>
      </w:r>
    </w:p>
    <w:p>
      <w:pPr>
        <w:shd w:fill="EEF2F8" w:val="clear"/>
        <w:spacing w:after="0" w:before="0"/>
        <w:ind w:left="360"/>
      </w:pPr>
      <w:r>
        <w:rPr>
          <w:rFonts w:ascii="Courier New" w:cs="Courier New" w:eastAsia="Courier New" w:hAnsi="Courier New"/>
          <w:sz w:val="18"/>
          <w:szCs w:val="18"/>
        </w:rPr>
        <w:t xml:space="preserve">│12-step pipeline│specificity score│RBRVS·DRG·APC │carveout·cap·MPPR         │</w:t>
      </w:r>
    </w:p>
    <w:p>
      <w:pPr>
        <w:shd w:fill="EEF2F8" w:val="clear"/>
        <w:spacing w:after="0" w:before="0"/>
        <w:ind w:left="360"/>
      </w:pPr>
      <w:r>
        <w:rPr>
          <w:rFonts w:ascii="Courier New" w:cs="Courier New" w:eastAsia="Courier New" w:hAnsi="Courier New"/>
          <w:sz w:val="18"/>
          <w:szCs w:val="18"/>
        </w:rPr>
        <w:t xml:space="preserve">│  unchanged    │   unchanged     │DRUG·FLAT·PCT │stop-loss·blend·outlier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LAYER 4 — OUTPUTS / AUDIT / SIMULATION / GOVERNANCE</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│PricingResult│AuditLog  │Simulation│ Governance   │ Reporting API            │</w:t>
      </w:r>
    </w:p>
    <w:p>
      <w:pPr>
        <w:shd w:fill="EEF2F8" w:val="clear"/>
        <w:spacing w:after="0" w:before="0"/>
        <w:ind w:left="360"/>
      </w:pPr>
      <w:r>
        <w:rPr>
          <w:rFonts w:ascii="Courier New" w:cs="Courier New" w:eastAsia="Courier New" w:hAnsi="Courier New"/>
          <w:sz w:val="18"/>
          <w:szCs w:val="18"/>
        </w:rPr>
        <w:t xml:space="preserve">│allowed·rule │immutable │draft rule│validation    │ repricing summary        │</w:t>
      </w:r>
    </w:p>
    <w:p>
      <w:pPr>
        <w:shd w:fill="EEF2F8" w:val="clear"/>
        <w:spacing w:after="0" w:before="0"/>
        <w:ind w:left="360"/>
      </w:pPr>
      <w:r>
        <w:rPr>
          <w:rFonts w:ascii="Courier New" w:cs="Courier New" w:eastAsia="Courier New" w:hAnsi="Courier New"/>
          <w:sz w:val="18"/>
          <w:szCs w:val="18"/>
        </w:rPr>
        <w:t xml:space="preserve">│trace        │context   │scenarios │conflicts·vers│ contract analytics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120" w:before="0"/>
        <w:ind w:left="360"/>
      </w:pPr>
      <w:r>
        <w:rPr>
          <w:rFonts w:ascii="Courier New" w:cs="Courier New" w:eastAsia="Courier New" w:hAnsi="Courier New"/>
          <w:sz w:val="18"/>
          <w:szCs w:val="18"/>
        </w:rPr>
        <w:t xml:space="preserve"/>
      </w:r>
    </w:p>
    <w:p>
      <w:pPr>
        <w:pStyle w:val="Heading2"/>
        <w:spacing w:after="120" w:before="280"/>
      </w:pPr>
      <w:r>
        <w:rPr>
          <w:rFonts w:ascii="Arial" w:cs="Arial" w:eastAsia="Arial" w:hAnsi="Arial"/>
          <w:b/>
          <w:bCs/>
          <w:sz w:val="26"/>
          <w:szCs w:val="26"/>
        </w:rPr>
        <w:t xml:space="preserve">4.2 What Stays Unchanged vs. What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4560"/>
            <w:tcBorders>
              <w:top w:val="single" w:color="CCCCCC" w:sz="1"/>
              <w:left w:val="single" w:color="CCCCCC" w:sz="1"/>
              <w:bottom w:val="single" w:color="CCCCCC" w:sz="1"/>
              <w:right w:val="single" w:color="CCCCCC" w:sz="1"/>
            </w:tcBorders>
            <w:shd w:fill="312e81"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ClaimOrchestrator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Keep unchanged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Core 12-step pipeline is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StrictRuleResolver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Keep 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Specificity scoring is sound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All pricing strategies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Keep unchanged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Math is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PricingDataLoader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Minor extension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Accept product_id, network_id from context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ContractPricingConfig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Keep unchanged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Immutable config preload works well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ClaimPricingInput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Extend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Add billing_provider_id, rendering_provider_id, member_id, network_status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ClaimHeader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Extend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Add nullable FK fields for provider, member, facility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 resolution in loader.py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Replace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Today it does thin matching; replace with ContractResolver using full context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ProviderOrganization / PayerNetwork</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Extend</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Add hierarchy, product scoping, network participation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Add 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Facility, ProviderAffiliation, ProviderNetworkParticipation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 domain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Add new</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 Enrollment, MemberProductLink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Product/LOB 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Add new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Product, LineOfBusiness, ProductNetworkConfig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Pricing Context Resolver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Add new</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The critical new service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print() statements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Replace with logging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Operational hygiene — do this immediately</w:t>
            </w:r>
          </w:p>
        </w:tc>
      </w:tr>
    </w:tbl>
    <w:p>
      <w:pPr>
        <w:pageBreakBefore/>
      </w:pPr>
    </w:p>
    <w:p>
      <w:pPr>
        <w:pStyle w:val="Heading1"/>
        <w:spacing w:after="160" w:before="400"/>
      </w:pPr>
      <w:r>
        <w:rPr>
          <w:rFonts w:ascii="Arial" w:cs="Arial" w:eastAsia="Arial" w:hAnsi="Arial"/>
          <w:b/>
          <w:bCs/>
          <w:sz w:val="32"/>
          <w:szCs w:val="32"/>
        </w:rPr>
        <w:t xml:space="preserve">5. Integration with Existing App</w:t>
      </w:r>
    </w:p>
    <w:p>
      <w:pPr>
        <w:pStyle w:val="Heading2"/>
        <w:spacing w:after="120" w:before="280"/>
      </w:pPr>
      <w:r>
        <w:rPr>
          <w:rFonts w:ascii="Arial" w:cs="Arial" w:eastAsia="Arial" w:hAnsi="Arial"/>
          <w:b/>
          <w:bCs/>
          <w:sz w:val="26"/>
          <w:szCs w:val="26"/>
        </w:rPr>
        <w:t xml:space="preserve">5.1 Principle: Wrap, Don't Rewrite</w:t>
      </w:r>
    </w:p>
    <w:p>
      <w:pPr>
        <w:spacing w:after="100" w:before="60"/>
      </w:pPr>
      <w:r>
        <w:rPr>
          <w:rFonts w:ascii="Arial" w:cs="Arial" w:eastAsia="Arial" w:hAnsi="Arial"/>
          <w:sz w:val="22"/>
          <w:szCs w:val="22"/>
        </w:rPr>
        <w:t xml:space="preserve">The existing pricing engine is the most battle-tested part of the system. The integration strategy is to add an upstream resolution layer that feeds it without touching it, and to extend existing models with FK fields rather than replacing them.</w:t>
      </w:r>
    </w:p>
    <w:p>
      <w:pPr>
        <w:pStyle w:val="Heading2"/>
        <w:spacing w:after="120" w:before="280"/>
      </w:pPr>
      <w:r>
        <w:rPr>
          <w:rFonts w:ascii="Arial" w:cs="Arial" w:eastAsia="Arial" w:hAnsi="Arial"/>
          <w:b/>
          <w:bCs/>
          <w:sz w:val="26"/>
          <w:szCs w:val="26"/>
        </w:rPr>
        <w:t xml:space="preserve">5.2 What Can Remain Unchanged</w:t>
      </w:r>
    </w:p>
    <w:p>
      <w:pPr>
        <w:pStyle w:val="ListParagraph"/>
        <w:numPr>
          <w:ilvl w:val="0"/>
          <w:numId w:val="2"/>
        </w:numPr>
        <w:spacing w:after="60" w:before="40"/>
      </w:pPr>
      <w:r>
        <w:rPr>
          <w:rFonts w:ascii="Arial" w:cs="Arial" w:eastAsia="Arial" w:hAnsi="Arial"/>
          <w:sz w:val="22"/>
          <w:szCs w:val="22"/>
        </w:rPr>
        <w:t xml:space="preserve">All of core/engine/ — orchestrator, resolver, loader, strategies, simulation, conditions, config, types, exceptions</w:t>
      </w:r>
    </w:p>
    <w:p>
      <w:pPr>
        <w:pStyle w:val="ListParagraph"/>
        <w:numPr>
          <w:ilvl w:val="0"/>
          <w:numId w:val="2"/>
        </w:numPr>
        <w:spacing w:after="60" w:before="40"/>
      </w:pPr>
      <w:r>
        <w:rPr>
          <w:rFonts w:ascii="Arial" w:cs="Arial" w:eastAsia="Arial" w:hAnsi="Arial"/>
          <w:sz w:val="22"/>
          <w:szCs w:val="22"/>
        </w:rPr>
        <w:t xml:space="preserve">All existing API endpoints (/api/price-line/, /api/price-claim/, /api/simulate-line/) — keep working as-is for direct contract_id pricing</w:t>
      </w:r>
    </w:p>
    <w:p>
      <w:pPr>
        <w:pStyle w:val="ListParagraph"/>
        <w:numPr>
          <w:ilvl w:val="0"/>
          <w:numId w:val="2"/>
        </w:numPr>
        <w:spacing w:after="60" w:before="40"/>
      </w:pPr>
      <w:r>
        <w:rPr>
          <w:rFonts w:ascii="Arial" w:cs="Arial" w:eastAsia="Arial" w:hAnsi="Arial"/>
          <w:sz w:val="22"/>
          <w:szCs w:val="22"/>
        </w:rPr>
        <w:t xml:space="preserve">All existing models — add fields, never remove</w:t>
      </w:r>
    </w:p>
    <w:p>
      <w:pPr>
        <w:pStyle w:val="ListParagraph"/>
        <w:numPr>
          <w:ilvl w:val="0"/>
          <w:numId w:val="2"/>
        </w:numPr>
        <w:spacing w:after="60" w:before="40"/>
      </w:pPr>
      <w:r>
        <w:rPr>
          <w:rFonts w:ascii="Arial" w:cs="Arial" w:eastAsia="Arial" w:hAnsi="Arial"/>
          <w:sz w:val="22"/>
          <w:szCs w:val="22"/>
        </w:rPr>
        <w:t xml:space="preserve">All existing tests — these are the regression baseline; nothing should break</w:t>
      </w:r>
    </w:p>
    <w:p>
      <w:pPr>
        <w:pStyle w:val="Heading2"/>
        <w:spacing w:after="120" w:before="280"/>
      </w:pPr>
      <w:r>
        <w:rPr>
          <w:rFonts w:ascii="Arial" w:cs="Arial" w:eastAsia="Arial" w:hAnsi="Arial"/>
          <w:b/>
          <w:bCs/>
          <w:sz w:val="26"/>
          <w:szCs w:val="26"/>
        </w:rPr>
        <w:t xml:space="preserve">5.3 What Needs Extension</w:t>
      </w:r>
    </w:p>
    <w:p>
      <w:pPr>
        <w:spacing w:after="100" w:before="60"/>
      </w:pPr>
      <w:r>
        <w:rPr>
          <w:rFonts w:ascii="Arial" w:cs="Arial" w:eastAsia="Arial" w:hAnsi="Arial"/>
          <w:sz w:val="22"/>
          <w:szCs w:val="22"/>
        </w:rPr>
        <w:t xml:space="preserve">ClaimHeader model — add nullable FKs (all backward compatible):</w:t>
      </w:r>
    </w:p>
    <w:p>
      <w:pPr>
        <w:shd w:fill="F4F4F4" w:val="clear"/>
        <w:spacing w:after="0" w:before="0"/>
        <w:ind w:left="360"/>
      </w:pPr>
      <w:r>
        <w:rPr>
          <w:rFonts w:ascii="Courier New" w:cs="Courier New" w:eastAsia="Courier New" w:hAnsi="Courier New"/>
          <w:sz w:val="18"/>
          <w:szCs w:val="18"/>
        </w:rPr>
        <w:t xml:space="preserve">billing_provider    FK → ProviderOrganization  (nullable)</w:t>
      </w:r>
    </w:p>
    <w:p>
      <w:pPr>
        <w:shd w:fill="F4F4F4" w:val="clear"/>
        <w:spacing w:after="0" w:before="0"/>
        <w:ind w:left="360"/>
      </w:pPr>
      <w:r>
        <w:rPr>
          <w:rFonts w:ascii="Courier New" w:cs="Courier New" w:eastAsia="Courier New" w:hAnsi="Courier New"/>
          <w:sz w:val="18"/>
          <w:szCs w:val="18"/>
        </w:rPr>
        <w:t xml:space="preserve">rendering_provider  FK → Provider              (nullable)</w:t>
      </w:r>
    </w:p>
    <w:p>
      <w:pPr>
        <w:shd w:fill="F4F4F4" w:val="clear"/>
        <w:spacing w:after="0" w:before="0"/>
        <w:ind w:left="360"/>
      </w:pPr>
      <w:r>
        <w:rPr>
          <w:rFonts w:ascii="Courier New" w:cs="Courier New" w:eastAsia="Courier New" w:hAnsi="Courier New"/>
          <w:sz w:val="18"/>
          <w:szCs w:val="18"/>
        </w:rPr>
        <w:t xml:space="preserve">facility            FK → Facility              (nullable)</w:t>
      </w:r>
    </w:p>
    <w:p>
      <w:pPr>
        <w:shd w:fill="F4F4F4" w:val="clear"/>
        <w:spacing w:after="0" w:before="0"/>
        <w:ind w:left="360"/>
      </w:pPr>
      <w:r>
        <w:rPr>
          <w:rFonts w:ascii="Courier New" w:cs="Courier New" w:eastAsia="Courier New" w:hAnsi="Courier New"/>
          <w:sz w:val="18"/>
          <w:szCs w:val="18"/>
        </w:rPr>
        <w:t xml:space="preserve">member              FK → Member                (nullable)</w:t>
      </w:r>
    </w:p>
    <w:p>
      <w:pPr>
        <w:spacing w:after="100" w:before="60"/>
      </w:pPr>
      <w:r>
        <w:rPr>
          <w:rFonts w:ascii="Arial" w:cs="Arial" w:eastAsia="Arial" w:hAnsi="Arial"/>
          <w:sz w:val="22"/>
          <w:szCs w:val="22"/>
        </w:rPr>
        <w:t xml:space="preserve">ProviderContract / ContractScope — add:</w:t>
      </w:r>
    </w:p>
    <w:p>
      <w:pPr>
        <w:shd w:fill="F4F4F4" w:val="clear"/>
        <w:spacing w:after="0" w:before="0"/>
        <w:ind w:left="360"/>
      </w:pPr>
      <w:r>
        <w:rPr>
          <w:rFonts w:ascii="Courier New" w:cs="Courier New" w:eastAsia="Courier New" w:hAnsi="Courier New"/>
          <w:sz w:val="18"/>
          <w:szCs w:val="18"/>
        </w:rPr>
        <w:t xml:space="preserve">product_scope   M2M → Product  (via ContractProductScope)</w:t>
      </w:r>
    </w:p>
    <w:p>
      <w:pPr>
        <w:spacing w:after="100" w:before="60"/>
      </w:pPr>
      <w:r>
        <w:rPr>
          <w:rFonts w:ascii="Arial" w:cs="Arial" w:eastAsia="Arial" w:hAnsi="Arial"/>
          <w:sz w:val="22"/>
          <w:szCs w:val="22"/>
        </w:rPr>
        <w:t xml:space="preserve">Existing contracts without product scope continue to match as today — the resolver treats no product scope as "applies to all products".</w:t>
      </w:r>
    </w:p>
    <w:p>
      <w:pPr>
        <w:pStyle w:val="Heading2"/>
        <w:spacing w:after="120" w:before="280"/>
      </w:pPr>
      <w:r>
        <w:rPr>
          <w:rFonts w:ascii="Arial" w:cs="Arial" w:eastAsia="Arial" w:hAnsi="Arial"/>
          <w:b/>
          <w:bCs/>
          <w:sz w:val="26"/>
          <w:szCs w:val="26"/>
        </w:rPr>
        <w:t xml:space="preserve">5.4 What Should Be Wrapped Instead of Rewritten</w:t>
      </w:r>
    </w:p>
    <w:p>
      <w:pPr>
        <w:spacing w:after="100" w:before="60"/>
      </w:pPr>
      <w:r>
        <w:rPr>
          <w:rFonts w:ascii="Arial" w:cs="Arial" w:eastAsia="Arial" w:hAnsi="Arial"/>
          <w:sz w:val="22"/>
          <w:szCs w:val="22"/>
        </w:rPr>
        <w:t xml:space="preserve">Contract resolution (loader.py → resolve_contract_for_claim()) is currently thin. Do not rewrite it; instead, call it after the new ContractResolver has already determined the contract_id. The ContractResolver outputs a contract_id that feeds the existing service exactly as a caller today would.</w:t>
      </w:r>
    </w:p>
    <w:p>
      <w:pPr>
        <w:spacing w:after="100" w:before="60"/>
      </w:pPr>
      <w:r>
        <w:rPr>
          <w:rFonts w:ascii="Arial" w:cs="Arial" w:eastAsia="Arial" w:hAnsi="Arial"/>
          <w:sz w:val="22"/>
          <w:szCs w:val="22"/>
        </w:rPr>
        <w:t xml:space="preserve">PayerNetwork — add a Network model that wraps it via a migration alias. Existing PayerNetwork references get a network_id FK, not a rename.</w:t>
      </w:r>
    </w:p>
    <w:p>
      <w:pPr>
        <w:pStyle w:val="Heading2"/>
        <w:spacing w:after="120" w:before="280"/>
      </w:pPr>
      <w:r>
        <w:rPr>
          <w:rFonts w:ascii="Arial" w:cs="Arial" w:eastAsia="Arial" w:hAnsi="Arial"/>
          <w:b/>
          <w:bCs/>
          <w:sz w:val="26"/>
          <w:szCs w:val="26"/>
        </w:rPr>
        <w:t xml:space="preserve">5.5 What Parts of the Current Roadmap May Be Premature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Current Roadmap Item</w:t>
            </w:r>
          </w:p>
        </w:tc>
        <w:tc>
          <w:tcPr>
            <w:tcW w:type="dxa" w:w="576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Assessment</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FEATURE_TIERED_RESOLUTION / TierMultiplier</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Correct concept, premature implementation. Wait until Product and Network domains are in place. Keep disabled.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Scenario persistence (batch simulation 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Useful but not blocking. Build the resolver first; simulation storage is cosmetic without correct context resolution.</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CaseRateClaimPlugin (stub)</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Defer until facility domain is modeled — case rates are facility-specific.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Per-line outlier (NotImplementedError)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 priority — per-claim outlier covers 90% of cases.</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ContractBlendingRule</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Keep, but its real use case requires product/LOB context to trigger correctly.</w:t>
            </w:r>
          </w:p>
        </w:tc>
      </w:tr>
    </w:tbl>
    <w:p>
      <w:pPr>
        <w:pStyle w:val="Heading2"/>
        <w:spacing w:after="120" w:before="280"/>
      </w:pPr>
      <w:r>
        <w:rPr>
          <w:rFonts w:ascii="Arial" w:cs="Arial" w:eastAsia="Arial" w:hAnsi="Arial"/>
          <w:b/>
          <w:bCs/>
          <w:sz w:val="26"/>
          <w:szCs w:val="26"/>
        </w:rPr>
        <w:t xml:space="preserve">5.6 What Functionality Is Likely Durable</w:t>
      </w:r>
    </w:p>
    <w:p>
      <w:pPr>
        <w:spacing w:after="100" w:before="60"/>
      </w:pPr>
      <w:r>
        <w:rPr>
          <w:rFonts w:ascii="Arial" w:cs="Arial" w:eastAsia="Arial" w:hAnsi="Arial"/>
          <w:sz w:val="22"/>
          <w:szCs w:val="22"/>
        </w:rPr>
        <w:t xml:space="preserve">Everything in core/engine/ is architecturally sound and should not be touched. The contract versioning lifecycle, rule conflict detection, validation service, and audit logging are all durable and correct. The specificity scoring system is a genuine competitive advantage — it generalizes cleanly to richer condition sets once provider and member attributes are added as condition axes.</w:t>
      </w:r>
    </w:p>
    <w:p>
      <w:pPr>
        <w:pageBreakBefore/>
      </w:pPr>
    </w:p>
    <w:p>
      <w:pPr>
        <w:pStyle w:val="Heading1"/>
        <w:spacing w:after="160" w:before="400"/>
      </w:pPr>
      <w:r>
        <w:rPr>
          <w:rFonts w:ascii="Arial" w:cs="Arial" w:eastAsia="Arial" w:hAnsi="Arial"/>
          <w:b/>
          <w:bCs/>
          <w:sz w:val="32"/>
          <w:szCs w:val="32"/>
        </w:rPr>
        <w:t xml:space="preserve">6. Claim Pricing Flows</w:t>
      </w:r>
    </w:p>
    <w:p>
      <w:pPr>
        <w:pStyle w:val="Heading2"/>
        <w:spacing w:after="120" w:before="280"/>
      </w:pPr>
      <w:r>
        <w:rPr>
          <w:rFonts w:ascii="Arial" w:cs="Arial" w:eastAsia="Arial" w:hAnsi="Arial"/>
          <w:b/>
          <w:bCs/>
          <w:sz w:val="26"/>
          <w:szCs w:val="26"/>
        </w:rPr>
        <w:t xml:space="preserve">6.1 Direct Contract Pricing (Existing, Unchanged)</w:t>
      </w:r>
    </w:p>
    <w:p>
      <w:pPr>
        <w:spacing w:after="100" w:before="60"/>
      </w:pPr>
      <w:r>
        <w:rPr>
          <w:rFonts w:ascii="Arial" w:cs="Arial" w:eastAsia="Arial" w:hAnsi="Arial"/>
          <w:b/>
          <w:bCs/>
          <w:sz w:val="22"/>
          <w:szCs w:val="22"/>
        </w:rPr>
        <w:t xml:space="preserve">Who: </w:t>
      </w:r>
      <w:r>
        <w:rPr>
          <w:rFonts w:ascii="Arial" w:cs="Arial" w:eastAsia="Arial" w:hAnsi="Arial"/>
          <w:sz w:val="22"/>
          <w:szCs w:val="22"/>
        </w:rPr>
        <w:t xml:space="preserve">Developer, analyst, pricing tool UI</w:t>
      </w:r>
    </w:p>
    <w:p>
      <w:pPr>
        <w:spacing w:after="100" w:before="60"/>
      </w:pPr>
      <w:r>
        <w:rPr>
          <w:rFonts w:ascii="Arial" w:cs="Arial" w:eastAsia="Arial" w:hAnsi="Arial"/>
          <w:b/>
          <w:bCs/>
          <w:sz w:val="22"/>
          <w:szCs w:val="22"/>
        </w:rPr>
        <w:t xml:space="preserve">Context needed: </w:t>
      </w:r>
      <w:r>
        <w:rPr>
          <w:rFonts w:ascii="Arial" w:cs="Arial" w:eastAsia="Arial" w:hAnsi="Arial"/>
          <w:sz w:val="22"/>
          <w:szCs w:val="22"/>
        </w:rPr>
        <w:t xml:space="preserve">Caller supplies contract_id directly</w:t>
      </w:r>
    </w:p>
    <w:p>
      <w:pPr>
        <w:shd w:fill="F4F4F4" w:val="clear"/>
        <w:spacing w:after="0" w:before="0"/>
        <w:ind w:left="360"/>
      </w:pPr>
      <w:r>
        <w:rPr>
          <w:rFonts w:ascii="Courier New" w:cs="Courier New" w:eastAsia="Courier New" w:hAnsi="Courier New"/>
          <w:sz w:val="18"/>
          <w:szCs w:val="18"/>
        </w:rPr>
        <w:t xml:space="preserve">POST /api/price-claim/ { contract_id: 42, lines: [...] }</w:t>
      </w:r>
    </w:p>
    <w:p>
      <w:pPr>
        <w:shd w:fill="F4F4F4" w:val="clear"/>
        <w:spacing w:after="0" w:before="0"/>
        <w:ind w:left="360"/>
      </w:pPr>
      <w:r>
        <w:rPr>
          <w:rFonts w:ascii="Courier New" w:cs="Courier New" w:eastAsia="Courier New" w:hAnsi="Courier New"/>
          <w:sz w:val="18"/>
          <w:szCs w:val="18"/>
        </w:rPr>
        <w:t xml:space="preserve">  → ClaimPricingService.price_claim()</w:t>
      </w:r>
    </w:p>
    <w:p>
      <w:pPr>
        <w:shd w:fill="F4F4F4" w:val="clear"/>
        <w:spacing w:after="0" w:before="0"/>
        <w:ind w:left="360"/>
      </w:pPr>
      <w:r>
        <w:rPr>
          <w:rFonts w:ascii="Courier New" w:cs="Courier New" w:eastAsia="Courier New" w:hAnsi="Courier New"/>
          <w:sz w:val="18"/>
          <w:szCs w:val="18"/>
        </w:rPr>
        <w:t xml:space="preserve">     (skips context resolution — contract_id given)</w:t>
      </w:r>
    </w:p>
    <w:p>
      <w:pPr>
        <w:shd w:fill="F4F4F4" w:val="clear"/>
        <w:spacing w:after="0" w:before="0"/>
        <w:ind w:left="360"/>
      </w:pPr>
      <w:r>
        <w:rPr>
          <w:rFonts w:ascii="Courier New" w:cs="Courier New" w:eastAsia="Courier New" w:hAnsi="Courier New"/>
          <w:sz w:val="18"/>
          <w:szCs w:val="18"/>
        </w:rPr>
        <w:t xml:space="preserve">  → ClaimOrchestrator → ClaimPricingResult</w:t>
      </w:r>
    </w:p>
    <w:p>
      <w:pPr>
        <w:spacing w:after="100" w:before="60"/>
      </w:pPr>
      <w:r>
        <w:rPr>
          <w:rFonts w:ascii="Arial" w:cs="Arial" w:eastAsia="Arial" w:hAnsi="Arial"/>
          <w:b/>
          <w:bCs/>
          <w:sz w:val="22"/>
          <w:szCs w:val="22"/>
        </w:rPr>
        <w:t xml:space="preserve">Output: </w:t>
      </w:r>
      <w:r>
        <w:rPr>
          <w:rFonts w:ascii="Arial" w:cs="Arial" w:eastAsia="Arial" w:hAnsi="Arial"/>
          <w:sz w:val="22"/>
          <w:szCs w:val="22"/>
        </w:rPr>
        <w:t xml:space="preserve">ClaimPricingResult with allowed amounts, rule IDs, trace</w:t>
      </w:r>
    </w:p>
    <w:p>
      <w:pPr>
        <w:spacing w:after="100" w:before="60"/>
      </w:pPr>
      <w:r>
        <w:rPr>
          <w:rFonts w:ascii="Arial" w:cs="Arial" w:eastAsia="Arial" w:hAnsi="Arial"/>
          <w:b/>
          <w:bCs/>
          <w:sz w:val="22"/>
          <w:szCs w:val="22"/>
        </w:rPr>
        <w:t xml:space="preserve">Note: </w:t>
      </w:r>
      <w:r>
        <w:rPr>
          <w:rFonts w:ascii="Arial" w:cs="Arial" w:eastAsia="Arial" w:hAnsi="Arial"/>
          <w:sz w:val="22"/>
          <w:szCs w:val="22"/>
        </w:rPr>
        <w:t xml:space="preserve">This path stays exactly as today. No changes needed.</w:t>
      </w:r>
    </w:p>
    <w:p>
      <w:pPr>
        <w:spacing w:after="120" w:before="0"/>
      </w:pPr>
    </w:p>
    <w:p>
      <w:pPr>
        <w:pStyle w:val="Heading2"/>
        <w:spacing w:after="120" w:before="280"/>
      </w:pPr>
      <w:r>
        <w:rPr>
          <w:rFonts w:ascii="Arial" w:cs="Arial" w:eastAsia="Arial" w:hAnsi="Arial"/>
          <w:b/>
          <w:bCs/>
          <w:sz w:val="26"/>
          <w:szCs w:val="26"/>
        </w:rPr>
        <w:t xml:space="preserve">6.2 Provider-Side Modeling (New)</w:t>
      </w:r>
    </w:p>
    <w:p>
      <w:pPr>
        <w:spacing w:after="100" w:before="60"/>
      </w:pPr>
      <w:r>
        <w:rPr>
          <w:rFonts w:ascii="Arial" w:cs="Arial" w:eastAsia="Arial" w:hAnsi="Arial"/>
          <w:b/>
          <w:bCs/>
          <w:sz w:val="22"/>
          <w:szCs w:val="22"/>
        </w:rPr>
        <w:t xml:space="preserve">Who: </w:t>
      </w:r>
      <w:r>
        <w:rPr>
          <w:rFonts w:ascii="Arial" w:cs="Arial" w:eastAsia="Arial" w:hAnsi="Arial"/>
          <w:sz w:val="22"/>
          <w:szCs w:val="22"/>
        </w:rPr>
        <w:t xml:space="preserve">Provider reimbursement analyst testing a new contract scenario</w:t>
      </w:r>
    </w:p>
    <w:p>
      <w:pPr>
        <w:spacing w:after="100" w:before="60"/>
      </w:pPr>
      <w:r>
        <w:rPr>
          <w:rFonts w:ascii="Arial" w:cs="Arial" w:eastAsia="Arial" w:hAnsi="Arial"/>
          <w:b/>
          <w:bCs/>
          <w:sz w:val="22"/>
          <w:szCs w:val="22"/>
        </w:rPr>
        <w:t xml:space="preserve">Context needed: </w:t>
      </w:r>
      <w:r>
        <w:rPr>
          <w:rFonts w:ascii="Arial" w:cs="Arial" w:eastAsia="Arial" w:hAnsi="Arial"/>
          <w:sz w:val="22"/>
          <w:szCs w:val="22"/>
        </w:rPr>
        <w:t xml:space="preserve">Billing org, rendering provider, claim lines; member optional</w:t>
      </w:r>
    </w:p>
    <w:p>
      <w:pPr>
        <w:shd w:fill="F4F4F4" w:val="clear"/>
        <w:spacing w:after="0" w:before="0"/>
        <w:ind w:left="360"/>
      </w:pPr>
      <w:r>
        <w:rPr>
          <w:rFonts w:ascii="Courier New" w:cs="Courier New" w:eastAsia="Courier New" w:hAnsi="Courier New"/>
          <w:sz w:val="18"/>
          <w:szCs w:val="18"/>
        </w:rPr>
        <w:t xml:space="preserve">POST /api/price-claim-by-provider/</w:t>
      </w:r>
    </w:p>
    <w:p>
      <w:pPr>
        <w:shd w:fill="F4F4F4" w:val="clear"/>
        <w:spacing w:after="0" w:before="0"/>
        <w:ind w:left="360"/>
      </w:pPr>
      <w:r>
        <w:rPr>
          <w:rFonts w:ascii="Courier New" w:cs="Courier New" w:eastAsia="Courier New" w:hAnsi="Courier New"/>
          <w:sz w:val="18"/>
          <w:szCs w:val="18"/>
        </w:rPr>
        <w:t xml:space="preserve">  { billing_npi, rendering_npi, service_date, claim_type, lines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1. ProviderResolver:</w:t>
      </w:r>
    </w:p>
    <w:p>
      <w:pPr>
        <w:shd w:fill="F4F4F4" w:val="clear"/>
        <w:spacing w:after="0" w:before="0"/>
        <w:ind w:left="360"/>
      </w:pPr>
      <w:r>
        <w:rPr>
          <w:rFonts w:ascii="Courier New" w:cs="Courier New" w:eastAsia="Courier New" w:hAnsi="Courier New"/>
          <w:sz w:val="18"/>
          <w:szCs w:val="18"/>
        </w:rPr>
        <w:t xml:space="preserve">     billing_npi → ProviderOrganization (id=7)</w:t>
      </w:r>
    </w:p>
    <w:p>
      <w:pPr>
        <w:shd w:fill="F4F4F4" w:val="clear"/>
        <w:spacing w:after="0" w:before="0"/>
        <w:ind w:left="360"/>
      </w:pPr>
      <w:r>
        <w:rPr>
          <w:rFonts w:ascii="Courier New" w:cs="Courier New" w:eastAsia="Courier New" w:hAnsi="Courier New"/>
          <w:sz w:val="18"/>
          <w:szCs w:val="18"/>
        </w:rPr>
        <w:t xml:space="preserve">     rendering_npi → Provider (id=12), specialty="Internal Medicine"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2. ContractResolver:</w:t>
      </w:r>
    </w:p>
    <w:p>
      <w:pPr>
        <w:shd w:fill="F4F4F4" w:val="clear"/>
        <w:spacing w:after="0" w:before="0"/>
        <w:ind w:left="360"/>
      </w:pPr>
      <w:r>
        <w:rPr>
          <w:rFonts w:ascii="Courier New" w:cs="Courier New" w:eastAsia="Courier New" w:hAnsi="Courier New"/>
          <w:sz w:val="18"/>
          <w:szCs w:val="18"/>
        </w:rPr>
        <w:t xml:space="preserve">     org_id=7, no member → scan all active contracts for org</w:t>
      </w:r>
    </w:p>
    <w:p>
      <w:pPr>
        <w:shd w:fill="F4F4F4" w:val="clear"/>
        <w:spacing w:after="0" w:before="0"/>
        <w:ind w:left="360"/>
      </w:pPr>
      <w:r>
        <w:rPr>
          <w:rFonts w:ascii="Courier New" w:cs="Courier New" w:eastAsia="Courier New" w:hAnsi="Courier New"/>
          <w:sz w:val="18"/>
          <w:szCs w:val="18"/>
        </w:rPr>
        <w:t xml:space="preserve">     → ProviderContract id=42 (commercial, effective 2025-01-01)</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3. ContextBuilder → ClaimPricingContext { contract_id=42, ...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4. ClaimOrchestrator (existing, unchanged) → ClaimPricingResult</w:t>
      </w:r>
    </w:p>
    <w:p>
      <w:pPr>
        <w:spacing w:after="100" w:before="60"/>
      </w:pPr>
      <w:r>
        <w:rPr>
          <w:rFonts w:ascii="Arial" w:cs="Arial" w:eastAsia="Arial" w:hAnsi="Arial"/>
          <w:b/>
          <w:bCs/>
          <w:sz w:val="22"/>
          <w:szCs w:val="22"/>
        </w:rPr>
        <w:t xml:space="preserve">Output: </w:t>
      </w:r>
      <w:r>
        <w:rPr>
          <w:rFonts w:ascii="Arial" w:cs="Arial" w:eastAsia="Arial" w:hAnsi="Arial"/>
          <w:sz w:val="22"/>
          <w:szCs w:val="22"/>
        </w:rPr>
        <w:t xml:space="preserve">Allowed amount with contract/rule trace. If multiple contracts match org, returns list of candidates or applies specificity ranking.</w:t>
      </w:r>
    </w:p>
    <w:p>
      <w:pPr>
        <w:spacing w:after="120" w:before="0"/>
      </w:pPr>
    </w:p>
    <w:p>
      <w:pPr>
        <w:pStyle w:val="Heading2"/>
        <w:spacing w:after="120" w:before="280"/>
      </w:pPr>
      <w:r>
        <w:rPr>
          <w:rFonts w:ascii="Arial" w:cs="Arial" w:eastAsia="Arial" w:hAnsi="Arial"/>
          <w:b/>
          <w:bCs/>
          <w:sz w:val="26"/>
          <w:szCs w:val="26"/>
        </w:rPr>
        <w:t xml:space="preserve">6.3 Payer-Side Repricing (New)</w:t>
      </w:r>
    </w:p>
    <w:p>
      <w:pPr>
        <w:spacing w:after="100" w:before="60"/>
      </w:pPr>
      <w:r>
        <w:rPr>
          <w:rFonts w:ascii="Arial" w:cs="Arial" w:eastAsia="Arial" w:hAnsi="Arial"/>
          <w:b/>
          <w:bCs/>
          <w:sz w:val="22"/>
          <w:szCs w:val="22"/>
        </w:rPr>
        <w:t xml:space="preserve">Who: </w:t>
      </w:r>
      <w:r>
        <w:rPr>
          <w:rFonts w:ascii="Arial" w:cs="Arial" w:eastAsia="Arial" w:hAnsi="Arial"/>
          <w:sz w:val="22"/>
          <w:szCs w:val="22"/>
        </w:rPr>
        <w:t xml:space="preserve">Payer repricing team — received a claim, want to apply a different or updated contract</w:t>
      </w:r>
    </w:p>
    <w:p>
      <w:pPr>
        <w:spacing w:after="100" w:before="60"/>
      </w:pPr>
      <w:r>
        <w:rPr>
          <w:rFonts w:ascii="Arial" w:cs="Arial" w:eastAsia="Arial" w:hAnsi="Arial"/>
          <w:b/>
          <w:bCs/>
          <w:sz w:val="22"/>
          <w:szCs w:val="22"/>
        </w:rPr>
        <w:t xml:space="preserve">Context needed: </w:t>
      </w:r>
      <w:r>
        <w:rPr>
          <w:rFonts w:ascii="Arial" w:cs="Arial" w:eastAsia="Arial" w:hAnsi="Arial"/>
          <w:sz w:val="22"/>
          <w:szCs w:val="22"/>
        </w:rPr>
        <w:t xml:space="preserve">Member ID, billing NPI, rendering NPI, service date, claim lines</w:t>
      </w:r>
    </w:p>
    <w:p>
      <w:pPr>
        <w:shd w:fill="F4F4F4" w:val="clear"/>
        <w:spacing w:after="0" w:before="0"/>
        <w:ind w:left="360"/>
      </w:pPr>
      <w:r>
        <w:rPr>
          <w:rFonts w:ascii="Courier New" w:cs="Courier New" w:eastAsia="Courier New" w:hAnsi="Courier New"/>
          <w:sz w:val="18"/>
          <w:szCs w:val="18"/>
        </w:rPr>
        <w:t xml:space="preserve">POST /api/reprice-claim/</w:t>
      </w:r>
    </w:p>
    <w:p>
      <w:pPr>
        <w:shd w:fill="F4F4F4" w:val="clear"/>
        <w:spacing w:after="0" w:before="0"/>
        <w:ind w:left="360"/>
      </w:pPr>
      <w:r>
        <w:rPr>
          <w:rFonts w:ascii="Courier New" w:cs="Courier New" w:eastAsia="Courier New" w:hAnsi="Courier New"/>
          <w:sz w:val="18"/>
          <w:szCs w:val="18"/>
        </w:rPr>
        <w:t xml:space="preserve">  { member_id, billing_npi, rendering_npi, service_date, claim_type, lines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1. MemberResolver:</w:t>
      </w:r>
    </w:p>
    <w:p>
      <w:pPr>
        <w:shd w:fill="F4F4F4" w:val="clear"/>
        <w:spacing w:after="0" w:before="0"/>
        <w:ind w:left="360"/>
      </w:pPr>
      <w:r>
        <w:rPr>
          <w:rFonts w:ascii="Courier New" w:cs="Courier New" w:eastAsia="Courier New" w:hAnsi="Courier New"/>
          <w:sz w:val="18"/>
          <w:szCs w:val="18"/>
        </w:rPr>
        <w:t xml:space="preserve">     member_id → Enrollment (date) → Product "BlueSelect PPO"</w:t>
      </w:r>
    </w:p>
    <w:p>
      <w:pPr>
        <w:shd w:fill="F4F4F4" w:val="clear"/>
        <w:spacing w:after="0" w:before="0"/>
        <w:ind w:left="360"/>
      </w:pPr>
      <w:r>
        <w:rPr>
          <w:rFonts w:ascii="Courier New" w:cs="Courier New" w:eastAsia="Courier New" w:hAnsi="Courier New"/>
          <w:sz w:val="18"/>
          <w:szCs w:val="18"/>
        </w:rPr>
        <w:t xml:space="preserve">     LOB = Commercial → Network = "Broad PPO Network"</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2. ProviderResolver:</w:t>
      </w:r>
    </w:p>
    <w:p>
      <w:pPr>
        <w:shd w:fill="F4F4F4" w:val="clear"/>
        <w:spacing w:after="0" w:before="0"/>
        <w:ind w:left="360"/>
      </w:pPr>
      <w:r>
        <w:rPr>
          <w:rFonts w:ascii="Courier New" w:cs="Courier New" w:eastAsia="Courier New" w:hAnsi="Courier New"/>
          <w:sz w:val="18"/>
          <w:szCs w:val="18"/>
        </w:rPr>
        <w:t xml:space="preserve">     billing_npi → ProviderOrganization (id=7)</w:t>
      </w:r>
    </w:p>
    <w:p>
      <w:pPr>
        <w:shd w:fill="F4F4F4" w:val="clear"/>
        <w:spacing w:after="0" w:before="0"/>
        <w:ind w:left="360"/>
      </w:pPr>
      <w:r>
        <w:rPr>
          <w:rFonts w:ascii="Courier New" w:cs="Courier New" w:eastAsia="Courier New" w:hAnsi="Courier New"/>
          <w:sz w:val="18"/>
          <w:szCs w:val="18"/>
        </w:rPr>
        <w:t xml:space="preserve">     check ProviderNetworkParticipation: org, network, date</w:t>
      </w:r>
    </w:p>
    <w:p>
      <w:pPr>
        <w:shd w:fill="F4F4F4" w:val="clear"/>
        <w:spacing w:after="0" w:before="0"/>
        <w:ind w:left="360"/>
      </w:pPr>
      <w:r>
        <w:rPr>
          <w:rFonts w:ascii="Courier New" w:cs="Courier New" w:eastAsia="Courier New" w:hAnsi="Courier New"/>
          <w:sz w:val="18"/>
          <w:szCs w:val="18"/>
        </w:rPr>
        <w:t xml:space="preserve">     → status = IN_NETWORK</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3. ContractResolver:</w:t>
      </w:r>
    </w:p>
    <w:p>
      <w:pPr>
        <w:shd w:fill="F4F4F4" w:val="clear"/>
        <w:spacing w:after="0" w:before="0"/>
        <w:ind w:left="360"/>
      </w:pPr>
      <w:r>
        <w:rPr>
          <w:rFonts w:ascii="Courier New" w:cs="Courier New" w:eastAsia="Courier New" w:hAnsi="Courier New"/>
          <w:sz w:val="18"/>
          <w:szCs w:val="18"/>
        </w:rPr>
        <w:t xml:space="preserve">     org_id=7, network="Broad PPO", lob=Commercial, date</w:t>
      </w:r>
    </w:p>
    <w:p>
      <w:pPr>
        <w:shd w:fill="F4F4F4" w:val="clear"/>
        <w:spacing w:after="0" w:before="0"/>
        <w:ind w:left="360"/>
      </w:pPr>
      <w:r>
        <w:rPr>
          <w:rFonts w:ascii="Courier New" w:cs="Courier New" w:eastAsia="Courier New" w:hAnsi="Courier New"/>
          <w:sz w:val="18"/>
          <w:szCs w:val="18"/>
        </w:rPr>
        <w:t xml:space="preserve">     → ProviderContract id=42</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4. ContextBuilder → ClaimPricingContext</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5. ClaimOrchestrator → ClaimPricingResult</w:t>
      </w:r>
    </w:p>
    <w:p>
      <w:pPr>
        <w:spacing w:after="100" w:before="60"/>
      </w:pPr>
      <w:r>
        <w:rPr>
          <w:rFonts w:ascii="Arial" w:cs="Arial" w:eastAsia="Arial" w:hAnsi="Arial"/>
          <w:b/>
          <w:bCs/>
          <w:sz w:val="22"/>
          <w:szCs w:val="22"/>
        </w:rPr>
        <w:t xml:space="preserve">Output: </w:t>
      </w:r>
      <w:r>
        <w:rPr>
          <w:rFonts w:ascii="Arial" w:cs="Arial" w:eastAsia="Arial" w:hAnsi="Arial"/>
          <w:sz w:val="22"/>
          <w:szCs w:val="22"/>
        </w:rPr>
        <w:t xml:space="preserve">Repriced allowed amount with full provenance — member → product → network → contract → rule.</w:t>
      </w:r>
    </w:p>
    <w:p>
      <w:pPr>
        <w:spacing w:after="120" w:before="0"/>
      </w:pPr>
    </w:p>
    <w:p>
      <w:pPr>
        <w:pStyle w:val="Heading2"/>
        <w:spacing w:after="120" w:before="280"/>
      </w:pPr>
      <w:r>
        <w:rPr>
          <w:rFonts w:ascii="Arial" w:cs="Arial" w:eastAsia="Arial" w:hAnsi="Arial"/>
          <w:b/>
          <w:bCs/>
          <w:sz w:val="26"/>
          <w:szCs w:val="26"/>
        </w:rPr>
        <w:t xml:space="preserve">6.4 Stored Claim Pricing (Existing + Enriched)</w:t>
      </w:r>
    </w:p>
    <w:p>
      <w:pPr>
        <w:spacing w:after="100" w:before="60"/>
      </w:pPr>
      <w:r>
        <w:rPr>
          <w:rFonts w:ascii="Arial" w:cs="Arial" w:eastAsia="Arial" w:hAnsi="Arial"/>
          <w:b/>
          <w:bCs/>
          <w:sz w:val="22"/>
          <w:szCs w:val="22"/>
        </w:rPr>
        <w:t xml:space="preserve">Who: </w:t>
      </w:r>
      <w:r>
        <w:rPr>
          <w:rFonts w:ascii="Arial" w:cs="Arial" w:eastAsia="Arial" w:hAnsi="Arial"/>
          <w:sz w:val="22"/>
          <w:szCs w:val="22"/>
        </w:rPr>
        <w:t xml:space="preserve">Batch pricing run against stored claims</w:t>
      </w:r>
    </w:p>
    <w:p>
      <w:pPr>
        <w:spacing w:after="100" w:before="60"/>
      </w:pPr>
      <w:r>
        <w:rPr>
          <w:rFonts w:ascii="Arial" w:cs="Arial" w:eastAsia="Arial" w:hAnsi="Arial"/>
          <w:b/>
          <w:bCs/>
          <w:sz w:val="22"/>
          <w:szCs w:val="22"/>
        </w:rPr>
        <w:t xml:space="preserve">Context needed: </w:t>
      </w:r>
      <w:r>
        <w:rPr>
          <w:rFonts w:ascii="Arial" w:cs="Arial" w:eastAsia="Arial" w:hAnsi="Arial"/>
          <w:sz w:val="22"/>
          <w:szCs w:val="22"/>
        </w:rPr>
        <w:t xml:space="preserve">ClaimHeader with enriched provider/member FKs (new)</w:t>
      </w:r>
    </w:p>
    <w:p>
      <w:pPr>
        <w:shd w:fill="F4F4F4" w:val="clear"/>
        <w:spacing w:after="0" w:before="0"/>
        <w:ind w:left="360"/>
      </w:pPr>
      <w:r>
        <w:rPr>
          <w:rFonts w:ascii="Courier New" w:cs="Courier New" w:eastAsia="Courier New" w:hAnsi="Courier New"/>
          <w:sz w:val="18"/>
          <w:szCs w:val="18"/>
        </w:rPr>
        <w:t xml:space="preserve">POST /api/price-claims-bulk/ { claim_ids: [1001, 1002, 1003]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1. Load ClaimHeader batch</w:t>
      </w:r>
    </w:p>
    <w:p>
      <w:pPr>
        <w:shd w:fill="F4F4F4" w:val="clear"/>
        <w:spacing w:after="0" w:before="0"/>
        <w:ind w:left="360"/>
      </w:pPr>
      <w:r>
        <w:rPr>
          <w:rFonts w:ascii="Courier New" w:cs="Courier New" w:eastAsia="Courier New" w:hAnsi="Courier New"/>
          <w:sz w:val="18"/>
          <w:szCs w:val="18"/>
        </w:rPr>
        <w:t xml:space="preserve">     each header has billing_provider FK, member FK (new fields)</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2. For each claim:</w:t>
      </w:r>
    </w:p>
    <w:p>
      <w:pPr>
        <w:shd w:fill="F4F4F4" w:val="clear"/>
        <w:spacing w:after="0" w:before="0"/>
        <w:ind w:left="360"/>
      </w:pPr>
      <w:r>
        <w:rPr>
          <w:rFonts w:ascii="Courier New" w:cs="Courier New" w:eastAsia="Courier New" w:hAnsi="Courier New"/>
          <w:sz w:val="18"/>
          <w:szCs w:val="18"/>
        </w:rPr>
        <w:t xml:space="preserve">     ContractResolver.resolve(org_id, member_id, service_date)</w:t>
      </w:r>
    </w:p>
    <w:p>
      <w:pPr>
        <w:shd w:fill="F4F4F4" w:val="clear"/>
        <w:spacing w:after="0" w:before="0"/>
        <w:ind w:left="360"/>
      </w:pPr>
      <w:r>
        <w:rPr>
          <w:rFonts w:ascii="Courier New" w:cs="Courier New" w:eastAsia="Courier New" w:hAnsi="Courier New"/>
          <w:sz w:val="18"/>
          <w:szCs w:val="18"/>
        </w:rPr>
        <w:t xml:space="preserve">     → contract_id</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3. Batch config caching (existing, unchanged):</w:t>
      </w:r>
    </w:p>
    <w:p>
      <w:pPr>
        <w:shd w:fill="F4F4F4" w:val="clear"/>
        <w:spacing w:after="0" w:before="0"/>
        <w:ind w:left="360"/>
      </w:pPr>
      <w:r>
        <w:rPr>
          <w:rFonts w:ascii="Courier New" w:cs="Courier New" w:eastAsia="Courier New" w:hAnsi="Courier New"/>
          <w:sz w:val="18"/>
          <w:szCs w:val="18"/>
        </w:rPr>
        <w:t xml:space="preserve">     ContractPricingConfig cached per (contract_id, version_id, date)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4. ClaimOrchestrator × N → ClaimPricingResult × N</w:t>
      </w:r>
    </w:p>
    <w:p>
      <w:pPr>
        <w:spacing w:after="100" w:before="60"/>
      </w:pPr>
      <w:r>
        <w:rPr>
          <w:rFonts w:ascii="Arial" w:cs="Arial" w:eastAsia="Arial" w:hAnsi="Arial"/>
          <w:b/>
          <w:bCs/>
          <w:sz w:val="22"/>
          <w:szCs w:val="22"/>
        </w:rPr>
        <w:t xml:space="preserve">Output: </w:t>
      </w:r>
      <w:r>
        <w:rPr>
          <w:rFonts w:ascii="Arial" w:cs="Arial" w:eastAsia="Arial" w:hAnsi="Arial"/>
          <w:sz w:val="22"/>
          <w:szCs w:val="22"/>
        </w:rPr>
        <w:t xml:space="preserve">Batch repricing results with per-claim contract resolution provenance.</w:t>
      </w:r>
    </w:p>
    <w:p>
      <w:pPr>
        <w:spacing w:after="120" w:before="0"/>
      </w:pPr>
    </w:p>
    <w:p>
      <w:pPr>
        <w:pStyle w:val="Heading2"/>
        <w:spacing w:after="120" w:before="280"/>
      </w:pPr>
      <w:r>
        <w:rPr>
          <w:rFonts w:ascii="Arial" w:cs="Arial" w:eastAsia="Arial" w:hAnsi="Arial"/>
          <w:b/>
          <w:bCs/>
          <w:sz w:val="26"/>
          <w:szCs w:val="26"/>
        </w:rPr>
        <w:t xml:space="preserve">6.5 Simulated Claim Pricing (Existing + Extended)</w:t>
      </w:r>
    </w:p>
    <w:p>
      <w:pPr>
        <w:spacing w:after="100" w:before="60"/>
      </w:pPr>
      <w:r>
        <w:rPr>
          <w:rFonts w:ascii="Arial" w:cs="Arial" w:eastAsia="Arial" w:hAnsi="Arial"/>
          <w:b/>
          <w:bCs/>
          <w:sz w:val="22"/>
          <w:szCs w:val="22"/>
        </w:rPr>
        <w:t xml:space="preserve">Who: </w:t>
      </w:r>
      <w:r>
        <w:rPr>
          <w:rFonts w:ascii="Arial" w:cs="Arial" w:eastAsia="Arial" w:hAnsi="Arial"/>
          <w:sz w:val="22"/>
          <w:szCs w:val="22"/>
        </w:rPr>
        <w:t xml:space="preserve">Contracting analyst testing a draft contract or rule against a historical claim population</w:t>
      </w:r>
    </w:p>
    <w:p>
      <w:pPr>
        <w:spacing w:after="100" w:before="60"/>
      </w:pPr>
      <w:r>
        <w:rPr>
          <w:rFonts w:ascii="Arial" w:cs="Arial" w:eastAsia="Arial" w:hAnsi="Arial"/>
          <w:b/>
          <w:bCs/>
          <w:sz w:val="22"/>
          <w:szCs w:val="22"/>
        </w:rPr>
        <w:t xml:space="preserve">Context needed: </w:t>
      </w:r>
      <w:r>
        <w:rPr>
          <w:rFonts w:ascii="Arial" w:cs="Arial" w:eastAsia="Arial" w:hAnsi="Arial"/>
          <w:sz w:val="22"/>
          <w:szCs w:val="22"/>
        </w:rPr>
        <w:t xml:space="preserve">Draft contract/version + historical claims</w:t>
      </w:r>
    </w:p>
    <w:p>
      <w:pPr>
        <w:shd w:fill="F4F4F4" w:val="clear"/>
        <w:spacing w:after="0" w:before="0"/>
        <w:ind w:left="360"/>
      </w:pPr>
      <w:r>
        <w:rPr>
          <w:rFonts w:ascii="Courier New" w:cs="Courier New" w:eastAsia="Courier New" w:hAnsi="Courier New"/>
          <w:sz w:val="18"/>
          <w:szCs w:val="18"/>
        </w:rPr>
        <w:t xml:space="preserve">POST /api/price-claim-simulate/</w:t>
      </w:r>
    </w:p>
    <w:p>
      <w:pPr>
        <w:shd w:fill="F4F4F4" w:val="clear"/>
        <w:spacing w:after="0" w:before="0"/>
        <w:ind w:left="360"/>
      </w:pPr>
      <w:r>
        <w:rPr>
          <w:rFonts w:ascii="Courier New" w:cs="Courier New" w:eastAsia="Courier New" w:hAnsi="Courier New"/>
          <w:sz w:val="18"/>
          <w:szCs w:val="18"/>
        </w:rPr>
        <w:t xml:space="preserve">  { version_id: 88, member_id: "M-00112", lines: [...]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1. MemberResolver → product → network (as above)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2. Validate version_id: must not be ARCHIVED (existing check)</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3. ClaimPricingService.price_claim_with_version()</w:t>
      </w:r>
    </w:p>
    <w:p>
      <w:pPr>
        <w:shd w:fill="F4F4F4" w:val="clear"/>
        <w:spacing w:after="0" w:before="0"/>
        <w:ind w:left="360"/>
      </w:pPr>
      <w:r>
        <w:rPr>
          <w:rFonts w:ascii="Courier New" w:cs="Courier New" w:eastAsia="Courier New" w:hAnsi="Courier New"/>
          <w:sz w:val="18"/>
          <w:szCs w:val="18"/>
        </w:rPr>
        <w:t xml:space="preserve">     (existing — uses specified version, bypasses contract resolution)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4. ClaimPricingResult with version_id in audit trail</w:t>
      </w:r>
    </w:p>
    <w:p>
      <w:pPr>
        <w:spacing w:after="100" w:before="60"/>
      </w:pPr>
      <w:r>
        <w:rPr>
          <w:rFonts w:ascii="Arial" w:cs="Arial" w:eastAsia="Arial" w:hAnsi="Arial"/>
          <w:b/>
          <w:bCs/>
          <w:sz w:val="22"/>
          <w:szCs w:val="22"/>
        </w:rPr>
        <w:t xml:space="preserve">Output: </w:t>
      </w:r>
      <w:r>
        <w:rPr>
          <w:rFonts w:ascii="Arial" w:cs="Arial" w:eastAsia="Arial" w:hAnsi="Arial"/>
          <w:sz w:val="22"/>
          <w:szCs w:val="22"/>
        </w:rPr>
        <w:t xml:space="preserve">Simulated allowed amount under draft contract — useful for pre-activation impact analysis.</w:t>
      </w:r>
    </w:p>
    <w:p>
      <w:pPr>
        <w:spacing w:after="120" w:before="0"/>
      </w:pPr>
    </w:p>
    <w:p>
      <w:pPr>
        <w:pageBreakBefore/>
      </w:pPr>
    </w:p>
    <w:p>
      <w:pPr>
        <w:pStyle w:val="Heading1"/>
        <w:spacing w:after="160" w:before="400"/>
      </w:pPr>
      <w:r>
        <w:rPr>
          <w:rFonts w:ascii="Arial" w:cs="Arial" w:eastAsia="Arial" w:hAnsi="Arial"/>
          <w:b/>
          <w:bCs/>
          <w:sz w:val="32"/>
          <w:szCs w:val="32"/>
        </w:rPr>
        <w:t xml:space="preserve">7. Provider System Design for Pricing</w:t>
      </w:r>
    </w:p>
    <w:p>
      <w:pPr>
        <w:pStyle w:val="Heading2"/>
        <w:spacing w:after="120" w:before="280"/>
      </w:pPr>
      <w:r>
        <w:rPr>
          <w:rFonts w:ascii="Arial" w:cs="Arial" w:eastAsia="Arial" w:hAnsi="Arial"/>
          <w:b/>
          <w:bCs/>
          <w:sz w:val="26"/>
          <w:szCs w:val="26"/>
        </w:rPr>
        <w:t xml:space="preserve">7.1 What Kind of Provider System Is Actually Needed?</w:t>
      </w:r>
    </w:p>
    <w:p>
      <w:pPr>
        <w:spacing w:after="100" w:before="60"/>
      </w:pPr>
      <w:r>
        <w:rPr>
          <w:rFonts w:ascii="Arial" w:cs="Arial" w:eastAsia="Arial" w:hAnsi="Arial"/>
          <w:sz w:val="22"/>
          <w:szCs w:val="22"/>
        </w:rPr>
        <w:t xml:space="preserve">The most common mistake is building an enterprise provider credentialing system when what pricing needs is a network participation directory. These are different systems with different masters of record.</w:t>
      </w:r>
    </w:p>
    <w:p>
      <w:pPr>
        <w:spacing w:after="100" w:before="60"/>
      </w:pPr>
      <w:r>
        <w:rPr>
          <w:rFonts w:ascii="Arial" w:cs="Arial" w:eastAsia="Arial" w:hAnsi="Arial"/>
          <w:b/>
          <w:bCs/>
          <w:sz w:val="22"/>
          <w:szCs w:val="22"/>
        </w:rPr>
        <w:t xml:space="preserve">The pricing system does NOT need to be the system of record for:</w:t>
      </w:r>
    </w:p>
    <w:p>
      <w:pPr>
        <w:pStyle w:val="ListParagraph"/>
        <w:numPr>
          <w:ilvl w:val="0"/>
          <w:numId w:val="2"/>
        </w:numPr>
        <w:spacing w:after="60" w:before="40"/>
      </w:pPr>
      <w:r>
        <w:rPr>
          <w:rFonts w:ascii="Arial" w:cs="Arial" w:eastAsia="Arial" w:hAnsi="Arial"/>
          <w:sz w:val="22"/>
          <w:szCs w:val="22"/>
        </w:rPr>
        <w:t xml:space="preserve">Provider credentials, licenses, DEA</w:t>
      </w:r>
    </w:p>
    <w:p>
      <w:pPr>
        <w:pStyle w:val="ListParagraph"/>
        <w:numPr>
          <w:ilvl w:val="0"/>
          <w:numId w:val="2"/>
        </w:numPr>
        <w:spacing w:after="60" w:before="40"/>
      </w:pPr>
      <w:r>
        <w:rPr>
          <w:rFonts w:ascii="Arial" w:cs="Arial" w:eastAsia="Arial" w:hAnsi="Arial"/>
          <w:sz w:val="22"/>
          <w:szCs w:val="22"/>
        </w:rPr>
        <w:t xml:space="preserve">CAQH attestation</w:t>
      </w:r>
    </w:p>
    <w:p>
      <w:pPr>
        <w:pStyle w:val="ListParagraph"/>
        <w:numPr>
          <w:ilvl w:val="0"/>
          <w:numId w:val="2"/>
        </w:numPr>
        <w:spacing w:after="60" w:before="40"/>
      </w:pPr>
      <w:r>
        <w:rPr>
          <w:rFonts w:ascii="Arial" w:cs="Arial" w:eastAsia="Arial" w:hAnsi="Arial"/>
          <w:sz w:val="22"/>
          <w:szCs w:val="22"/>
        </w:rPr>
        <w:t xml:space="preserve">Malpractice / sanctions history</w:t>
      </w:r>
    </w:p>
    <w:p>
      <w:pPr>
        <w:pStyle w:val="ListParagraph"/>
        <w:numPr>
          <w:ilvl w:val="0"/>
          <w:numId w:val="2"/>
        </w:numPr>
        <w:spacing w:after="60" w:before="40"/>
      </w:pPr>
      <w:r>
        <w:rPr>
          <w:rFonts w:ascii="Arial" w:cs="Arial" w:eastAsia="Arial" w:hAnsi="Arial"/>
          <w:sz w:val="22"/>
          <w:szCs w:val="22"/>
        </w:rPr>
        <w:t xml:space="preserve">Clinical quality measures</w:t>
      </w:r>
    </w:p>
    <w:p>
      <w:pPr>
        <w:pStyle w:val="ListParagraph"/>
        <w:numPr>
          <w:ilvl w:val="0"/>
          <w:numId w:val="2"/>
        </w:numPr>
        <w:spacing w:after="60" w:before="40"/>
      </w:pPr>
      <w:r>
        <w:rPr>
          <w:rFonts w:ascii="Arial" w:cs="Arial" w:eastAsia="Arial" w:hAnsi="Arial"/>
          <w:sz w:val="22"/>
          <w:szCs w:val="22"/>
        </w:rPr>
        <w:t xml:space="preserve">Physician finder / consumer directory</w:t>
      </w:r>
    </w:p>
    <w:p>
      <w:pPr>
        <w:spacing w:after="120" w:before="0"/>
      </w:pPr>
    </w:p>
    <w:p>
      <w:pPr>
        <w:spacing w:after="100" w:before="60"/>
      </w:pPr>
      <w:r>
        <w:rPr>
          <w:rFonts w:ascii="Arial" w:cs="Arial" w:eastAsia="Arial" w:hAnsi="Arial"/>
          <w:b/>
          <w:bCs/>
          <w:sz w:val="22"/>
          <w:szCs w:val="22"/>
        </w:rPr>
        <w:t xml:space="preserve">The pricing system DOES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What</w:t>
            </w:r>
          </w:p>
        </w:tc>
        <w:tc>
          <w:tcPr>
            <w:tcW w:type="dxa" w:w="57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Why</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Billing NPI → ProviderOrganization mapping</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Contracts are held by orgs, not individuals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Rendering NPI → Provider → Specialty mapping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Specialty affects methodology and conversion factor selection</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Rendering NPI → ProviderOrganization affiliation (dated)</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 inheritance — does this rendering provider render under this billing org?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Provider/Org → Network participation (dated)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In-network vs. OON determination</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Facility NPI → FacilityType + POS codes</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POS drives professional vs. facility pricing, APC vs. RBRVS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Facility → Network participation (dated)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Same as provider</w:t>
            </w:r>
          </w:p>
        </w:tc>
      </w:tr>
    </w:tbl>
    <w:p>
      <w:pPr>
        <w:pStyle w:val="Heading2"/>
        <w:spacing w:after="120" w:before="280"/>
      </w:pPr>
      <w:r>
        <w:rPr>
          <w:rFonts w:ascii="Arial" w:cs="Arial" w:eastAsia="Arial" w:hAnsi="Arial"/>
          <w:b/>
          <w:bCs/>
          <w:sz w:val="26"/>
          <w:szCs w:val="26"/>
        </w:rPr>
        <w:t xml:space="preserve">7.2 The Thin Provider Model for Pricing</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ProviderOrganization  ←─────────────────────────────────┐</w:t>
      </w:r>
    </w:p>
    <w:p>
      <w:pPr>
        <w:shd w:fill="EEF2F8" w:val="clear"/>
        <w:spacing w:after="0" w:before="0"/>
        <w:ind w:left="360"/>
      </w:pPr>
      <w:r>
        <w:rPr>
          <w:rFonts w:ascii="Courier New" w:cs="Courier New" w:eastAsia="Courier New" w:hAnsi="Courier New"/>
          <w:sz w:val="18"/>
          <w:szCs w:val="18"/>
        </w:rPr>
        <w:t xml:space="preserve">  tax_id, npi_type2, org_type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ProviderNetworkParticipation                      │</w:t>
      </w:r>
    </w:p>
    <w:p>
      <w:pPr>
        <w:shd w:fill="EEF2F8" w:val="clear"/>
        <w:spacing w:after="0" w:before="0"/>
        <w:ind w:left="360"/>
      </w:pPr>
      <w:r>
        <w:rPr>
          <w:rFonts w:ascii="Courier New" w:cs="Courier New" w:eastAsia="Courier New" w:hAnsi="Courier New"/>
          <w:sz w:val="18"/>
          <w:szCs w:val="18"/>
        </w:rPr>
        <w:t xml:space="preserve">  │     org_id, network_id, effective_dates,            │ affiliation</w:t>
      </w:r>
    </w:p>
    <w:p>
      <w:pPr>
        <w:shd w:fill="EEF2F8" w:val="clear"/>
        <w:spacing w:after="0" w:before="0"/>
        <w:ind w:left="360"/>
      </w:pPr>
      <w:r>
        <w:rPr>
          <w:rFonts w:ascii="Courier New" w:cs="Courier New" w:eastAsia="Courier New" w:hAnsi="Courier New"/>
          <w:sz w:val="18"/>
          <w:szCs w:val="18"/>
        </w:rPr>
        <w:t xml:space="preserve">  │     network_tier, in_out_network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Provider (rendering individual)                   │</w:t>
      </w:r>
    </w:p>
    <w:p>
      <w:pPr>
        <w:shd w:fill="EEF2F8" w:val="clear"/>
        <w:spacing w:after="0" w:before="0"/>
        <w:ind w:left="360"/>
      </w:pPr>
      <w:r>
        <w:rPr>
          <w:rFonts w:ascii="Courier New" w:cs="Courier New" w:eastAsia="Courier New" w:hAnsi="Courier New"/>
          <w:sz w:val="18"/>
          <w:szCs w:val="18"/>
        </w:rPr>
        <w:t xml:space="preserve">        npi_type1, specialty, taxonomy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ProviderAffiliation ───────────────────────→┘</w:t>
      </w:r>
    </w:p>
    <w:p>
      <w:pPr>
        <w:shd w:fill="EEF2F8" w:val="clear"/>
        <w:spacing w:after="0" w:before="0"/>
        <w:ind w:left="360"/>
      </w:pPr>
      <w:r>
        <w:rPr>
          <w:rFonts w:ascii="Courier New" w:cs="Courier New" w:eastAsia="Courier New" w:hAnsi="Courier New"/>
          <w:sz w:val="18"/>
          <w:szCs w:val="18"/>
        </w:rPr>
        <w:t xml:space="preserve">        │     provider_id, org_id, role, eff_dates</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ProviderNetworkParticipation</w:t>
      </w:r>
    </w:p>
    <w:p>
      <w:pPr>
        <w:shd w:fill="EEF2F8" w:val="clear"/>
        <w:spacing w:after="0" w:before="0"/>
        <w:ind w:left="360"/>
      </w:pPr>
      <w:r>
        <w:rPr>
          <w:rFonts w:ascii="Courier New" w:cs="Courier New" w:eastAsia="Courier New" w:hAnsi="Courier New"/>
          <w:sz w:val="18"/>
          <w:szCs w:val="18"/>
        </w:rPr>
        <w:t xml:space="preserve">              (provider-level, when different from org)</w:t>
      </w:r>
    </w:p>
    <w:p>
      <w:pPr>
        <w:shd w:fill="EEF2F8" w:val="clear"/>
        <w:spacing w:after="0" w:before="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Facility</w:t>
      </w:r>
    </w:p>
    <w:p>
      <w:pPr>
        <w:shd w:fill="EEF2F8" w:val="clear"/>
        <w:spacing w:after="0" w:before="0"/>
        <w:ind w:left="360"/>
      </w:pPr>
      <w:r>
        <w:rPr>
          <w:rFonts w:ascii="Courier New" w:cs="Courier New" w:eastAsia="Courier New" w:hAnsi="Courier New"/>
          <w:sz w:val="18"/>
          <w:szCs w:val="18"/>
        </w:rPr>
        <w:t xml:space="preserve">  npi_type2, ccn, facility_type, pos_codes</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FacilityNetworkParticipation</w:t>
      </w:r>
    </w:p>
    <w:p>
      <w:pPr>
        <w:shd w:fill="EEF2F8" w:val="clear"/>
        <w:spacing w:after="0" w:before="0"/>
        <w:ind w:left="360"/>
      </w:pPr>
      <w:r>
        <w:rPr>
          <w:rFonts w:ascii="Courier New" w:cs="Courier New" w:eastAsia="Courier New" w:hAnsi="Courier New"/>
          <w:sz w:val="18"/>
          <w:szCs w:val="18"/>
        </w:rPr>
        <w:t xml:space="preserve">        facility_id, network_id, eff_dates</w:t>
      </w:r>
    </w:p>
    <w:p>
      <w:pPr>
        <w:shd w:fill="EEF2F8" w:val="clear"/>
        <w:spacing w:after="120" w:before="0"/>
        <w:ind w:left="360"/>
      </w:pPr>
      <w:r>
        <w:rPr>
          <w:rFonts w:ascii="Courier New" w:cs="Courier New" w:eastAsia="Courier New" w:hAnsi="Courier New"/>
          <w:sz w:val="18"/>
          <w:szCs w:val="18"/>
        </w:rPr>
        <w:t xml:space="preserve"/>
      </w:r>
    </w:p>
    <w:p>
      <w:pPr>
        <w:pStyle w:val="Heading2"/>
        <w:spacing w:after="120" w:before="280"/>
      </w:pPr>
      <w:r>
        <w:rPr>
          <w:rFonts w:ascii="Arial" w:cs="Arial" w:eastAsia="Arial" w:hAnsi="Arial"/>
          <w:b/>
          <w:bCs/>
          <w:sz w:val="26"/>
          <w:szCs w:val="26"/>
        </w:rPr>
        <w:t xml:space="preserve">7.3 Recommendation</w:t>
      </w:r>
    </w:p>
    <w:p>
      <w:pPr>
        <w:spacing w:after="100" w:before="60"/>
      </w:pPr>
      <w:r>
        <w:rPr>
          <w:rFonts w:ascii="Arial" w:cs="Arial" w:eastAsia="Arial" w:hAnsi="Arial"/>
          <w:sz w:val="22"/>
          <w:szCs w:val="22"/>
        </w:rPr>
        <w:t xml:space="preserve">Build the pricing-facing provider domain described above. Do not build a full credentialing system. The model above is ~6 tables beyond what exists today, covers every provider dimension pricing needs, and leaves a clean FK hook for a future enterprise provider master.</w:t>
      </w:r>
    </w:p>
    <w:p>
      <w:pPr>
        <w:spacing w:after="100" w:before="60"/>
      </w:pPr>
      <w:r>
        <w:rPr>
          <w:rFonts w:ascii="Arial" w:cs="Arial" w:eastAsia="Arial" w:hAnsi="Arial"/>
          <w:sz w:val="22"/>
          <w:szCs w:val="22"/>
        </w:rPr>
        <w:t xml:space="preserve">Rule of thumb: If a provider attribute does not influence contract selection, network status, methodology choice, or fee schedule selection — it does not belong in the pricing system.</w:t>
      </w:r>
    </w:p>
    <w:p>
      <w:pPr>
        <w:pStyle w:val="Heading2"/>
        <w:spacing w:after="120" w:before="280"/>
      </w:pPr>
      <w:r>
        <w:rPr>
          <w:rFonts w:ascii="Arial" w:cs="Arial" w:eastAsia="Arial" w:hAnsi="Arial"/>
          <w:b/>
          <w:bCs/>
          <w:sz w:val="26"/>
          <w:szCs w:val="26"/>
        </w:rPr>
        <w:t xml:space="preserve">7.4 How Affiliations Should Work</w:t>
      </w:r>
    </w:p>
    <w:p>
      <w:pPr>
        <w:spacing w:after="100" w:before="60"/>
      </w:pPr>
      <w:r>
        <w:rPr>
          <w:rFonts w:ascii="Arial" w:cs="Arial" w:eastAsia="Arial" w:hAnsi="Arial"/>
          <w:sz w:val="22"/>
          <w:szCs w:val="22"/>
        </w:rPr>
        <w:t xml:space="preserve">An affiliation is a dated, directional relationship between a rendering provider (individual) and a billing organization. Its primary role in pricing is contract inheritance resolution:</w:t>
      </w:r>
    </w:p>
    <w:p>
      <w:pPr>
        <w:spacing w:after="100" w:before="60"/>
      </w:pPr>
      <w:r>
        <w:rPr>
          <w:rFonts w:ascii="Arial" w:cs="Arial" w:eastAsia="Arial" w:hAnsi="Arial"/>
          <w:sz w:val="22"/>
          <w:szCs w:val="22"/>
        </w:rPr>
        <w:t xml:space="preserve">"On service date 2025-03-15, was rendering NPI 0987654321 affiliated with billing org tax_id 12-3456789? If yes, the org's contract applies to this claim line."</w:t>
      </w:r>
    </w:p>
    <w:p>
      <w:pPr>
        <w:spacing w:after="100" w:before="60"/>
      </w:pPr>
      <w:r>
        <w:rPr>
          <w:rFonts w:ascii="Arial" w:cs="Arial" w:eastAsia="Arial" w:hAnsi="Arial"/>
          <w:sz w:val="22"/>
          <w:szCs w:val="22"/>
        </w:rPr>
        <w:t xml:space="preserve">Affiliations should be:</w:t>
      </w:r>
    </w:p>
    <w:p>
      <w:pPr>
        <w:pStyle w:val="ListParagraph"/>
        <w:numPr>
          <w:ilvl w:val="0"/>
          <w:numId w:val="2"/>
        </w:numPr>
        <w:spacing w:after="60" w:before="40"/>
      </w:pPr>
      <w:r>
        <w:rPr>
          <w:rFonts w:ascii="Arial" w:cs="Arial" w:eastAsia="Arial" w:hAnsi="Arial"/>
          <w:sz w:val="22"/>
          <w:szCs w:val="22"/>
        </w:rPr>
        <w:t xml:space="preserve">Date-scoped (effective_date + termination_date)</w:t>
      </w:r>
    </w:p>
    <w:p>
      <w:pPr>
        <w:pStyle w:val="ListParagraph"/>
        <w:numPr>
          <w:ilvl w:val="0"/>
          <w:numId w:val="2"/>
        </w:numPr>
        <w:spacing w:after="60" w:before="40"/>
      </w:pPr>
      <w:r>
        <w:rPr>
          <w:rFonts w:ascii="Arial" w:cs="Arial" w:eastAsia="Arial" w:hAnsi="Arial"/>
          <w:sz w:val="22"/>
          <w:szCs w:val="22"/>
        </w:rPr>
        <w:t xml:space="preserve">Role-typed (employee, contractor, covering/locum, admitting)</w:t>
      </w:r>
    </w:p>
    <w:p>
      <w:pPr>
        <w:pStyle w:val="ListParagraph"/>
        <w:numPr>
          <w:ilvl w:val="0"/>
          <w:numId w:val="2"/>
        </w:numPr>
        <w:spacing w:after="60" w:before="40"/>
      </w:pPr>
      <w:r>
        <w:rPr>
          <w:rFonts w:ascii="Arial" w:cs="Arial" w:eastAsia="Arial" w:hAnsi="Arial"/>
          <w:sz w:val="22"/>
          <w:szCs w:val="22"/>
        </w:rPr>
        <w:t xml:space="preserve">Queryable by service date in O(1) with an index on (provider_id, org_id, effective_date)</w:t>
      </w:r>
    </w:p>
    <w:p>
      <w:pPr>
        <w:pageBreakBefore/>
      </w:pPr>
    </w:p>
    <w:p>
      <w:pPr>
        <w:pStyle w:val="Heading1"/>
        <w:spacing w:after="160" w:before="400"/>
      </w:pPr>
      <w:r>
        <w:rPr>
          <w:rFonts w:ascii="Arial" w:cs="Arial" w:eastAsia="Arial" w:hAnsi="Arial"/>
          <w:b/>
          <w:bCs/>
          <w:sz w:val="32"/>
          <w:szCs w:val="32"/>
        </w:rPr>
        <w:t xml:space="preserve">8. Member / Product / Network Design</w:t>
      </w:r>
    </w:p>
    <w:p>
      <w:pPr>
        <w:pStyle w:val="Heading2"/>
        <w:spacing w:after="120" w:before="280"/>
      </w:pPr>
      <w:r>
        <w:rPr>
          <w:rFonts w:ascii="Arial" w:cs="Arial" w:eastAsia="Arial" w:hAnsi="Arial"/>
          <w:b/>
          <w:bCs/>
          <w:sz w:val="26"/>
          <w:szCs w:val="26"/>
        </w:rPr>
        <w:t xml:space="preserve">8.1 Where the Member Fits in Pricing</w:t>
      </w:r>
    </w:p>
    <w:p>
      <w:pPr>
        <w:spacing w:after="100" w:before="60"/>
      </w:pPr>
      <w:r>
        <w:rPr>
          <w:rFonts w:ascii="Arial" w:cs="Arial" w:eastAsia="Arial" w:hAnsi="Arial"/>
          <w:sz w:val="22"/>
          <w:szCs w:val="22"/>
        </w:rPr>
        <w:t xml:space="preserve">The member's role in pricing is narrow but critical: the member's enrollment on the service date determines which product they are on, which drives network and contract selection.</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member_id + service_date</w:t>
      </w:r>
    </w:p>
    <w:p>
      <w:pPr>
        <w:shd w:fill="EEF2F8" w:val="clear"/>
        <w:spacing w:after="0" w:before="0"/>
        <w:ind w:left="360"/>
      </w:pPr>
      <w:r>
        <w:rPr>
          <w:rFonts w:ascii="Courier New" w:cs="Courier New" w:eastAsia="Courier New" w:hAnsi="Courier New"/>
          <w:sz w:val="18"/>
          <w:szCs w:val="18"/>
        </w:rPr>
        <w:t xml:space="preserve">  → Enrollment (effective_date ≤ service_date ≤ termination_date)</w:t>
      </w:r>
    </w:p>
    <w:p>
      <w:pPr>
        <w:shd w:fill="EEF2F8" w:val="clear"/>
        <w:spacing w:after="0" w:before="0"/>
        <w:ind w:left="360"/>
      </w:pPr>
      <w:r>
        <w:rPr>
          <w:rFonts w:ascii="Courier New" w:cs="Courier New" w:eastAsia="Courier New" w:hAnsi="Courier New"/>
          <w:sz w:val="18"/>
          <w:szCs w:val="18"/>
        </w:rPr>
        <w:t xml:space="preserve">  → Product</w:t>
      </w:r>
    </w:p>
    <w:p>
      <w:pPr>
        <w:shd w:fill="EEF2F8" w:val="clear"/>
        <w:spacing w:after="0" w:before="0"/>
        <w:ind w:left="360"/>
      </w:pPr>
      <w:r>
        <w:rPr>
          <w:rFonts w:ascii="Courier New" w:cs="Courier New" w:eastAsia="Courier New" w:hAnsi="Courier New"/>
          <w:sz w:val="18"/>
          <w:szCs w:val="18"/>
        </w:rPr>
        <w:t xml:space="preserve">  → LOB (commercial / Medicare Advantage / Medicaid / exchange)</w:t>
      </w:r>
    </w:p>
    <w:p>
      <w:pPr>
        <w:shd w:fill="EEF2F8" w:val="clear"/>
        <w:spacing w:after="0" w:before="0"/>
        <w:ind w:left="360"/>
      </w:pPr>
      <w:r>
        <w:rPr>
          <w:rFonts w:ascii="Courier New" w:cs="Courier New" w:eastAsia="Courier New" w:hAnsi="Courier New"/>
          <w:sz w:val="18"/>
          <w:szCs w:val="18"/>
        </w:rPr>
        <w:t xml:space="preserve">  → ProductNetworkConfig → Network (by claim_type and geography)</w:t>
      </w:r>
    </w:p>
    <w:p>
      <w:pPr>
        <w:shd w:fill="EEF2F8" w:val="clear"/>
        <w:spacing w:after="0" w:before="0"/>
        <w:ind w:left="360"/>
      </w:pPr>
      <w:r>
        <w:rPr>
          <w:rFonts w:ascii="Courier New" w:cs="Courier New" w:eastAsia="Courier New" w:hAnsi="Courier New"/>
          <w:sz w:val="18"/>
          <w:szCs w:val="18"/>
        </w:rPr>
        <w:t xml:space="preserve">  → Contract resolution</w:t>
      </w:r>
    </w:p>
    <w:p>
      <w:pPr>
        <w:shd w:fill="EEF2F8" w:val="clear"/>
        <w:spacing w:after="120" w:before="0"/>
        <w:ind w:left="360"/>
      </w:pPr>
      <w:r>
        <w:rPr>
          <w:rFonts w:ascii="Courier New" w:cs="Courier New" w:eastAsia="Courier New" w:hAnsi="Courier New"/>
          <w:sz w:val="18"/>
          <w:szCs w:val="18"/>
        </w:rPr>
        <w:t xml:space="preserve"/>
      </w:r>
    </w:p>
    <w:p>
      <w:pPr>
        <w:spacing w:after="100" w:before="60"/>
      </w:pPr>
      <w:r>
        <w:rPr>
          <w:rFonts w:ascii="Arial" w:cs="Arial" w:eastAsia="Arial" w:hAnsi="Arial"/>
          <w:sz w:val="22"/>
          <w:szCs w:val="22"/>
        </w:rPr>
        <w:t xml:space="preserve">The member's geographic address may additionally affect GPCI locality selection for RBRVS pricing. Beyond this, the member is NOT a pricing actor. The pricing engine does not need to know the member's age, sex, diagnosis history, benefit accumulators, or authorization status.</w:t>
      </w:r>
    </w:p>
    <w:p>
      <w:pPr>
        <w:pStyle w:val="Heading2"/>
        <w:spacing w:after="120" w:before="280"/>
      </w:pPr>
      <w:r>
        <w:rPr>
          <w:rFonts w:ascii="Arial" w:cs="Arial" w:eastAsia="Arial" w:hAnsi="Arial"/>
          <w:b/>
          <w:bCs/>
          <w:sz w:val="26"/>
          <w:szCs w:val="26"/>
        </w:rPr>
        <w:t xml:space="preserve">8.2 How Product / Plan / LOB Should Influence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Axis</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Influences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LOB</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Determines contract family (commercial vs. MA vs. Medicaid)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Product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Determines which specific network applies, which conversion factors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Plan</w:t>
            </w:r>
          </w:p>
        </w:tc>
        <w:tc>
          <w:tcPr>
            <w:tcW w:type="dxa" w:w="7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(Optional now) May determine cost-share but not allowed amount</w:t>
            </w:r>
          </w:p>
        </w:tc>
      </w:tr>
    </w:tbl>
    <w:p>
      <w:pPr>
        <w:pStyle w:val="Heading2"/>
        <w:spacing w:after="120" w:before="280"/>
      </w:pPr>
      <w:r>
        <w:rPr>
          <w:rFonts w:ascii="Arial" w:cs="Arial" w:eastAsia="Arial" w:hAnsi="Arial"/>
          <w:b/>
          <w:bCs/>
          <w:sz w:val="26"/>
          <w:szCs w:val="26"/>
        </w:rPr>
        <w:t xml:space="preserve">8.3 How Network Configuration Should Influence Pricing</w:t>
      </w:r>
    </w:p>
    <w:p>
      <w:pPr>
        <w:spacing w:after="100" w:before="60"/>
      </w:pPr>
      <w:r>
        <w:rPr>
          <w:rFonts w:ascii="Arial" w:cs="Arial" w:eastAsia="Arial" w:hAnsi="Arial"/>
          <w:sz w:val="22"/>
          <w:szCs w:val="22"/>
        </w:rPr>
        <w:t xml:space="preserve">Networks connect the product side (payer) to the provider side. The ProductNetworkConfig records which network a product uses for each service type. Pricing uses networks in two ways:</w:t>
      </w:r>
    </w:p>
    <w:p>
      <w:pPr>
        <w:pStyle w:val="ListParagraph"/>
        <w:numPr>
          <w:ilvl w:val="0"/>
          <w:numId w:val="2"/>
        </w:numPr>
        <w:spacing w:after="60" w:before="40"/>
      </w:pPr>
      <w:r>
        <w:rPr>
          <w:rFonts w:ascii="Arial" w:cs="Arial" w:eastAsia="Arial" w:hAnsi="Arial"/>
          <w:sz w:val="22"/>
          <w:szCs w:val="22"/>
        </w:rPr>
        <w:t xml:space="preserve">In-network determination: Is the rendering provider/org in the network on the service date? → determines in-network vs. OON contract path</w:t>
      </w:r>
    </w:p>
    <w:p>
      <w:pPr>
        <w:pStyle w:val="ListParagraph"/>
        <w:numPr>
          <w:ilvl w:val="0"/>
          <w:numId w:val="2"/>
        </w:numPr>
        <w:spacing w:after="60" w:before="40"/>
      </w:pPr>
      <w:r>
        <w:rPr>
          <w:rFonts w:ascii="Arial" w:cs="Arial" w:eastAsia="Arial" w:hAnsi="Arial"/>
          <w:sz w:val="22"/>
          <w:szCs w:val="22"/>
        </w:rPr>
        <w:t xml:space="preserve">Contract scoping: Contracts are scoped to a network. Knowing the network narrows contract candidates from "all contracts this org has with this payer" to "contracts for this specific network."</w:t>
      </w:r>
    </w:p>
    <w:p>
      <w:pPr>
        <w:pStyle w:val="Heading2"/>
        <w:spacing w:after="120" w:before="280"/>
      </w:pPr>
      <w:r>
        <w:rPr>
          <w:rFonts w:ascii="Arial" w:cs="Arial" w:eastAsia="Arial" w:hAnsi="Arial"/>
          <w:b/>
          <w:bCs/>
          <w:sz w:val="26"/>
          <w:szCs w:val="26"/>
        </w:rPr>
        <w:t xml:space="preserve">8.4 Minimum Member/Product Model (Eligibility Out of Scope)</w:t>
      </w:r>
    </w:p>
    <w:p>
      <w:pPr>
        <w:shd w:fill="F4F4F4" w:val="clear"/>
        <w:spacing w:after="0" w:before="0"/>
        <w:ind w:left="360"/>
      </w:pPr>
      <w:r>
        <w:rPr>
          <w:rFonts w:ascii="Courier New" w:cs="Courier New" w:eastAsia="Courier New" w:hAnsi="Courier New"/>
          <w:sz w:val="18"/>
          <w:szCs w:val="18"/>
        </w:rPr>
        <w:t xml:space="preserve"># Minimum viable — 4 tables</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class LineOfBusiness(Model):</w:t>
      </w:r>
    </w:p>
    <w:p>
      <w:pPr>
        <w:shd w:fill="F4F4F4" w:val="clear"/>
        <w:spacing w:after="0" w:before="0"/>
        <w:ind w:left="360"/>
      </w:pPr>
      <w:r>
        <w:rPr>
          <w:rFonts w:ascii="Courier New" w:cs="Courier New" w:eastAsia="Courier New" w:hAnsi="Courier New"/>
          <w:sz w:val="18"/>
          <w:szCs w:val="18"/>
        </w:rPr>
        <w:t xml:space="preserve">    code = CharField()   # COMMERCIAL, MEDICARE_ADVANTAGE, MEDICAID, EXCHANGE</w:t>
      </w:r>
    </w:p>
    <w:p>
      <w:pPr>
        <w:shd w:fill="F4F4F4" w:val="clear"/>
        <w:spacing w:after="0" w:before="0"/>
        <w:ind w:left="360"/>
      </w:pPr>
      <w:r>
        <w:rPr>
          <w:rFonts w:ascii="Courier New" w:cs="Courier New" w:eastAsia="Courier New" w:hAnsi="Courier New"/>
          <w:sz w:val="18"/>
          <w:szCs w:val="18"/>
        </w:rPr>
        <w:t xml:space="preserve">    name = CharField()</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class Product(Model):</w:t>
      </w:r>
    </w:p>
    <w:p>
      <w:pPr>
        <w:shd w:fill="F4F4F4" w:val="clear"/>
        <w:spacing w:after="0" w:before="0"/>
        <w:ind w:left="360"/>
      </w:pPr>
      <w:r>
        <w:rPr>
          <w:rFonts w:ascii="Courier New" w:cs="Courier New" w:eastAsia="Courier New" w:hAnsi="Courier New"/>
          <w:sz w:val="18"/>
          <w:szCs w:val="18"/>
        </w:rPr>
        <w:t xml:space="preserve">    payer = FK(PayerOrganization)</w:t>
      </w:r>
    </w:p>
    <w:p>
      <w:pPr>
        <w:shd w:fill="F4F4F4" w:val="clear"/>
        <w:spacing w:after="0" w:before="0"/>
        <w:ind w:left="360"/>
      </w:pPr>
      <w:r>
        <w:rPr>
          <w:rFonts w:ascii="Courier New" w:cs="Courier New" w:eastAsia="Courier New" w:hAnsi="Courier New"/>
          <w:sz w:val="18"/>
          <w:szCs w:val="18"/>
        </w:rPr>
        <w:t xml:space="preserve">    lob = FK(LineOfBusiness)</w:t>
      </w:r>
    </w:p>
    <w:p>
      <w:pPr>
        <w:shd w:fill="F4F4F4" w:val="clear"/>
        <w:spacing w:after="0" w:before="0"/>
        <w:ind w:left="360"/>
      </w:pPr>
      <w:r>
        <w:rPr>
          <w:rFonts w:ascii="Courier New" w:cs="Courier New" w:eastAsia="Courier New" w:hAnsi="Courier New"/>
          <w:sz w:val="18"/>
          <w:szCs w:val="18"/>
        </w:rPr>
        <w:t xml:space="preserve">    name = CharField()</w:t>
      </w:r>
    </w:p>
    <w:p>
      <w:pPr>
        <w:shd w:fill="F4F4F4" w:val="clear"/>
        <w:spacing w:after="0" w:before="0"/>
        <w:ind w:left="360"/>
      </w:pPr>
      <w:r>
        <w:rPr>
          <w:rFonts w:ascii="Courier New" w:cs="Courier New" w:eastAsia="Courier New" w:hAnsi="Courier New"/>
          <w:sz w:val="18"/>
          <w:szCs w:val="18"/>
        </w:rPr>
        <w:t xml:space="preserve">    effective_date, termination_date = DateFields()</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class ProductNetworkConfig(Model):</w:t>
      </w:r>
    </w:p>
    <w:p>
      <w:pPr>
        <w:shd w:fill="F4F4F4" w:val="clear"/>
        <w:spacing w:after="0" w:before="0"/>
        <w:ind w:left="360"/>
      </w:pPr>
      <w:r>
        <w:rPr>
          <w:rFonts w:ascii="Courier New" w:cs="Courier New" w:eastAsia="Courier New" w:hAnsi="Courier New"/>
          <w:sz w:val="18"/>
          <w:szCs w:val="18"/>
        </w:rPr>
        <w:t xml:space="preserve">    product = FK(Product)</w:t>
      </w:r>
    </w:p>
    <w:p>
      <w:pPr>
        <w:shd w:fill="F4F4F4" w:val="clear"/>
        <w:spacing w:after="0" w:before="0"/>
        <w:ind w:left="360"/>
      </w:pPr>
      <w:r>
        <w:rPr>
          <w:rFonts w:ascii="Courier New" w:cs="Courier New" w:eastAsia="Courier New" w:hAnsi="Courier New"/>
          <w:sz w:val="18"/>
          <w:szCs w:val="18"/>
        </w:rPr>
        <w:t xml:space="preserve">    network = FK(Network)</w:t>
      </w:r>
    </w:p>
    <w:p>
      <w:pPr>
        <w:shd w:fill="F4F4F4" w:val="clear"/>
        <w:spacing w:after="0" w:before="0"/>
        <w:ind w:left="360"/>
      </w:pPr>
      <w:r>
        <w:rPr>
          <w:rFonts w:ascii="Courier New" w:cs="Courier New" w:eastAsia="Courier New" w:hAnsi="Courier New"/>
          <w:sz w:val="18"/>
          <w:szCs w:val="18"/>
        </w:rPr>
        <w:t xml:space="preserve">    claim_type = CharField()      # professional / institutional / both</w:t>
      </w:r>
    </w:p>
    <w:p>
      <w:pPr>
        <w:shd w:fill="F4F4F4" w:val="clear"/>
        <w:spacing w:after="0" w:before="0"/>
        <w:ind w:left="360"/>
      </w:pPr>
      <w:r>
        <w:rPr>
          <w:rFonts w:ascii="Courier New" w:cs="Courier New" w:eastAsia="Courier New" w:hAnsi="Courier New"/>
          <w:sz w:val="18"/>
          <w:szCs w:val="18"/>
        </w:rPr>
        <w:t xml:space="preserve">    effective_date, termination_date = DateFields()</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class Enrollment(Model):</w:t>
      </w:r>
    </w:p>
    <w:p>
      <w:pPr>
        <w:shd w:fill="F4F4F4" w:val="clear"/>
        <w:spacing w:after="0" w:before="0"/>
        <w:ind w:left="360"/>
      </w:pPr>
      <w:r>
        <w:rPr>
          <w:rFonts w:ascii="Courier New" w:cs="Courier New" w:eastAsia="Courier New" w:hAnsi="Courier New"/>
          <w:sz w:val="18"/>
          <w:szCs w:val="18"/>
        </w:rPr>
        <w:t xml:space="preserve">    member = FK(Member)</w:t>
      </w:r>
    </w:p>
    <w:p>
      <w:pPr>
        <w:shd w:fill="F4F4F4" w:val="clear"/>
        <w:spacing w:after="0" w:before="0"/>
        <w:ind w:left="360"/>
      </w:pPr>
      <w:r>
        <w:rPr>
          <w:rFonts w:ascii="Courier New" w:cs="Courier New" w:eastAsia="Courier New" w:hAnsi="Courier New"/>
          <w:sz w:val="18"/>
          <w:szCs w:val="18"/>
        </w:rPr>
        <w:t xml:space="preserve">    product = FK(Product)</w:t>
      </w:r>
    </w:p>
    <w:p>
      <w:pPr>
        <w:shd w:fill="F4F4F4" w:val="clear"/>
        <w:spacing w:after="0" w:before="0"/>
        <w:ind w:left="360"/>
      </w:pPr>
      <w:r>
        <w:rPr>
          <w:rFonts w:ascii="Courier New" w:cs="Courier New" w:eastAsia="Courier New" w:hAnsi="Courier New"/>
          <w:sz w:val="18"/>
          <w:szCs w:val="18"/>
        </w:rPr>
        <w:t xml:space="preserve">    effective_date = DateField()</w:t>
      </w:r>
    </w:p>
    <w:p>
      <w:pPr>
        <w:shd w:fill="F4F4F4" w:val="clear"/>
        <w:spacing w:after="0" w:before="0"/>
        <w:ind w:left="360"/>
      </w:pPr>
      <w:r>
        <w:rPr>
          <w:rFonts w:ascii="Courier New" w:cs="Courier New" w:eastAsia="Courier New" w:hAnsi="Courier New"/>
          <w:sz w:val="18"/>
          <w:szCs w:val="18"/>
        </w:rPr>
        <w:t xml:space="preserve">    termination_date = DateField(null=True)</w:t>
      </w:r>
    </w:p>
    <w:p>
      <w:pPr>
        <w:pStyle w:val="Heading2"/>
        <w:spacing w:after="120" w:before="280"/>
      </w:pPr>
      <w:r>
        <w:rPr>
          <w:rFonts w:ascii="Arial" w:cs="Arial" w:eastAsia="Arial" w:hAnsi="Arial"/>
          <w:b/>
          <w:bCs/>
          <w:sz w:val="26"/>
          <w:szCs w:val="26"/>
        </w:rPr>
        <w:t xml:space="preserve">8.5 Future Hooks for Eligibility and Benefits</w:t>
      </w:r>
    </w:p>
    <w:p>
      <w:pPr>
        <w:spacing w:after="100" w:before="60"/>
      </w:pPr>
      <w:r>
        <w:rPr>
          <w:rFonts w:ascii="Arial" w:cs="Arial" w:eastAsia="Arial" w:hAnsi="Arial"/>
          <w:sz w:val="22"/>
          <w:szCs w:val="22"/>
        </w:rPr>
        <w:t xml:space="preserve">Leave FK stubs without enforcing them — add to Enrollment model:</w:t>
      </w:r>
    </w:p>
    <w:p>
      <w:pPr>
        <w:shd w:fill="F4F4F4" w:val="clear"/>
        <w:spacing w:after="0" w:before="0"/>
        <w:ind w:left="360"/>
      </w:pPr>
      <w:r>
        <w:rPr>
          <w:rFonts w:ascii="Courier New" w:cs="Courier New" w:eastAsia="Courier New" w:hAnsi="Courier New"/>
          <w:sz w:val="18"/>
          <w:szCs w:val="18"/>
        </w:rPr>
        <w:t xml:space="preserve"># future: benefit_plan = FK(BenefitPlan, null=True)</w:t>
      </w:r>
    </w:p>
    <w:p>
      <w:pPr>
        <w:shd w:fill="F4F4F4" w:val="clear"/>
        <w:spacing w:after="0" w:before="0"/>
        <w:ind w:left="360"/>
      </w:pPr>
      <w:r>
        <w:rPr>
          <w:rFonts w:ascii="Courier New" w:cs="Courier New" w:eastAsia="Courier New" w:hAnsi="Courier New"/>
          <w:sz w:val="18"/>
          <w:szCs w:val="18"/>
        </w:rPr>
        <w:t xml:space="preserve"># future: eligibility_status = CharField(null=True)</w:t>
      </w:r>
    </w:p>
    <w:p>
      <w:pPr>
        <w:shd w:fill="F4F4F4" w:val="clear"/>
        <w:spacing w:after="0" w:before="0"/>
        <w:ind w:left="360"/>
      </w:pPr>
      <w:r>
        <w:rPr>
          <w:rFonts w:ascii="Courier New" w:cs="Courier New" w:eastAsia="Courier New" w:hAnsi="Courier New"/>
          <w:sz w:val="18"/>
          <w:szCs w:val="18"/>
        </w:rPr>
        <w:t xml:space="preserve"># future: cob_order = IntegerField(null=True)  # coordination of benefits</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Leave on Member and Enrollment:</w:t>
      </w:r>
    </w:p>
    <w:p>
      <w:pPr>
        <w:shd w:fill="F4F4F4" w:val="clear"/>
        <w:spacing w:after="0" w:before="0"/>
        <w:ind w:left="360"/>
      </w:pPr>
      <w:r>
        <w:rPr>
          <w:rFonts w:ascii="Courier New" w:cs="Courier New" w:eastAsia="Courier New" w:hAnsi="Courier New"/>
          <w:sz w:val="18"/>
          <w:szCs w:val="18"/>
        </w:rPr>
        <w:t xml:space="preserve">metadata = JSONField(default=dict)  # for future benefit accumulator snapshots</w:t>
      </w:r>
    </w:p>
    <w:p>
      <w:pPr>
        <w:pageBreakBefore/>
      </w:pPr>
    </w:p>
    <w:p>
      <w:pPr>
        <w:pStyle w:val="Heading1"/>
        <w:spacing w:after="160" w:before="400"/>
      </w:pPr>
      <w:r>
        <w:rPr>
          <w:rFonts w:ascii="Arial" w:cs="Arial" w:eastAsia="Arial" w:hAnsi="Arial"/>
          <w:b/>
          <w:bCs/>
          <w:sz w:val="32"/>
          <w:szCs w:val="32"/>
        </w:rPr>
        <w:t xml:space="preserve">9. Features and Use Cases</w:t>
      </w:r>
    </w:p>
    <w:p>
      <w:pPr>
        <w:pStyle w:val="Heading2"/>
        <w:spacing w:after="120" w:before="280"/>
      </w:pPr>
      <w:r>
        <w:rPr>
          <w:rFonts w:ascii="Arial" w:cs="Arial" w:eastAsia="Arial" w:hAnsi="Arial"/>
          <w:b/>
          <w:bCs/>
          <w:sz w:val="26"/>
          <w:szCs w:val="26"/>
        </w:rPr>
        <w:t xml:space="preserve">9.1 Use Cases by Persona</w:t>
      </w:r>
    </w:p>
    <w:p>
      <w:pPr>
        <w:pStyle w:val="Heading3"/>
        <w:spacing w:after="80" w:before="200"/>
      </w:pPr>
      <w:r>
        <w:rPr>
          <w:rFonts w:ascii="Arial" w:cs="Arial" w:eastAsia="Arial" w:hAnsi="Arial"/>
          <w:b/>
          <w:bCs/>
          <w:sz w:val="24"/>
          <w:szCs w:val="24"/>
        </w:rPr>
        <w:t xml:space="preserve">Analyst</w:t>
      </w:r>
    </w:p>
    <w:p>
      <w:pPr>
        <w:pStyle w:val="ListParagraph"/>
        <w:numPr>
          <w:ilvl w:val="0"/>
          <w:numId w:val="2"/>
        </w:numPr>
        <w:spacing w:after="60" w:before="40"/>
      </w:pPr>
      <w:r>
        <w:rPr>
          <w:rFonts w:ascii="Arial" w:cs="Arial" w:eastAsia="Arial" w:hAnsi="Arial"/>
          <w:sz w:val="22"/>
          <w:szCs w:val="22"/>
        </w:rPr>
        <w:t xml:space="preserve">Price a single claim line against a specific contract for testing</w:t>
      </w:r>
    </w:p>
    <w:p>
      <w:pPr>
        <w:pStyle w:val="ListParagraph"/>
        <w:numPr>
          <w:ilvl w:val="0"/>
          <w:numId w:val="2"/>
        </w:numPr>
        <w:spacing w:after="60" w:before="40"/>
      </w:pPr>
      <w:r>
        <w:rPr>
          <w:rFonts w:ascii="Arial" w:cs="Arial" w:eastAsia="Arial" w:hAnsi="Arial"/>
          <w:sz w:val="22"/>
          <w:szCs w:val="22"/>
        </w:rPr>
        <w:t xml:space="preserve">Compare what two different contracts would pay for the same procedure</w:t>
      </w:r>
    </w:p>
    <w:p>
      <w:pPr>
        <w:pStyle w:val="ListParagraph"/>
        <w:numPr>
          <w:ilvl w:val="0"/>
          <w:numId w:val="2"/>
        </w:numPr>
        <w:spacing w:after="60" w:before="40"/>
      </w:pPr>
      <w:r>
        <w:rPr>
          <w:rFonts w:ascii="Arial" w:cs="Arial" w:eastAsia="Arial" w:hAnsi="Arial"/>
          <w:sz w:val="22"/>
          <w:szCs w:val="22"/>
        </w:rPr>
        <w:t xml:space="preserve">Search reference data (RVU, DRG, APC) to understand methodology inputs</w:t>
      </w:r>
    </w:p>
    <w:p>
      <w:pPr>
        <w:pStyle w:val="ListParagraph"/>
        <w:numPr>
          <w:ilvl w:val="0"/>
          <w:numId w:val="2"/>
        </w:numPr>
        <w:spacing w:after="60" w:before="40"/>
      </w:pPr>
      <w:r>
        <w:rPr>
          <w:rFonts w:ascii="Arial" w:cs="Arial" w:eastAsia="Arial" w:hAnsi="Arial"/>
          <w:sz w:val="22"/>
          <w:szCs w:val="22"/>
        </w:rPr>
        <w:t xml:space="preserve">Export a contract's full rule tree to Excel for review</w:t>
      </w:r>
    </w:p>
    <w:p>
      <w:pPr>
        <w:pStyle w:val="ListParagraph"/>
        <w:numPr>
          <w:ilvl w:val="0"/>
          <w:numId w:val="2"/>
        </w:numPr>
        <w:spacing w:after="60" w:before="40"/>
      </w:pPr>
      <w:r>
        <w:rPr>
          <w:rFonts w:ascii="Arial" w:cs="Arial" w:eastAsia="Arial" w:hAnsi="Arial"/>
          <w:sz w:val="22"/>
          <w:szCs w:val="22"/>
        </w:rPr>
        <w:t xml:space="preserve">Run a batch of test claims against a draft contract version before activation</w:t>
      </w:r>
    </w:p>
    <w:p>
      <w:pPr>
        <w:pStyle w:val="Heading3"/>
        <w:spacing w:after="80" w:before="200"/>
      </w:pPr>
      <w:r>
        <w:rPr>
          <w:rFonts w:ascii="Arial" w:cs="Arial" w:eastAsia="Arial" w:hAnsi="Arial"/>
          <w:b/>
          <w:bCs/>
          <w:sz w:val="24"/>
          <w:szCs w:val="24"/>
        </w:rPr>
        <w:t xml:space="preserve">Provider Reimbursement Team</w:t>
      </w:r>
    </w:p>
    <w:p>
      <w:pPr>
        <w:pStyle w:val="ListParagraph"/>
        <w:numPr>
          <w:ilvl w:val="0"/>
          <w:numId w:val="2"/>
        </w:numPr>
        <w:spacing w:after="60" w:before="40"/>
      </w:pPr>
      <w:r>
        <w:rPr>
          <w:rFonts w:ascii="Arial" w:cs="Arial" w:eastAsia="Arial" w:hAnsi="Arial"/>
          <w:sz w:val="22"/>
          <w:szCs w:val="22"/>
        </w:rPr>
        <w:t xml:space="preserve">Look up what a payer will pay for a procedure under their current contract</w:t>
      </w:r>
    </w:p>
    <w:p>
      <w:pPr>
        <w:pStyle w:val="ListParagraph"/>
        <w:numPr>
          <w:ilvl w:val="0"/>
          <w:numId w:val="2"/>
        </w:numPr>
        <w:spacing w:after="60" w:before="40"/>
      </w:pPr>
      <w:r>
        <w:rPr>
          <w:rFonts w:ascii="Arial" w:cs="Arial" w:eastAsia="Arial" w:hAnsi="Arial"/>
          <w:sz w:val="22"/>
          <w:szCs w:val="22"/>
        </w:rPr>
        <w:t xml:space="preserve">Identify which pricing rule matched for a given claim and why</w:t>
      </w:r>
    </w:p>
    <w:p>
      <w:pPr>
        <w:pStyle w:val="ListParagraph"/>
        <w:numPr>
          <w:ilvl w:val="0"/>
          <w:numId w:val="2"/>
        </w:numPr>
        <w:spacing w:after="60" w:before="40"/>
      </w:pPr>
      <w:r>
        <w:rPr>
          <w:rFonts w:ascii="Arial" w:cs="Arial" w:eastAsia="Arial" w:hAnsi="Arial"/>
          <w:sz w:val="22"/>
          <w:szCs w:val="22"/>
        </w:rPr>
        <w:t xml:space="preserve">Verify that a contract update (new conversion factor, new fee schedule) produces expected allowed amounts</w:t>
      </w:r>
    </w:p>
    <w:p>
      <w:pPr>
        <w:pStyle w:val="ListParagraph"/>
        <w:numPr>
          <w:ilvl w:val="0"/>
          <w:numId w:val="2"/>
        </w:numPr>
        <w:spacing w:after="60" w:before="40"/>
      </w:pPr>
      <w:r>
        <w:rPr>
          <w:rFonts w:ascii="Arial" w:cs="Arial" w:eastAsia="Arial" w:hAnsi="Arial"/>
          <w:sz w:val="22"/>
          <w:szCs w:val="22"/>
        </w:rPr>
        <w:t xml:space="preserve">Flag procedure codes where the pricing engine produces no match (no rule, no fee schedule)</w:t>
      </w:r>
    </w:p>
    <w:p>
      <w:pPr>
        <w:pStyle w:val="ListParagraph"/>
        <w:numPr>
          <w:ilvl w:val="0"/>
          <w:numId w:val="2"/>
        </w:numPr>
        <w:spacing w:after="60" w:before="40"/>
      </w:pPr>
      <w:r>
        <w:rPr>
          <w:rFonts w:ascii="Arial" w:cs="Arial" w:eastAsia="Arial" w:hAnsi="Arial"/>
          <w:sz w:val="22"/>
          <w:szCs w:val="22"/>
        </w:rPr>
        <w:t xml:space="preserve">Reprice historical claims under a new proposed contract to estimate financial impact</w:t>
      </w:r>
    </w:p>
    <w:p>
      <w:pPr>
        <w:pStyle w:val="Heading3"/>
        <w:spacing w:after="80" w:before="200"/>
      </w:pPr>
      <w:r>
        <w:rPr>
          <w:rFonts w:ascii="Arial" w:cs="Arial" w:eastAsia="Arial" w:hAnsi="Arial"/>
          <w:b/>
          <w:bCs/>
          <w:sz w:val="24"/>
          <w:szCs w:val="24"/>
        </w:rPr>
        <w:t xml:space="preserve">Payer Pricing / Repricing Team</w:t>
      </w:r>
    </w:p>
    <w:p>
      <w:pPr>
        <w:pStyle w:val="ListParagraph"/>
        <w:numPr>
          <w:ilvl w:val="0"/>
          <w:numId w:val="2"/>
        </w:numPr>
        <w:spacing w:after="60" w:before="40"/>
      </w:pPr>
      <w:r>
        <w:rPr>
          <w:rFonts w:ascii="Arial" w:cs="Arial" w:eastAsia="Arial" w:hAnsi="Arial"/>
          <w:sz w:val="22"/>
          <w:szCs w:val="22"/>
        </w:rPr>
        <w:t xml:space="preserve">Submit a claim (with member ID and provider NPIs) and have the system automatically resolve which contract applies</w:t>
      </w:r>
    </w:p>
    <w:p>
      <w:pPr>
        <w:pStyle w:val="ListParagraph"/>
        <w:numPr>
          <w:ilvl w:val="0"/>
          <w:numId w:val="2"/>
        </w:numPr>
        <w:spacing w:after="60" w:before="40"/>
      </w:pPr>
      <w:r>
        <w:rPr>
          <w:rFonts w:ascii="Arial" w:cs="Arial" w:eastAsia="Arial" w:hAnsi="Arial"/>
          <w:sz w:val="22"/>
          <w:szCs w:val="22"/>
        </w:rPr>
        <w:t xml:space="preserve">Reprice a portfolio of claims against an updated fee schedule</w:t>
      </w:r>
    </w:p>
    <w:p>
      <w:pPr>
        <w:pStyle w:val="ListParagraph"/>
        <w:numPr>
          <w:ilvl w:val="0"/>
          <w:numId w:val="2"/>
        </w:numPr>
        <w:spacing w:after="60" w:before="40"/>
      </w:pPr>
      <w:r>
        <w:rPr>
          <w:rFonts w:ascii="Arial" w:cs="Arial" w:eastAsia="Arial" w:hAnsi="Arial"/>
          <w:sz w:val="22"/>
          <w:szCs w:val="22"/>
        </w:rPr>
        <w:t xml:space="preserve">Simulate what pricing would look like if a provider moved from in-network to out-of-network</w:t>
      </w:r>
    </w:p>
    <w:p>
      <w:pPr>
        <w:pStyle w:val="ListParagraph"/>
        <w:numPr>
          <w:ilvl w:val="0"/>
          <w:numId w:val="2"/>
        </w:numPr>
        <w:spacing w:after="60" w:before="40"/>
      </w:pPr>
      <w:r>
        <w:rPr>
          <w:rFonts w:ascii="Arial" w:cs="Arial" w:eastAsia="Arial" w:hAnsi="Arial"/>
          <w:sz w:val="22"/>
          <w:szCs w:val="22"/>
        </w:rPr>
        <w:t xml:space="preserve">Compare pricing outcomes across multiple contract versions (draft vs. active vs. superseded)</w:t>
      </w:r>
    </w:p>
    <w:p>
      <w:pPr>
        <w:pStyle w:val="ListParagraph"/>
        <w:numPr>
          <w:ilvl w:val="0"/>
          <w:numId w:val="2"/>
        </w:numPr>
        <w:spacing w:after="60" w:before="40"/>
      </w:pPr>
      <w:r>
        <w:rPr>
          <w:rFonts w:ascii="Arial" w:cs="Arial" w:eastAsia="Arial" w:hAnsi="Arial"/>
          <w:sz w:val="22"/>
          <w:szCs w:val="22"/>
        </w:rPr>
        <w:t xml:space="preserve">Apply outlier or stop-loss provisions to high-cost claims and see the impact</w:t>
      </w:r>
    </w:p>
    <w:p>
      <w:pPr>
        <w:pStyle w:val="Heading3"/>
        <w:spacing w:after="80" w:before="200"/>
      </w:pPr>
      <w:r>
        <w:rPr>
          <w:rFonts w:ascii="Arial" w:cs="Arial" w:eastAsia="Arial" w:hAnsi="Arial"/>
          <w:b/>
          <w:bCs/>
          <w:sz w:val="24"/>
          <w:szCs w:val="24"/>
        </w:rPr>
        <w:t xml:space="preserve">Contracting Team</w:t>
      </w:r>
    </w:p>
    <w:p>
      <w:pPr>
        <w:pStyle w:val="ListParagraph"/>
        <w:numPr>
          <w:ilvl w:val="0"/>
          <w:numId w:val="2"/>
        </w:numPr>
        <w:spacing w:after="60" w:before="40"/>
      </w:pPr>
      <w:r>
        <w:rPr>
          <w:rFonts w:ascii="Arial" w:cs="Arial" w:eastAsia="Arial" w:hAnsi="Arial"/>
          <w:sz w:val="22"/>
          <w:szCs w:val="22"/>
        </w:rPr>
        <w:t xml:space="preserve">Create and manage contract versions with full lifecycle (DRAFT → ACTIVE → SUPERSEDED)</w:t>
      </w:r>
    </w:p>
    <w:p>
      <w:pPr>
        <w:pStyle w:val="ListParagraph"/>
        <w:numPr>
          <w:ilvl w:val="0"/>
          <w:numId w:val="2"/>
        </w:numPr>
        <w:spacing w:after="60" w:before="40"/>
      </w:pPr>
      <w:r>
        <w:rPr>
          <w:rFonts w:ascii="Arial" w:cs="Arial" w:eastAsia="Arial" w:hAnsi="Arial"/>
          <w:sz w:val="22"/>
          <w:szCs w:val="22"/>
        </w:rPr>
        <w:t xml:space="preserve">Define pricing rules with conditions (specialty, procedure range, revenue code, claim type)</w:t>
      </w:r>
    </w:p>
    <w:p>
      <w:pPr>
        <w:pStyle w:val="ListParagraph"/>
        <w:numPr>
          <w:ilvl w:val="0"/>
          <w:numId w:val="2"/>
        </w:numPr>
        <w:spacing w:after="60" w:before="40"/>
      </w:pPr>
      <w:r>
        <w:rPr>
          <w:rFonts w:ascii="Arial" w:cs="Arial" w:eastAsia="Arial" w:hAnsi="Arial"/>
          <w:sz w:val="22"/>
          <w:szCs w:val="22"/>
        </w:rPr>
        <w:t xml:space="preserve">Set carve-outs, outlier thresholds, stop-loss, MPPR, blending rules</w:t>
      </w:r>
    </w:p>
    <w:p>
      <w:pPr>
        <w:pStyle w:val="ListParagraph"/>
        <w:numPr>
          <w:ilvl w:val="0"/>
          <w:numId w:val="2"/>
        </w:numPr>
        <w:spacing w:after="60" w:before="40"/>
      </w:pPr>
      <w:r>
        <w:rPr>
          <w:rFonts w:ascii="Arial" w:cs="Arial" w:eastAsia="Arial" w:hAnsi="Arial"/>
          <w:sz w:val="22"/>
          <w:szCs w:val="22"/>
        </w:rPr>
        <w:t xml:space="preserve">Run conflict detection before activating new rules</w:t>
      </w:r>
    </w:p>
    <w:p>
      <w:pPr>
        <w:pStyle w:val="ListParagraph"/>
        <w:numPr>
          <w:ilvl w:val="0"/>
          <w:numId w:val="2"/>
        </w:numPr>
        <w:spacing w:after="60" w:before="40"/>
      </w:pPr>
      <w:r>
        <w:rPr>
          <w:rFonts w:ascii="Arial" w:cs="Arial" w:eastAsia="Arial" w:hAnsi="Arial"/>
          <w:sz w:val="22"/>
          <w:szCs w:val="22"/>
        </w:rPr>
        <w:t xml:space="preserve">Validate a contract before activation and see warnings (duplicate rules, missing fee schedules)</w:t>
      </w:r>
    </w:p>
    <w:p>
      <w:pPr>
        <w:pStyle w:val="Heading3"/>
        <w:spacing w:after="80" w:before="200"/>
      </w:pPr>
      <w:r>
        <w:rPr>
          <w:rFonts w:ascii="Arial" w:cs="Arial" w:eastAsia="Arial" w:hAnsi="Arial"/>
          <w:b/>
          <w:bCs/>
          <w:sz w:val="24"/>
          <w:szCs w:val="24"/>
        </w:rPr>
        <w:t xml:space="preserve">Operations / Governance</w:t>
      </w:r>
    </w:p>
    <w:p>
      <w:pPr>
        <w:pStyle w:val="ListParagraph"/>
        <w:numPr>
          <w:ilvl w:val="0"/>
          <w:numId w:val="2"/>
        </w:numPr>
        <w:spacing w:after="60" w:before="40"/>
      </w:pPr>
      <w:r>
        <w:rPr>
          <w:rFonts w:ascii="Arial" w:cs="Arial" w:eastAsia="Arial" w:hAnsi="Arial"/>
          <w:sz w:val="22"/>
          <w:szCs w:val="22"/>
        </w:rPr>
        <w:t xml:space="preserve">View the full audit trail for a contract version lifecycle</w:t>
      </w:r>
    </w:p>
    <w:p>
      <w:pPr>
        <w:pStyle w:val="ListParagraph"/>
        <w:numPr>
          <w:ilvl w:val="0"/>
          <w:numId w:val="2"/>
        </w:numPr>
        <w:spacing w:after="60" w:before="40"/>
      </w:pPr>
      <w:r>
        <w:rPr>
          <w:rFonts w:ascii="Arial" w:cs="Arial" w:eastAsia="Arial" w:hAnsi="Arial"/>
          <w:sz w:val="22"/>
          <w:szCs w:val="22"/>
        </w:rPr>
        <w:t xml:space="preserve">See which version was active when a historical claim was priced</w:t>
      </w:r>
    </w:p>
    <w:p>
      <w:pPr>
        <w:pStyle w:val="ListParagraph"/>
        <w:numPr>
          <w:ilvl w:val="0"/>
          <w:numId w:val="2"/>
        </w:numPr>
        <w:spacing w:after="60" w:before="40"/>
      </w:pPr>
      <w:r>
        <w:rPr>
          <w:rFonts w:ascii="Arial" w:cs="Arial" w:eastAsia="Arial" w:hAnsi="Arial"/>
          <w:sz w:val="22"/>
          <w:szCs w:val="22"/>
        </w:rPr>
        <w:t xml:space="preserve">Resolve flagged validation conflicts</w:t>
      </w:r>
    </w:p>
    <w:p>
      <w:pPr>
        <w:pStyle w:val="ListParagraph"/>
        <w:numPr>
          <w:ilvl w:val="0"/>
          <w:numId w:val="2"/>
        </w:numPr>
        <w:spacing w:after="60" w:before="40"/>
      </w:pPr>
      <w:r>
        <w:rPr>
          <w:rFonts w:ascii="Arial" w:cs="Arial" w:eastAsia="Arial" w:hAnsi="Arial"/>
          <w:sz w:val="22"/>
          <w:szCs w:val="22"/>
        </w:rPr>
        <w:t xml:space="preserve">Monitor pricing run performance (execution time, cache hit rates)</w:t>
      </w:r>
    </w:p>
    <w:p>
      <w:pPr>
        <w:pStyle w:val="ListParagraph"/>
        <w:numPr>
          <w:ilvl w:val="0"/>
          <w:numId w:val="2"/>
        </w:numPr>
        <w:spacing w:after="60" w:before="40"/>
      </w:pPr>
      <w:r>
        <w:rPr>
          <w:rFonts w:ascii="Arial" w:cs="Arial" w:eastAsia="Arial" w:hAnsi="Arial"/>
          <w:sz w:val="22"/>
          <w:szCs w:val="22"/>
        </w:rPr>
        <w:t xml:space="preserve">Manage reference data (upload new CMS MPFS, DRG weight tables, APC files)</w:t>
      </w:r>
    </w:p>
    <w:p>
      <w:pPr>
        <w:pStyle w:val="Heading2"/>
        <w:spacing w:after="120" w:before="280"/>
      </w:pPr>
      <w:r>
        <w:rPr>
          <w:rFonts w:ascii="Arial" w:cs="Arial" w:eastAsia="Arial" w:hAnsi="Arial"/>
          <w:b/>
          <w:bCs/>
          <w:sz w:val="26"/>
          <w:szCs w:val="26"/>
        </w:rPr>
        <w:t xml:space="preserve">9.2 Feature List — Essential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Single-line pricing with contract_id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/api/price-line/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Multi-line claim pricing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/api/price-claim/</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RBRVS, DRG, Flat, PCT, APC, Drug strategies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All in strategies/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 versioning lifecycle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DRAFT/ACTIVE/SUPERSEDED/ARCHIVED</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Rule conflict detection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rule_conflict.py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Draft rule simulation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/api/simulate-line/</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Carve-outs, stop-loss, outlier, MPPR, blending, cap/floor</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Orchestrator pipeline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Audit trail (RuleHistory, ContractVersionAudit)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Signals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Reference data (RVU, DRG, APC, ASP)</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Done</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Loaders + models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organization + network participation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Thin model — Phase 1</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 + Enrollment model</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Needed</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4 tables — Phase 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Product / LOB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4 tables — Phase 2</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Pricing Context Resolver</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Needed</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Key new service — Phase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Enriched ClaimHeader (billing/rendering/member FKs)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Nullable FK extensions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Automated contract resolution from claim context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Needed</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Replaces manual contract_id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/api/reprice-claim/ endpoint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Uses context resolver — Phase 3</w:t>
            </w:r>
          </w:p>
        </w:tc>
      </w:tr>
    </w:tbl>
    <w:p>
      <w:pPr>
        <w:pStyle w:val="Heading2"/>
        <w:spacing w:after="120" w:before="280"/>
      </w:pPr>
      <w:r>
        <w:rPr>
          <w:rFonts w:ascii="Arial" w:cs="Arial" w:eastAsia="Arial" w:hAnsi="Arial"/>
          <w:b/>
          <w:bCs/>
          <w:sz w:val="26"/>
          <w:szCs w:val="26"/>
        </w:rPr>
        <w:t xml:space="preserve">9.3 Feature List — Next-Phase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Facility domain model</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Enables APC/institutional pricing with correct POS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affiliation (dated rendering→billing link)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 inheritance validation</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Batch repricing with context resolution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Portfolio-level repricing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OON pricing path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Separate contract or UCR/R&amp;C logic</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ContractProductScope (LOB/product scoping)</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Enables multi-product contract management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Tiered network pricing (enable TierMultiplier)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Already in engine; need real network context</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Scenario persistence and comparison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Save + compare repricing runs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 impact simulation (before/after activation)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Volume-weighted financial impact</w:t>
            </w:r>
          </w:p>
        </w:tc>
      </w:tr>
      <w:tr>
        <w:tc>
          <w:tcPr>
            <w:tcW w:type="dxa" w:w="3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Reference data versioning (annual CMS updates)</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4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Year-scoped RVU/DRG tables already model this</w:t>
            </w:r>
          </w:p>
        </w:tc>
      </w:tr>
    </w:tbl>
    <w:p>
      <w:pPr>
        <w:pStyle w:val="Heading2"/>
        <w:spacing w:after="120" w:before="280"/>
      </w:pPr>
      <w:r>
        <w:rPr>
          <w:rFonts w:ascii="Arial" w:cs="Arial" w:eastAsia="Arial" w:hAnsi="Arial"/>
          <w:b/>
          <w:bCs/>
          <w:sz w:val="26"/>
          <w:szCs w:val="26"/>
        </w:rPr>
        <w:t xml:space="preserve">9.4 Feature List — Future Optional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837 EDI claim ingestion</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Parse real EDI claims into ClaimHeader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Eligibility verification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Real-time benefit eligibility check</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Benefits accumulator (deductible / OOP tracking)</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Full adjudication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Multi-tenant (payer isolation)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Django tenant schema or row-level scoping</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 credentialing system</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Full CAQH-equivalent — separate app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DRG grouper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Real ICD-10 → DRG assignment (CMS grouper or Open Grouper)</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Analytics / BI layer</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dbt + data warehouse over pricing_audit 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portal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Web UI for providers to look up expected reimbursement</w:t>
            </w:r>
          </w:p>
        </w:tc>
      </w:tr>
    </w:tbl>
    <w:p>
      <w:pPr>
        <w:pageBreakBefore/>
      </w:pPr>
    </w:p>
    <w:p>
      <w:pPr>
        <w:pStyle w:val="Heading1"/>
        <w:spacing w:after="160" w:before="400"/>
      </w:pPr>
      <w:r>
        <w:rPr>
          <w:rFonts w:ascii="Arial" w:cs="Arial" w:eastAsia="Arial" w:hAnsi="Arial"/>
          <w:b/>
          <w:bCs/>
          <w:sz w:val="32"/>
          <w:szCs w:val="32"/>
        </w:rPr>
        <w:t xml:space="preserve">10. System Flow Diagrams</w:t>
      </w:r>
    </w:p>
    <w:p>
      <w:pPr>
        <w:pStyle w:val="Heading2"/>
        <w:spacing w:after="120" w:before="280"/>
      </w:pPr>
      <w:r>
        <w:rPr>
          <w:rFonts w:ascii="Arial" w:cs="Arial" w:eastAsia="Arial" w:hAnsi="Arial"/>
          <w:b/>
          <w:bCs/>
          <w:sz w:val="26"/>
          <w:szCs w:val="26"/>
        </w:rPr>
        <w:t xml:space="preserve">10.1 Domain Relationship Overview</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PayerOrganization ──→ Product/LOB ──────────────→ Network</w:t>
      </w:r>
    </w:p>
    <w:p>
      <w:pPr>
        <w:shd w:fill="EEF2F8" w:val="clear"/>
        <w:spacing w:after="0" w:before="0"/>
        <w:ind w:left="360"/>
      </w:pPr>
      <w:r>
        <w:rPr>
          <w:rFonts w:ascii="Courier New" w:cs="Courier New" w:eastAsia="Courier New" w:hAnsi="Courier New"/>
          <w:sz w:val="18"/>
          <w:szCs w:val="18"/>
        </w:rPr>
        <w:t xml:space="preserve">     │                    │                          │</w:t>
      </w:r>
    </w:p>
    <w:p>
      <w:pPr>
        <w:shd w:fill="EEF2F8" w:val="clear"/>
        <w:spacing w:after="0" w:before="0"/>
        <w:ind w:left="360"/>
      </w:pPr>
      <w:r>
        <w:rPr>
          <w:rFonts w:ascii="Courier New" w:cs="Courier New" w:eastAsia="Courier New" w:hAnsi="Courier New"/>
          <w:sz w:val="18"/>
          <w:szCs w:val="18"/>
        </w:rPr>
        <w:t xml:space="preserve">     │                    ↓                          ↓</w:t>
      </w:r>
    </w:p>
    <w:p>
      <w:pPr>
        <w:shd w:fill="EEF2F8" w:val="clear"/>
        <w:spacing w:after="0" w:before="0"/>
        <w:ind w:left="360"/>
      </w:pPr>
      <w:r>
        <w:rPr>
          <w:rFonts w:ascii="Courier New" w:cs="Courier New" w:eastAsia="Courier New" w:hAnsi="Courier New"/>
          <w:sz w:val="18"/>
          <w:szCs w:val="18"/>
        </w:rPr>
        <w:t xml:space="preserve">     │               Enrollment ←── Member    ProductNetworkConfig</w:t>
      </w:r>
    </w:p>
    <w:p>
      <w:pPr>
        <w:shd w:fill="EEF2F8" w:val="clear"/>
        <w:spacing w:after="0" w:before="0"/>
        <w:ind w:left="360"/>
      </w:pPr>
      <w:r>
        <w:rPr>
          <w:rFonts w:ascii="Courier New" w:cs="Courier New" w:eastAsia="Courier New" w:hAnsi="Courier New"/>
          <w:sz w:val="18"/>
          <w:szCs w:val="18"/>
        </w:rPr>
        <w:t xml:space="preserve">     │                    │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(product+network on date)</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ProviderOrganization ──→ ProviderNetworkParticipation</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Provider (Individual)    IN_NETWORK / OON status</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ProviderAffiliation ──→ ProviderOrganization</w:t>
      </w:r>
    </w:p>
    <w:p>
      <w:pPr>
        <w:shd w:fill="EEF2F8" w:val="clear"/>
        <w:spacing w:after="0" w:before="0"/>
        <w:ind w:left="360"/>
      </w:pPr>
      <w:r>
        <w:rPr>
          <w:rFonts w:ascii="Courier New" w:cs="Courier New" w:eastAsia="Courier New" w:hAnsi="Courier New"/>
          <w:sz w:val="18"/>
          <w:szCs w:val="18"/>
        </w:rPr>
        <w:t xml:space="preserve">                (dated)</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ProviderContract</w:t>
      </w:r>
    </w:p>
    <w:p>
      <w:pPr>
        <w:shd w:fill="EEF2F8" w:val="clear"/>
        <w:spacing w:after="0" w:before="0"/>
        <w:ind w:left="360"/>
      </w:pPr>
      <w:r>
        <w:rPr>
          <w:rFonts w:ascii="Courier New" w:cs="Courier New" w:eastAsia="Courier New" w:hAnsi="Courier New"/>
          <w:sz w:val="18"/>
          <w:szCs w:val="18"/>
        </w:rPr>
        <w:t xml:space="preserve">                               + ContractProductScope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ContractVersion</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PricingRule → StrictRuleResolver</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Pricing Strategy → LineResult</w:t>
      </w:r>
    </w:p>
    <w:p>
      <w:pPr>
        <w:shd w:fill="EEF2F8" w:val="clear"/>
        <w:spacing w:after="120" w:before="0"/>
        <w:ind w:left="360"/>
      </w:pPr>
      <w:r>
        <w:rPr>
          <w:rFonts w:ascii="Courier New" w:cs="Courier New" w:eastAsia="Courier New" w:hAnsi="Courier New"/>
          <w:sz w:val="18"/>
          <w:szCs w:val="18"/>
        </w:rPr>
        <w:t xml:space="preserve"/>
      </w:r>
    </w:p>
    <w:p>
      <w:pPr>
        <w:pStyle w:val="Heading2"/>
        <w:spacing w:after="120" w:before="280"/>
      </w:pPr>
      <w:r>
        <w:rPr>
          <w:rFonts w:ascii="Arial" w:cs="Arial" w:eastAsia="Arial" w:hAnsi="Arial"/>
          <w:b/>
          <w:bCs/>
          <w:sz w:val="26"/>
          <w:szCs w:val="26"/>
        </w:rPr>
        <w:t xml:space="preserve">10.2 Claim Intake to Pricing Flow</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Incoming Claim (billing_npi, rendering_npi, member_id, lines)</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PRICING CONTEXT RESOLVER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1. billing_npi → ProviderOrganization      │</w:t>
      </w:r>
    </w:p>
    <w:p>
      <w:pPr>
        <w:shd w:fill="EEF2F8" w:val="clear"/>
        <w:spacing w:after="0" w:before="0"/>
        <w:ind w:left="360"/>
      </w:pPr>
      <w:r>
        <w:rPr>
          <w:rFonts w:ascii="Courier New" w:cs="Courier New" w:eastAsia="Courier New" w:hAnsi="Courier New"/>
          <w:sz w:val="18"/>
          <w:szCs w:val="18"/>
        </w:rPr>
        <w:t xml:space="preserve">  │  2. rendering_npi → Provider + specialty    │</w:t>
      </w:r>
    </w:p>
    <w:p>
      <w:pPr>
        <w:shd w:fill="EEF2F8" w:val="clear"/>
        <w:spacing w:after="0" w:before="0"/>
        <w:ind w:left="360"/>
      </w:pPr>
      <w:r>
        <w:rPr>
          <w:rFonts w:ascii="Courier New" w:cs="Courier New" w:eastAsia="Courier New" w:hAnsi="Courier New"/>
          <w:sz w:val="18"/>
          <w:szCs w:val="18"/>
        </w:rPr>
        <w:t xml:space="preserve">  │  3. member_id + date → Enrollment → Product │</w:t>
      </w:r>
    </w:p>
    <w:p>
      <w:pPr>
        <w:shd w:fill="EEF2F8" w:val="clear"/>
        <w:spacing w:after="0" w:before="0"/>
        <w:ind w:left="360"/>
      </w:pPr>
      <w:r>
        <w:rPr>
          <w:rFonts w:ascii="Courier New" w:cs="Courier New" w:eastAsia="Courier New" w:hAnsi="Courier New"/>
          <w:sz w:val="18"/>
          <w:szCs w:val="18"/>
        </w:rPr>
        <w:t xml:space="preserve">  │  4. product + claim_type → Network          │</w:t>
      </w:r>
    </w:p>
    <w:p>
      <w:pPr>
        <w:shd w:fill="EEF2F8" w:val="clear"/>
        <w:spacing w:after="0" w:before="0"/>
        <w:ind w:left="360"/>
      </w:pPr>
      <w:r>
        <w:rPr>
          <w:rFonts w:ascii="Courier New" w:cs="Courier New" w:eastAsia="Courier New" w:hAnsi="Courier New"/>
          <w:sz w:val="18"/>
          <w:szCs w:val="18"/>
        </w:rPr>
        <w:t xml:space="preserve">  │  5. org + network → participation (in/oon)  │</w:t>
      </w:r>
    </w:p>
    <w:p>
      <w:pPr>
        <w:shd w:fill="EEF2F8" w:val="clear"/>
        <w:spacing w:after="0" w:before="0"/>
        <w:ind w:left="360"/>
      </w:pPr>
      <w:r>
        <w:rPr>
          <w:rFonts w:ascii="Courier New" w:cs="Courier New" w:eastAsia="Courier New" w:hAnsi="Courier New"/>
          <w:sz w:val="18"/>
          <w:szCs w:val="18"/>
        </w:rPr>
        <w:t xml:space="preserve">  │  6. org + network + lob + date → contract   │</w:t>
      </w:r>
    </w:p>
    <w:p>
      <w:pPr>
        <w:shd w:fill="EEF2F8" w:val="clear"/>
        <w:spacing w:after="0" w:before="0"/>
        <w:ind w:left="360"/>
      </w:pPr>
      <w:r>
        <w:rPr>
          <w:rFonts w:ascii="Courier New" w:cs="Courier New" w:eastAsia="Courier New" w:hAnsi="Courier New"/>
          <w:sz w:val="18"/>
          <w:szCs w:val="18"/>
        </w:rPr>
        <w:t xml:space="preserve">  │  7. Assemble ClaimPricingContext DTO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ClaimPricingContext</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PRICING ENGINE (existing)            │</w:t>
      </w:r>
    </w:p>
    <w:p>
      <w:pPr>
        <w:shd w:fill="EEF2F8" w:val="clear"/>
        <w:spacing w:after="0" w:before="0"/>
        <w:ind w:left="360"/>
      </w:pPr>
      <w:r>
        <w:rPr>
          <w:rFonts w:ascii="Courier New" w:cs="Courier New" w:eastAsia="Courier New" w:hAnsi="Courier New"/>
          <w:sz w:val="18"/>
          <w:szCs w:val="18"/>
        </w:rPr>
        <w:t xml:space="preserve">  │                                              │</w:t>
      </w:r>
    </w:p>
    <w:p>
      <w:pPr>
        <w:shd w:fill="EEF2F8" w:val="clear"/>
        <w:spacing w:after="0" w:before="0"/>
        <w:ind w:left="360"/>
      </w:pPr>
      <w:r>
        <w:rPr>
          <w:rFonts w:ascii="Courier New" w:cs="Courier New" w:eastAsia="Courier New" w:hAnsi="Courier New"/>
          <w:sz w:val="18"/>
          <w:szCs w:val="18"/>
        </w:rPr>
        <w:t xml:space="preserve">  │  ClaimOrchestrator (12 steps):               │</w:t>
      </w:r>
    </w:p>
    <w:p>
      <w:pPr>
        <w:shd w:fill="EEF2F8" w:val="clear"/>
        <w:spacing w:after="0" w:before="0"/>
        <w:ind w:left="360"/>
      </w:pPr>
      <w:r>
        <w:rPr>
          <w:rFonts w:ascii="Courier New" w:cs="Courier New" w:eastAsia="Courier New" w:hAnsi="Courier New"/>
          <w:sz w:val="18"/>
          <w:szCs w:val="18"/>
        </w:rPr>
        <w:t xml:space="preserve">  │   1. Load ContractPricingConfig (1x)        │</w:t>
      </w:r>
    </w:p>
    <w:p>
      <w:pPr>
        <w:shd w:fill="EEF2F8" w:val="clear"/>
        <w:spacing w:after="0" w:before="0"/>
        <w:ind w:left="360"/>
      </w:pPr>
      <w:r>
        <w:rPr>
          <w:rFonts w:ascii="Courier New" w:cs="Courier New" w:eastAsia="Courier New" w:hAnsi="Courier New"/>
          <w:sz w:val="18"/>
          <w:szCs w:val="18"/>
        </w:rPr>
        <w:t xml:space="preserve">  │   2. StrictRuleResolver → best rule / line  │</w:t>
      </w:r>
    </w:p>
    <w:p>
      <w:pPr>
        <w:shd w:fill="EEF2F8" w:val="clear"/>
        <w:spacing w:after="0" w:before="0"/>
        <w:ind w:left="360"/>
      </w:pPr>
      <w:r>
        <w:rPr>
          <w:rFonts w:ascii="Courier New" w:cs="Courier New" w:eastAsia="Courier New" w:hAnsi="Courier New"/>
          <w:sz w:val="18"/>
          <w:szCs w:val="18"/>
        </w:rPr>
        <w:t xml:space="preserve">  │   3. PricingDataLoader → RVU/GPCI/fees      │</w:t>
      </w:r>
    </w:p>
    <w:p>
      <w:pPr>
        <w:shd w:fill="EEF2F8" w:val="clear"/>
        <w:spacing w:after="0" w:before="0"/>
        <w:ind w:left="360"/>
      </w:pPr>
      <w:r>
        <w:rPr>
          <w:rFonts w:ascii="Courier New" w:cs="Courier New" w:eastAsia="Courier New" w:hAnsi="Courier New"/>
          <w:sz w:val="18"/>
          <w:szCs w:val="18"/>
        </w:rPr>
        <w:t xml:space="preserve">  │   4. Strategy → base allowed_amount         │</w:t>
      </w:r>
    </w:p>
    <w:p>
      <w:pPr>
        <w:shd w:fill="EEF2F8" w:val="clear"/>
        <w:spacing w:after="0" w:before="0"/>
        <w:ind w:left="360"/>
      </w:pPr>
      <w:r>
        <w:rPr>
          <w:rFonts w:ascii="Courier New" w:cs="Courier New" w:eastAsia="Courier New" w:hAnsi="Courier New"/>
          <w:sz w:val="18"/>
          <w:szCs w:val="18"/>
        </w:rPr>
        <w:t xml:space="preserve">  │   5. Carve-outs, modifiers                  │</w:t>
      </w:r>
    </w:p>
    <w:p>
      <w:pPr>
        <w:shd w:fill="EEF2F8" w:val="clear"/>
        <w:spacing w:after="0" w:before="0"/>
        <w:ind w:left="360"/>
      </w:pPr>
      <w:r>
        <w:rPr>
          <w:rFonts w:ascii="Courier New" w:cs="Courier New" w:eastAsia="Courier New" w:hAnsi="Courier New"/>
          <w:sz w:val="18"/>
          <w:szCs w:val="18"/>
        </w:rPr>
        <w:t xml:space="preserve">  │   6. Line cap/floor                         │</w:t>
      </w:r>
    </w:p>
    <w:p>
      <w:pPr>
        <w:shd w:fill="EEF2F8" w:val="clear"/>
        <w:spacing w:after="0" w:before="0"/>
        <w:ind w:left="360"/>
      </w:pPr>
      <w:r>
        <w:rPr>
          <w:rFonts w:ascii="Courier New" w:cs="Courier New" w:eastAsia="Courier New" w:hAnsi="Courier New"/>
          <w:sz w:val="18"/>
          <w:szCs w:val="18"/>
        </w:rPr>
        <w:t xml:space="preserve">  │   7. DRG claim plugin (if enabled)          │</w:t>
      </w:r>
    </w:p>
    <w:p>
      <w:pPr>
        <w:shd w:fill="EEF2F8" w:val="clear"/>
        <w:spacing w:after="0" w:before="0"/>
        <w:ind w:left="360"/>
      </w:pPr>
      <w:r>
        <w:rPr>
          <w:rFonts w:ascii="Courier New" w:cs="Courier New" w:eastAsia="Courier New" w:hAnsi="Courier New"/>
          <w:sz w:val="18"/>
          <w:szCs w:val="18"/>
        </w:rPr>
        <w:t xml:space="preserve">  │   8. MPPR cross-line reduction              │</w:t>
      </w:r>
    </w:p>
    <w:p>
      <w:pPr>
        <w:shd w:fill="EEF2F8" w:val="clear"/>
        <w:spacing w:after="0" w:before="0"/>
        <w:ind w:left="360"/>
      </w:pPr>
      <w:r>
        <w:rPr>
          <w:rFonts w:ascii="Courier New" w:cs="Courier New" w:eastAsia="Courier New" w:hAnsi="Courier New"/>
          <w:sz w:val="18"/>
          <w:szCs w:val="18"/>
        </w:rPr>
        <w:t xml:space="preserve">  │   9. Blending                               │</w:t>
      </w:r>
    </w:p>
    <w:p>
      <w:pPr>
        <w:shd w:fill="EEF2F8" w:val="clear"/>
        <w:spacing w:after="0" w:before="0"/>
        <w:ind w:left="360"/>
      </w:pPr>
      <w:r>
        <w:rPr>
          <w:rFonts w:ascii="Courier New" w:cs="Courier New" w:eastAsia="Courier New" w:hAnsi="Courier New"/>
          <w:sz w:val="18"/>
          <w:szCs w:val="18"/>
        </w:rPr>
        <w:t xml:space="preserve">  │  10. Claim cap/floor clamp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ClaimPricingResult</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Allowed Amount + Audit Trace</w:t>
      </w:r>
    </w:p>
    <w:p>
      <w:pPr>
        <w:shd w:fill="EEF2F8" w:val="clear"/>
        <w:spacing w:after="120" w:before="0"/>
        <w:ind w:left="360"/>
      </w:pPr>
      <w:r>
        <w:rPr>
          <w:rFonts w:ascii="Courier New" w:cs="Courier New" w:eastAsia="Courier New" w:hAnsi="Courier New"/>
          <w:sz w:val="18"/>
          <w:szCs w:val="18"/>
        </w:rPr>
        <w:t xml:space="preserve"/>
      </w:r>
    </w:p>
    <w:p>
      <w:pPr>
        <w:pStyle w:val="Heading2"/>
        <w:spacing w:after="120" w:before="280"/>
      </w:pPr>
      <w:r>
        <w:rPr>
          <w:rFonts w:ascii="Arial" w:cs="Arial" w:eastAsia="Arial" w:hAnsi="Arial"/>
          <w:b/>
          <w:bCs/>
          <w:sz w:val="26"/>
          <w:szCs w:val="26"/>
        </w:rPr>
        <w:t xml:space="preserve">10.3 Contract / Rule Resolution Flow</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 Incoming Claim</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1. Resolve ProviderOrg</w:t>
      </w:r>
    </w:p>
    <w:p>
      <w:pPr>
        <w:shd w:fill="EEF2F8" w:val="clear"/>
        <w:spacing w:after="0" w:before="0"/>
        <w:ind w:left="360"/>
      </w:pPr>
      <w:r>
        <w:rPr>
          <w:rFonts w:ascii="Courier New" w:cs="Courier New" w:eastAsia="Courier New" w:hAnsi="Courier New"/>
          <w:sz w:val="18"/>
          <w:szCs w:val="18"/>
        </w:rPr>
        <w:t xml:space="preserve">    billing_npi → ProviderOrganization(id)</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2. Resolve Enrollment</w:t>
      </w:r>
    </w:p>
    <w:p>
      <w:pPr>
        <w:shd w:fill="EEF2F8" w:val="clear"/>
        <w:spacing w:after="0" w:before="0"/>
        <w:ind w:left="360"/>
      </w:pPr>
      <w:r>
        <w:rPr>
          <w:rFonts w:ascii="Courier New" w:cs="Courier New" w:eastAsia="Courier New" w:hAnsi="Courier New"/>
          <w:sz w:val="18"/>
          <w:szCs w:val="18"/>
        </w:rPr>
        <w:t xml:space="preserve">    member_id + date → Product + LOB</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3. Resolve Network</w:t>
      </w:r>
    </w:p>
    <w:p>
      <w:pPr>
        <w:shd w:fill="EEF2F8" w:val="clear"/>
        <w:spacing w:after="0" w:before="0"/>
        <w:ind w:left="360"/>
      </w:pPr>
      <w:r>
        <w:rPr>
          <w:rFonts w:ascii="Courier New" w:cs="Courier New" w:eastAsia="Courier New" w:hAnsi="Courier New"/>
          <w:sz w:val="18"/>
          <w:szCs w:val="18"/>
        </w:rPr>
        <w:t xml:space="preserve">    product + claim_type + date → Network</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4. In Network?  ── No ──→  OON Contract / UCR Path</w:t>
      </w:r>
    </w:p>
    <w:p>
      <w:pPr>
        <w:shd w:fill="EEF2F8" w:val="clear"/>
        <w:spacing w:after="0" w:before="0"/>
        <w:ind w:left="360"/>
      </w:pPr>
      <w:r>
        <w:rPr>
          <w:rFonts w:ascii="Courier New" w:cs="Courier New" w:eastAsia="Courier New" w:hAnsi="Courier New"/>
          <w:sz w:val="18"/>
          <w:szCs w:val="18"/>
        </w:rPr>
        <w:t xml:space="preserve">       │ Yes</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5. ContractResolver</w:t>
      </w:r>
    </w:p>
    <w:p>
      <w:pPr>
        <w:shd w:fill="EEF2F8" w:val="clear"/>
        <w:spacing w:after="0" w:before="0"/>
        <w:ind w:left="360"/>
      </w:pPr>
      <w:r>
        <w:rPr>
          <w:rFonts w:ascii="Courier New" w:cs="Courier New" w:eastAsia="Courier New" w:hAnsi="Courier New"/>
          <w:sz w:val="18"/>
          <w:szCs w:val="18"/>
        </w:rPr>
        <w:t xml:space="preserve">    org_id + network_id + lob + date</w:t>
      </w:r>
    </w:p>
    <w:p>
      <w:pPr>
        <w:shd w:fill="EEF2F8" w:val="clear"/>
        <w:spacing w:after="0" w:before="0"/>
        <w:ind w:left="360"/>
      </w:pPr>
      <w:r>
        <w:rPr>
          <w:rFonts w:ascii="Courier New" w:cs="Courier New" w:eastAsia="Courier New" w:hAnsi="Courier New"/>
          <w:sz w:val="18"/>
          <w:szCs w:val="18"/>
        </w:rPr>
        <w:t xml:space="preserve">    → ProviderContract (most specific)</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6. StrictRuleResolver  (existing — unchanged)</w:t>
      </w:r>
    </w:p>
    <w:p>
      <w:pPr>
        <w:shd w:fill="EEF2F8" w:val="clear"/>
        <w:spacing w:after="0" w:before="0"/>
        <w:ind w:left="360"/>
      </w:pPr>
      <w:r>
        <w:rPr>
          <w:rFonts w:ascii="Courier New" w:cs="Courier New" w:eastAsia="Courier New" w:hAnsi="Courier New"/>
          <w:sz w:val="18"/>
          <w:szCs w:val="18"/>
        </w:rPr>
        <w:t xml:space="preserve">    contract → active version → rules → best rule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7. Pricing Strategy → LineResult</w:t>
      </w:r>
    </w:p>
    <w:p>
      <w:pPr>
        <w:shd w:fill="EEF2F8" w:val="clear"/>
        <w:spacing w:after="120" w:before="0"/>
        <w:ind w:left="360"/>
      </w:pPr>
      <w:r>
        <w:rPr>
          <w:rFonts w:ascii="Courier New" w:cs="Courier New" w:eastAsia="Courier New" w:hAnsi="Courier New"/>
          <w:sz w:val="18"/>
          <w:szCs w:val="18"/>
        </w:rPr>
        <w:t xml:space="preserve"/>
      </w:r>
    </w:p>
    <w:p>
      <w:pPr>
        <w:pStyle w:val="Heading2"/>
        <w:spacing w:after="120" w:before="280"/>
      </w:pPr>
      <w:r>
        <w:rPr>
          <w:rFonts w:ascii="Arial" w:cs="Arial" w:eastAsia="Arial" w:hAnsi="Arial"/>
          <w:b/>
          <w:bCs/>
          <w:sz w:val="26"/>
          <w:szCs w:val="26"/>
        </w:rPr>
        <w:t xml:space="preserve">10.4 Provider/Member/Product/Network Context Resolution</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  Raw Claim Input</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billing_npi     rendering_npi   member_id       │</w:t>
      </w:r>
    </w:p>
    <w:p>
      <w:pPr>
        <w:shd w:fill="EEF2F8" w:val="clear"/>
        <w:spacing w:after="0" w:before="0"/>
        <w:ind w:left="360"/>
      </w:pPr>
      <w:r>
        <w:rPr>
          <w:rFonts w:ascii="Courier New" w:cs="Courier New" w:eastAsia="Courier New" w:hAnsi="Courier New"/>
          <w:sz w:val="18"/>
          <w:szCs w:val="18"/>
        </w:rPr>
        <w:t xml:space="preserve">  │  service_date    claim_type      lines[]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                │             │</w:t>
      </w:r>
    </w:p>
    <w:p>
      <w:pPr>
        <w:shd w:fill="EEF2F8" w:val="clear"/>
        <w:spacing w:after="0" w:before="0"/>
        <w:ind w:left="360"/>
      </w:pPr>
      <w:r>
        <w:rPr>
          <w:rFonts w:ascii="Courier New" w:cs="Courier New" w:eastAsia="Courier New" w:hAnsi="Courier New"/>
          <w:sz w:val="18"/>
          <w:szCs w:val="18"/>
        </w:rPr>
        <w:t xml:space="preserve">         ↓                ↓             ↓</w:t>
      </w:r>
    </w:p>
    <w:p>
      <w:pPr>
        <w:shd w:fill="EEF2F8" w:val="clear"/>
        <w:spacing w:after="0" w:before="0"/>
        <w:ind w:left="360"/>
      </w:pPr>
      <w:r>
        <w:rPr>
          <w:rFonts w:ascii="Courier New" w:cs="Courier New" w:eastAsia="Courier New" w:hAnsi="Courier New"/>
          <w:sz w:val="18"/>
          <w:szCs w:val="18"/>
        </w:rPr>
        <w:t xml:space="preserve">  ProviderResolver  ProviderResolver  MemberResolver</w:t>
      </w:r>
    </w:p>
    <w:p>
      <w:pPr>
        <w:shd w:fill="EEF2F8" w:val="clear"/>
        <w:spacing w:after="0" w:before="0"/>
        <w:ind w:left="360"/>
      </w:pPr>
      <w:r>
        <w:rPr>
          <w:rFonts w:ascii="Courier New" w:cs="Courier New" w:eastAsia="Courier New" w:hAnsi="Courier New"/>
          <w:sz w:val="18"/>
          <w:szCs w:val="18"/>
        </w:rPr>
        <w:t xml:space="preserve">  billing_npi       rendering_npi     member_id + date</w:t>
      </w:r>
    </w:p>
    <w:p>
      <w:pPr>
        <w:shd w:fill="EEF2F8" w:val="clear"/>
        <w:spacing w:after="0" w:before="0"/>
        <w:ind w:left="360"/>
      </w:pPr>
      <w:r>
        <w:rPr>
          <w:rFonts w:ascii="Courier New" w:cs="Courier New" w:eastAsia="Courier New" w:hAnsi="Courier New"/>
          <w:sz w:val="18"/>
          <w:szCs w:val="18"/>
        </w:rPr>
        <w:t xml:space="preserve">  → Org(id, tax_id) → Provider(id)   → Enrollment</w:t>
      </w:r>
    </w:p>
    <w:p>
      <w:pPr>
        <w:shd w:fill="EEF2F8" w:val="clear"/>
        <w:spacing w:after="0" w:before="0"/>
        <w:ind w:left="360"/>
      </w:pPr>
      <w:r>
        <w:rPr>
          <w:rFonts w:ascii="Courier New" w:cs="Courier New" w:eastAsia="Courier New" w:hAnsi="Courier New"/>
          <w:sz w:val="18"/>
          <w:szCs w:val="18"/>
        </w:rPr>
        <w:t xml:space="preserve">                      → specialty     → Product</w:t>
      </w:r>
    </w:p>
    <w:p>
      <w:pPr>
        <w:shd w:fill="EEF2F8" w:val="clear"/>
        <w:spacing w:after="0" w:before="0"/>
        <w:ind w:left="360"/>
      </w:pPr>
      <w:r>
        <w:rPr>
          <w:rFonts w:ascii="Courier New" w:cs="Courier New" w:eastAsia="Courier New" w:hAnsi="Courier New"/>
          <w:sz w:val="18"/>
          <w:szCs w:val="18"/>
        </w:rPr>
        <w:t xml:space="preserve">                                      → LOB</w:t>
      </w:r>
    </w:p>
    <w:p>
      <w:pPr>
        <w:shd w:fill="EEF2F8" w:val="clear"/>
        <w:spacing w:after="0" w:before="0"/>
        <w:ind w:left="360"/>
      </w:pPr>
      <w:r>
        <w:rPr>
          <w:rFonts w:ascii="Courier New" w:cs="Courier New" w:eastAsia="Courier New" w:hAnsi="Courier New"/>
          <w:sz w:val="18"/>
          <w:szCs w:val="18"/>
        </w:rPr>
        <w:t xml:space="preserve">                                      → locality_zip</w:t>
      </w:r>
    </w:p>
    <w:p>
      <w:pPr>
        <w:shd w:fill="EEF2F8" w:val="clear"/>
        <w:spacing w:after="0" w:before="0"/>
        <w:ind w:left="360"/>
      </w:pPr>
      <w:r>
        <w:rPr>
          <w:rFonts w:ascii="Courier New" w:cs="Courier New" w:eastAsia="Courier New" w:hAnsi="Courier New"/>
          <w:sz w:val="18"/>
          <w:szCs w:val="18"/>
        </w:rPr>
        <w:t xml:space="preserve">         │                │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NetworkLookupService</w:t>
      </w:r>
    </w:p>
    <w:p>
      <w:pPr>
        <w:shd w:fill="EEF2F8" w:val="clear"/>
        <w:spacing w:after="0" w:before="0"/>
        <w:ind w:left="360"/>
      </w:pPr>
      <w:r>
        <w:rPr>
          <w:rFonts w:ascii="Courier New" w:cs="Courier New" w:eastAsia="Courier New" w:hAnsi="Courier New"/>
          <w:sz w:val="18"/>
          <w:szCs w:val="18"/>
        </w:rPr>
        <w:t xml:space="preserve">                  product + claim_type + date → Network</w:t>
      </w:r>
    </w:p>
    <w:p>
      <w:pPr>
        <w:shd w:fill="EEF2F8" w:val="clear"/>
        <w:spacing w:after="0" w:before="0"/>
        <w:ind w:left="360"/>
      </w:pPr>
      <w:r>
        <w:rPr>
          <w:rFonts w:ascii="Courier New" w:cs="Courier New" w:eastAsia="Courier New" w:hAnsi="Courier New"/>
          <w:sz w:val="18"/>
          <w:szCs w:val="18"/>
        </w:rPr>
        <w:t xml:space="preserve">                  org + network + date → participation status</w:t>
      </w:r>
    </w:p>
    <w:p>
      <w:pPr>
        <w:shd w:fill="EEF2F8" w:val="clear"/>
        <w:spacing w:after="0" w:before="0"/>
        <w:ind w:left="360"/>
      </w:pPr>
      <w:r>
        <w:rPr>
          <w:rFonts w:ascii="Courier New" w:cs="Courier New" w:eastAsia="Courier New" w:hAnsi="Courier New"/>
          <w:sz w:val="18"/>
          <w:szCs w:val="18"/>
        </w:rPr>
        <w:t xml:space="preserve">                  (IN_NETWORK / OUT_OF_NETWORK / TIER_1 / TIER_2)</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ContractResolver</w:t>
      </w:r>
    </w:p>
    <w:p>
      <w:pPr>
        <w:shd w:fill="EEF2F8" w:val="clear"/>
        <w:spacing w:after="0" w:before="0"/>
        <w:ind w:left="360"/>
      </w:pPr>
      <w:r>
        <w:rPr>
          <w:rFonts w:ascii="Courier New" w:cs="Courier New" w:eastAsia="Courier New" w:hAnsi="Courier New"/>
          <w:sz w:val="18"/>
          <w:szCs w:val="18"/>
        </w:rPr>
        <w:t xml:space="preserve">                  org_id + network_id + lob + date</w:t>
      </w:r>
    </w:p>
    <w:p>
      <w:pPr>
        <w:shd w:fill="EEF2F8" w:val="clear"/>
        <w:spacing w:after="0" w:before="0"/>
        <w:ind w:left="360"/>
      </w:pPr>
      <w:r>
        <w:rPr>
          <w:rFonts w:ascii="Courier New" w:cs="Courier New" w:eastAsia="Courier New" w:hAnsi="Courier New"/>
          <w:sz w:val="18"/>
          <w:szCs w:val="18"/>
        </w:rPr>
        <w:t xml:space="preserve">                  → ProviderContract (single winner)</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                  ContextBuilder.assemble()</w:t>
      </w:r>
    </w:p>
    <w:p>
      <w:pPr>
        <w:shd w:fill="EEF2F8" w:val="clear"/>
        <w:spacing w:after="0" w:before="0"/>
        <w:ind w:left="360"/>
      </w:pPr>
      <w:r>
        <w:rPr>
          <w:rFonts w:ascii="Courier New" w:cs="Courier New" w:eastAsia="Courier New" w:hAnsi="Courier New"/>
          <w:sz w:val="18"/>
          <w:szCs w:val="18"/>
        </w:rPr>
        <w:t xml:space="preserve">                  → ClaimPricingContext(frozen=True)</w:t>
      </w:r>
    </w:p>
    <w:p>
      <w:pPr>
        <w:shd w:fill="EEF2F8" w:val="clear"/>
        <w:spacing w:after="0" w:before="0"/>
        <w:ind w:left="360"/>
      </w:pPr>
      <w:r>
        <w:rPr>
          <w:rFonts w:ascii="Courier New" w:cs="Courier New" w:eastAsia="Courier New" w:hAnsi="Courier New"/>
          <w:sz w:val="18"/>
          <w:szCs w:val="18"/>
        </w:rPr>
        <w:t xml:space="preserve">                    contract_id, version_id, network_status,</w:t>
      </w:r>
    </w:p>
    <w:p>
      <w:pPr>
        <w:shd w:fill="EEF2F8" w:val="clear"/>
        <w:spacing w:after="0" w:before="0"/>
        <w:ind w:left="360"/>
      </w:pPr>
      <w:r>
        <w:rPr>
          <w:rFonts w:ascii="Courier New" w:cs="Courier New" w:eastAsia="Courier New" w:hAnsi="Courier New"/>
          <w:sz w:val="18"/>
          <w:szCs w:val="18"/>
        </w:rPr>
        <w:t xml:space="preserve">                    provider, member, lines[], trace_id</w:t>
      </w:r>
    </w:p>
    <w:p>
      <w:pPr>
        <w:shd w:fill="EEF2F8" w:val="clear"/>
        <w:spacing w:after="120" w:before="0"/>
        <w:ind w:left="360"/>
      </w:pPr>
      <w:r>
        <w:rPr>
          <w:rFonts w:ascii="Courier New" w:cs="Courier New" w:eastAsia="Courier New" w:hAnsi="Courier New"/>
          <w:sz w:val="18"/>
          <w:szCs w:val="18"/>
        </w:rPr>
        <w:t xml:space="preserve"/>
      </w:r>
    </w:p>
    <w:p>
      <w:pPr>
        <w:pageBreakBefore/>
      </w:pPr>
    </w:p>
    <w:p>
      <w:pPr>
        <w:pStyle w:val="Heading1"/>
        <w:spacing w:after="160" w:before="400"/>
      </w:pPr>
      <w:r>
        <w:rPr>
          <w:rFonts w:ascii="Arial" w:cs="Arial" w:eastAsia="Arial" w:hAnsi="Arial"/>
          <w:b/>
          <w:bCs/>
          <w:sz w:val="32"/>
          <w:szCs w:val="32"/>
        </w:rPr>
        <w:t xml:space="preserve">11. Bounded Contexts and Interfaces</w:t>
      </w:r>
    </w:p>
    <w:p>
      <w:pPr>
        <w:pStyle w:val="Heading2"/>
        <w:spacing w:after="120" w:before="280"/>
      </w:pPr>
      <w:r>
        <w:rPr>
          <w:rFonts w:ascii="Arial" w:cs="Arial" w:eastAsia="Arial" w:hAnsi="Arial"/>
          <w:b/>
          <w:bCs/>
          <w:sz w:val="26"/>
          <w:szCs w:val="26"/>
        </w:rPr>
        <w:t xml:space="preserve">11.1 Recommended Context Boundaries</w:t>
      </w:r>
    </w:p>
    <w:p>
      <w:pPr>
        <w:shd w:fill="EEF2F8" w:val="clear"/>
        <w:spacing w:after="0" w:before="120"/>
        <w:ind w:left="360"/>
      </w:pPr>
      <w:r>
        <w:rPr>
          <w:rFonts w:ascii="Courier New" w:cs="Courier New" w:eastAsia="Courier New" w:hAnsi="Courier New"/>
          <w:sz w:val="18"/>
          <w:szCs w:val="18"/>
        </w:rPr>
        <w:t xml:space="preserve"/>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PROVIDER MASTER CONTEXT                                                 │</w:t>
      </w:r>
    </w:p>
    <w:p>
      <w:pPr>
        <w:shd w:fill="EEF2F8" w:val="clear"/>
        <w:spacing w:after="0" w:before="0"/>
        <w:ind w:left="360"/>
      </w:pPr>
      <w:r>
        <w:rPr>
          <w:rFonts w:ascii="Courier New" w:cs="Courier New" w:eastAsia="Courier New" w:hAnsi="Courier New"/>
          <w:sz w:val="18"/>
          <w:szCs w:val="18"/>
        </w:rPr>
        <w:t xml:space="preserve">│  Owns: Provider, ProviderOrganization, Facility, Affiliation             │</w:t>
      </w:r>
    </w:p>
    <w:p>
      <w:pPr>
        <w:shd w:fill="EEF2F8" w:val="clear"/>
        <w:spacing w:after="0" w:before="0"/>
        <w:ind w:left="360"/>
      </w:pPr>
      <w:r>
        <w:rPr>
          <w:rFonts w:ascii="Courier New" w:cs="Courier New" w:eastAsia="Courier New" w:hAnsi="Courier New"/>
          <w:sz w:val="18"/>
          <w:szCs w:val="18"/>
        </w:rPr>
        <w:t xml:space="preserve">│  Interface: ProviderLookupService                                        │</w:t>
      </w:r>
    </w:p>
    <w:p>
      <w:pPr>
        <w:shd w:fill="EEF2F8" w:val="clear"/>
        <w:spacing w:after="0" w:before="0"/>
        <w:ind w:left="360"/>
      </w:pPr>
      <w:r>
        <w:rPr>
          <w:rFonts w:ascii="Courier New" w:cs="Courier New" w:eastAsia="Courier New" w:hAnsi="Courier New"/>
          <w:sz w:val="18"/>
          <w:szCs w:val="18"/>
        </w:rPr>
        <w:t xml:space="preserve">│  Exposes: resolve_org(billing_npi) → ProviderOrgRef                     │</w:t>
      </w:r>
    </w:p>
    <w:p>
      <w:pPr>
        <w:shd w:fill="EEF2F8" w:val="clear"/>
        <w:spacing w:after="0" w:before="0"/>
        <w:ind w:left="360"/>
      </w:pPr>
      <w:r>
        <w:rPr>
          <w:rFonts w:ascii="Courier New" w:cs="Courier New" w:eastAsia="Courier New" w:hAnsi="Courier New"/>
          <w:sz w:val="18"/>
          <w:szCs w:val="18"/>
        </w:rPr>
        <w:t xml:space="preserve">│            resolve_provider(rendering_npi) → ProviderRef                 │</w:t>
      </w:r>
    </w:p>
    <w:p>
      <w:pPr>
        <w:shd w:fill="EEF2F8" w:val="clear"/>
        <w:spacing w:after="0" w:before="0"/>
        <w:ind w:left="360"/>
      </w:pPr>
      <w:r>
        <w:rPr>
          <w:rFonts w:ascii="Courier New" w:cs="Courier New" w:eastAsia="Courier New" w:hAnsi="Courier New"/>
          <w:sz w:val="18"/>
          <w:szCs w:val="18"/>
        </w:rPr>
        <w:t xml:space="preserve">│            resolve_facility(facility_npi) → FacilityRef                  │</w:t>
      </w:r>
    </w:p>
    <w:p>
      <w:pPr>
        <w:shd w:fill="EEF2F8" w:val="clear"/>
        <w:spacing w:after="0" w:before="0"/>
        <w:ind w:left="360"/>
      </w:pPr>
      <w:r>
        <w:rPr>
          <w:rFonts w:ascii="Courier New" w:cs="Courier New" w:eastAsia="Courier New" w:hAnsi="Courier New"/>
          <w:sz w:val="18"/>
          <w:szCs w:val="18"/>
        </w:rPr>
        <w:t xml:space="preserve">│            check_affiliation(provider_id, org_id, date) → bool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MEMBER / ENROLLMENT CONTEXT                                             │</w:t>
      </w:r>
    </w:p>
    <w:p>
      <w:pPr>
        <w:shd w:fill="EEF2F8" w:val="clear"/>
        <w:spacing w:after="0" w:before="0"/>
        <w:ind w:left="360"/>
      </w:pPr>
      <w:r>
        <w:rPr>
          <w:rFonts w:ascii="Courier New" w:cs="Courier New" w:eastAsia="Courier New" w:hAnsi="Courier New"/>
          <w:sz w:val="18"/>
          <w:szCs w:val="18"/>
        </w:rPr>
        <w:t xml:space="preserve">│  Owns: Member, Enrollment                                                │</w:t>
      </w:r>
    </w:p>
    <w:p>
      <w:pPr>
        <w:shd w:fill="EEF2F8" w:val="clear"/>
        <w:spacing w:after="0" w:before="0"/>
        <w:ind w:left="360"/>
      </w:pPr>
      <w:r>
        <w:rPr>
          <w:rFonts w:ascii="Courier New" w:cs="Courier New" w:eastAsia="Courier New" w:hAnsi="Courier New"/>
          <w:sz w:val="18"/>
          <w:szCs w:val="18"/>
        </w:rPr>
        <w:t xml:space="preserve">│  Interface: MemberLookupService                                          │</w:t>
      </w:r>
    </w:p>
    <w:p>
      <w:pPr>
        <w:shd w:fill="EEF2F8" w:val="clear"/>
        <w:spacing w:after="0" w:before="0"/>
        <w:ind w:left="360"/>
      </w:pPr>
      <w:r>
        <w:rPr>
          <w:rFonts w:ascii="Courier New" w:cs="Courier New" w:eastAsia="Courier New" w:hAnsi="Courier New"/>
          <w:sz w:val="18"/>
          <w:szCs w:val="18"/>
        </w:rPr>
        <w:t xml:space="preserve">│  Exposes: resolve_enrollment(member_id, date) → EnrollmentRef            │</w:t>
      </w:r>
    </w:p>
    <w:p>
      <w:pPr>
        <w:shd w:fill="EEF2F8" w:val="clear"/>
        <w:spacing w:after="0" w:before="0"/>
        <w:ind w:left="360"/>
      </w:pPr>
      <w:r>
        <w:rPr>
          <w:rFonts w:ascii="Courier New" w:cs="Courier New" w:eastAsia="Courier New" w:hAnsi="Courier New"/>
          <w:sz w:val="18"/>
          <w:szCs w:val="18"/>
        </w:rPr>
        <w:t xml:space="preserve">│            → { product_id, lob, network_id, locality_zip }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PRODUCT / NETWORK CONTEXT                                               │</w:t>
      </w:r>
    </w:p>
    <w:p>
      <w:pPr>
        <w:shd w:fill="EEF2F8" w:val="clear"/>
        <w:spacing w:after="0" w:before="0"/>
        <w:ind w:left="360"/>
      </w:pPr>
      <w:r>
        <w:rPr>
          <w:rFonts w:ascii="Courier New" w:cs="Courier New" w:eastAsia="Courier New" w:hAnsi="Courier New"/>
          <w:sz w:val="18"/>
          <w:szCs w:val="18"/>
        </w:rPr>
        <w:t xml:space="preserve">│  Owns: Product, LOB, Network, ProductNetworkConfig,                      │</w:t>
      </w:r>
    </w:p>
    <w:p>
      <w:pPr>
        <w:shd w:fill="EEF2F8" w:val="clear"/>
        <w:spacing w:after="0" w:before="0"/>
        <w:ind w:left="360"/>
      </w:pPr>
      <w:r>
        <w:rPr>
          <w:rFonts w:ascii="Courier New" w:cs="Courier New" w:eastAsia="Courier New" w:hAnsi="Courier New"/>
          <w:sz w:val="18"/>
          <w:szCs w:val="18"/>
        </w:rPr>
        <w:t xml:space="preserve">│        ProviderNetworkParticipation                                      │</w:t>
      </w:r>
    </w:p>
    <w:p>
      <w:pPr>
        <w:shd w:fill="EEF2F8" w:val="clear"/>
        <w:spacing w:after="0" w:before="0"/>
        <w:ind w:left="360"/>
      </w:pPr>
      <w:r>
        <w:rPr>
          <w:rFonts w:ascii="Courier New" w:cs="Courier New" w:eastAsia="Courier New" w:hAnsi="Courier New"/>
          <w:sz w:val="18"/>
          <w:szCs w:val="18"/>
        </w:rPr>
        <w:t xml:space="preserve">│  Interface: NetworkLookupService                                         │</w:t>
      </w:r>
    </w:p>
    <w:p>
      <w:pPr>
        <w:shd w:fill="EEF2F8" w:val="clear"/>
        <w:spacing w:after="0" w:before="0"/>
        <w:ind w:left="360"/>
      </w:pPr>
      <w:r>
        <w:rPr>
          <w:rFonts w:ascii="Courier New" w:cs="Courier New" w:eastAsia="Courier New" w:hAnsi="Courier New"/>
          <w:sz w:val="18"/>
          <w:szCs w:val="18"/>
        </w:rPr>
        <w:t xml:space="preserve">│  Exposes: resolve_network(product_id, claim_type, date)                  │</w:t>
      </w:r>
    </w:p>
    <w:p>
      <w:pPr>
        <w:shd w:fill="EEF2F8" w:val="clear"/>
        <w:spacing w:after="0" w:before="0"/>
        <w:ind w:left="360"/>
      </w:pPr>
      <w:r>
        <w:rPr>
          <w:rFonts w:ascii="Courier New" w:cs="Courier New" w:eastAsia="Courier New" w:hAnsi="Courier New"/>
          <w:sz w:val="18"/>
          <w:szCs w:val="18"/>
        </w:rPr>
        <w:t xml:space="preserve">│            check_participation(org_id, network_id, date)                 │</w:t>
      </w:r>
    </w:p>
    <w:p>
      <w:pPr>
        <w:shd w:fill="EEF2F8" w:val="clear"/>
        <w:spacing w:after="0" w:before="0"/>
        <w:ind w:left="360"/>
      </w:pPr>
      <w:r>
        <w:rPr>
          <w:rFonts w:ascii="Courier New" w:cs="Courier New" w:eastAsia="Courier New" w:hAnsi="Courier New"/>
          <w:sz w:val="18"/>
          <w:szCs w:val="18"/>
        </w:rPr>
        <w:t xml:space="preserve">│            → NetworkStatusRef { network_id, status, tier }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CONTRACT CONTEXT (existing, extended)                                   │</w:t>
      </w:r>
    </w:p>
    <w:p>
      <w:pPr>
        <w:shd w:fill="EEF2F8" w:val="clear"/>
        <w:spacing w:after="0" w:before="0"/>
        <w:ind w:left="360"/>
      </w:pPr>
      <w:r>
        <w:rPr>
          <w:rFonts w:ascii="Courier New" w:cs="Courier New" w:eastAsia="Courier New" w:hAnsi="Courier New"/>
          <w:sz w:val="18"/>
          <w:szCs w:val="18"/>
        </w:rPr>
        <w:t xml:space="preserve">│  Owns: ProviderContract, ContractVersion, PricingRule, etc.              │</w:t>
      </w:r>
    </w:p>
    <w:p>
      <w:pPr>
        <w:shd w:fill="EEF2F8" w:val="clear"/>
        <w:spacing w:after="0" w:before="0"/>
        <w:ind w:left="360"/>
      </w:pPr>
      <w:r>
        <w:rPr>
          <w:rFonts w:ascii="Courier New" w:cs="Courier New" w:eastAsia="Courier New" w:hAnsi="Courier New"/>
          <w:sz w:val="18"/>
          <w:szCs w:val="18"/>
        </w:rPr>
        <w:t xml:space="preserve">│  Interface: ContractResolver                                             │</w:t>
      </w:r>
    </w:p>
    <w:p>
      <w:pPr>
        <w:shd w:fill="EEF2F8" w:val="clear"/>
        <w:spacing w:after="0" w:before="0"/>
        <w:ind w:left="360"/>
      </w:pPr>
      <w:r>
        <w:rPr>
          <w:rFonts w:ascii="Courier New" w:cs="Courier New" w:eastAsia="Courier New" w:hAnsi="Courier New"/>
          <w:sz w:val="18"/>
          <w:szCs w:val="18"/>
        </w:rPr>
        <w:t xml:space="preserve">│  Exposes: resolve_contract(org_id, network_id, lob, date)               │</w:t>
      </w:r>
    </w:p>
    <w:p>
      <w:pPr>
        <w:shd w:fill="EEF2F8" w:val="clear"/>
        <w:spacing w:after="0" w:before="0"/>
        <w:ind w:left="360"/>
      </w:pPr>
      <w:r>
        <w:rPr>
          <w:rFonts w:ascii="Courier New" w:cs="Courier New" w:eastAsia="Courier New" w:hAnsi="Courier New"/>
          <w:sz w:val="18"/>
          <w:szCs w:val="18"/>
        </w:rPr>
        <w:t xml:space="preserve">│            → contract_id (or None if no match)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ClaimPricingContext (DTO)</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PRICING ENGINE (existing, unchanged)                                    │</w:t>
      </w:r>
    </w:p>
    <w:p>
      <w:pPr>
        <w:shd w:fill="EEF2F8" w:val="clear"/>
        <w:spacing w:after="0" w:before="0"/>
        <w:ind w:left="360"/>
      </w:pPr>
      <w:r>
        <w:rPr>
          <w:rFonts w:ascii="Courier New" w:cs="Courier New" w:eastAsia="Courier New" w:hAnsi="Courier New"/>
          <w:sz w:val="18"/>
          <w:szCs w:val="18"/>
        </w:rPr>
        <w:t xml:space="preserve">│  Entry: ClaimPricingService.price_claim(context)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ClaimPricingResult</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0" w:before="0"/>
        <w:ind w:left="360"/>
      </w:pPr>
      <w:r>
        <w:rPr>
          <w:rFonts w:ascii="Courier New" w:cs="Courier New" w:eastAsia="Courier New" w:hAnsi="Courier New"/>
          <w:sz w:val="18"/>
          <w:szCs w:val="18"/>
        </w:rPr>
        <w:t xml:space="preserve">│  AUDIT / GOVERNANCE (existing, extended)                                 │</w:t>
      </w:r>
    </w:p>
    <w:p>
      <w:pPr>
        <w:shd w:fill="EEF2F8" w:val="clear"/>
        <w:spacing w:after="0" w:before="0"/>
        <w:ind w:left="360"/>
      </w:pPr>
      <w:r>
        <w:rPr>
          <w:rFonts w:ascii="Courier New" w:cs="Courier New" w:eastAsia="Courier New" w:hAnsi="Courier New"/>
          <w:sz w:val="18"/>
          <w:szCs w:val="18"/>
        </w:rPr>
        <w:t xml:space="preserve">│  + new: PricingAuditRecord (persists full context snapshot)             │</w:t>
      </w:r>
    </w:p>
    <w:p>
      <w:pPr>
        <w:shd w:fill="EEF2F8" w:val="clear"/>
        <w:spacing w:after="0" w:before="0"/>
        <w:ind w:left="360"/>
      </w:pPr>
      <w:r>
        <w:rPr>
          <w:rFonts w:ascii="Courier New" w:cs="Courier New" w:eastAsia="Courier New" w:hAnsi="Courier New"/>
          <w:sz w:val="18"/>
          <w:szCs w:val="18"/>
        </w:rPr>
        <w:t xml:space="preserve">└──────────────────────────────────────────────────────────────────────────┘</w:t>
      </w:r>
    </w:p>
    <w:p>
      <w:pPr>
        <w:shd w:fill="EEF2F8" w:val="clear"/>
        <w:spacing w:after="120" w:before="0"/>
        <w:ind w:left="360"/>
      </w:pPr>
      <w:r>
        <w:rPr>
          <w:rFonts w:ascii="Courier New" w:cs="Courier New" w:eastAsia="Courier New" w:hAnsi="Courier New"/>
          <w:sz w:val="18"/>
          <w:szCs w:val="18"/>
        </w:rPr>
        <w:t xml:space="preserve"/>
      </w:r>
    </w:p>
    <w:p>
      <w:pPr>
        <w:pStyle w:val="Heading2"/>
        <w:spacing w:after="120" w:before="280"/>
      </w:pPr>
      <w:r>
        <w:rPr>
          <w:rFonts w:ascii="Arial" w:cs="Arial" w:eastAsia="Arial" w:hAnsi="Arial"/>
          <w:b/>
          <w:bCs/>
          <w:sz w:val="26"/>
          <w:szCs w:val="26"/>
        </w:rPr>
        <w:t xml:space="preserve">11.2 The ClaimPricingContext DTO</w:t>
      </w:r>
    </w:p>
    <w:p>
      <w:pPr>
        <w:spacing w:after="100" w:before="60"/>
      </w:pPr>
      <w:r>
        <w:rPr>
          <w:rFonts w:ascii="Arial" w:cs="Arial" w:eastAsia="Arial" w:hAnsi="Arial"/>
          <w:sz w:val="22"/>
          <w:szCs w:val="22"/>
        </w:rPr>
        <w:t xml:space="preserve">This is the single object that crosses the boundary between the context resolver and the pricing engine. Everything to the left of this DTO can change without touching the engine.</w:t>
      </w:r>
    </w:p>
    <w:p>
      <w:pPr>
        <w:shd w:fill="F4F4F4" w:val="clear"/>
        <w:spacing w:after="0" w:before="0"/>
        <w:ind w:left="360"/>
      </w:pPr>
      <w:r>
        <w:rPr>
          <w:rFonts w:ascii="Courier New" w:cs="Courier New" w:eastAsia="Courier New" w:hAnsi="Courier New"/>
          <w:sz w:val="18"/>
          <w:szCs w:val="18"/>
        </w:rPr>
        <w:t xml:space="preserve">@dataclass(frozen=True)</w:t>
      </w:r>
    </w:p>
    <w:p>
      <w:pPr>
        <w:shd w:fill="F4F4F4" w:val="clear"/>
        <w:spacing w:after="0" w:before="0"/>
        <w:ind w:left="360"/>
      </w:pPr>
      <w:r>
        <w:rPr>
          <w:rFonts w:ascii="Courier New" w:cs="Courier New" w:eastAsia="Courier New" w:hAnsi="Courier New"/>
          <w:sz w:val="18"/>
          <w:szCs w:val="18"/>
        </w:rPr>
        <w:t xml:space="preserve">class ProviderPricingContext:</w:t>
      </w:r>
    </w:p>
    <w:p>
      <w:pPr>
        <w:shd w:fill="F4F4F4" w:val="clear"/>
        <w:spacing w:after="0" w:before="0"/>
        <w:ind w:left="360"/>
      </w:pPr>
      <w:r>
        <w:rPr>
          <w:rFonts w:ascii="Courier New" w:cs="Courier New" w:eastAsia="Courier New" w:hAnsi="Courier New"/>
          <w:sz w:val="18"/>
          <w:szCs w:val="18"/>
        </w:rPr>
        <w:t xml:space="preserve">    """Resolved provider context for a single claim."""</w:t>
      </w:r>
    </w:p>
    <w:p>
      <w:pPr>
        <w:shd w:fill="F4F4F4" w:val="clear"/>
        <w:spacing w:after="0" w:before="0"/>
        <w:ind w:left="360"/>
      </w:pPr>
      <w:r>
        <w:rPr>
          <w:rFonts w:ascii="Courier New" w:cs="Courier New" w:eastAsia="Courier New" w:hAnsi="Courier New"/>
          <w:sz w:val="18"/>
          <w:szCs w:val="18"/>
        </w:rPr>
        <w:t xml:space="preserve">    billing_org_id: int                       # FK → ProviderOrganization</w:t>
      </w:r>
    </w:p>
    <w:p>
      <w:pPr>
        <w:shd w:fill="F4F4F4" w:val="clear"/>
        <w:spacing w:after="0" w:before="0"/>
        <w:ind w:left="360"/>
      </w:pPr>
      <w:r>
        <w:rPr>
          <w:rFonts w:ascii="Courier New" w:cs="Courier New" w:eastAsia="Courier New" w:hAnsi="Courier New"/>
          <w:sz w:val="18"/>
          <w:szCs w:val="18"/>
        </w:rPr>
        <w:t xml:space="preserve">    billing_org_tax_id: str                   # for audit</w:t>
      </w:r>
    </w:p>
    <w:p>
      <w:pPr>
        <w:shd w:fill="F4F4F4" w:val="clear"/>
        <w:spacing w:after="0" w:before="0"/>
        <w:ind w:left="360"/>
      </w:pPr>
      <w:r>
        <w:rPr>
          <w:rFonts w:ascii="Courier New" w:cs="Courier New" w:eastAsia="Courier New" w:hAnsi="Courier New"/>
          <w:sz w:val="18"/>
          <w:szCs w:val="18"/>
        </w:rPr>
        <w:t xml:space="preserve">    rendering_provider_id: int | None         # FK → Provider</w:t>
      </w:r>
    </w:p>
    <w:p>
      <w:pPr>
        <w:shd w:fill="F4F4F4" w:val="clear"/>
        <w:spacing w:after="0" w:before="0"/>
        <w:ind w:left="360"/>
      </w:pPr>
      <w:r>
        <w:rPr>
          <w:rFonts w:ascii="Courier New" w:cs="Courier New" w:eastAsia="Courier New" w:hAnsi="Courier New"/>
          <w:sz w:val="18"/>
          <w:szCs w:val="18"/>
        </w:rPr>
        <w:t xml:space="preserve">    rendering_provider_specialty: str | None  # NUCC taxonomy or specialty name</w:t>
      </w:r>
    </w:p>
    <w:p>
      <w:pPr>
        <w:shd w:fill="F4F4F4" w:val="clear"/>
        <w:spacing w:after="0" w:before="0"/>
        <w:ind w:left="360"/>
      </w:pPr>
      <w:r>
        <w:rPr>
          <w:rFonts w:ascii="Courier New" w:cs="Courier New" w:eastAsia="Courier New" w:hAnsi="Courier New"/>
          <w:sz w:val="18"/>
          <w:szCs w:val="18"/>
        </w:rPr>
        <w:t xml:space="preserve">    facility_id: int | None                   # FK → Facility</w:t>
      </w:r>
    </w:p>
    <w:p>
      <w:pPr>
        <w:shd w:fill="F4F4F4" w:val="clear"/>
        <w:spacing w:after="0" w:before="0"/>
        <w:ind w:left="360"/>
      </w:pPr>
      <w:r>
        <w:rPr>
          <w:rFonts w:ascii="Courier New" w:cs="Courier New" w:eastAsia="Courier New" w:hAnsi="Courier New"/>
          <w:sz w:val="18"/>
          <w:szCs w:val="18"/>
        </w:rPr>
        <w:t xml:space="preserve">    facility_type: str | None                 # HOSPITAL / ASC / OFFICE / SNF</w:t>
      </w:r>
    </w:p>
    <w:p>
      <w:pPr>
        <w:shd w:fill="F4F4F4" w:val="clear"/>
        <w:spacing w:after="0" w:before="0"/>
        <w:ind w:left="360"/>
      </w:pPr>
      <w:r>
        <w:rPr>
          <w:rFonts w:ascii="Courier New" w:cs="Courier New" w:eastAsia="Courier New" w:hAnsi="Courier New"/>
          <w:sz w:val="18"/>
          <w:szCs w:val="18"/>
        </w:rPr>
        <w:t xml:space="preserve">    place_of_service: str | None              # CMS POS code: "21", "22", "11"</w:t>
      </w:r>
    </w:p>
    <w:p>
      <w:pPr>
        <w:shd w:fill="F4F4F4" w:val="clear"/>
        <w:spacing w:after="0" w:before="0"/>
        <w:ind w:left="360"/>
      </w:pPr>
      <w:r>
        <w:rPr>
          <w:rFonts w:ascii="Courier New" w:cs="Courier New" w:eastAsia="Courier New" w:hAnsi="Courier New"/>
          <w:sz w:val="18"/>
          <w:szCs w:val="18"/>
        </w:rPr>
        <w:t xml:space="preserve">    network_status: str                       # "IN_NETWORK" | "OUT_OF_NETWORK"</w:t>
      </w:r>
    </w:p>
    <w:p>
      <w:pPr>
        <w:shd w:fill="F4F4F4" w:val="clear"/>
        <w:spacing w:after="0" w:before="0"/>
        <w:ind w:left="360"/>
      </w:pPr>
      <w:r>
        <w:rPr>
          <w:rFonts w:ascii="Courier New" w:cs="Courier New" w:eastAsia="Courier New" w:hAnsi="Courier New"/>
          <w:sz w:val="18"/>
          <w:szCs w:val="18"/>
        </w:rPr>
        <w:t xml:space="preserve">    network_tier: str | None                  # "TIER_1" | "TIER_2" | None</w:t>
      </w:r>
    </w:p>
    <w:p>
      <w:pPr>
        <w:shd w:fill="F4F4F4" w:val="clear"/>
        <w:spacing w:after="0" w:before="0"/>
        <w:ind w:left="360"/>
      </w:pPr>
      <w:r>
        <w:rPr>
          <w:rFonts w:ascii="Courier New" w:cs="Courier New" w:eastAsia="Courier New" w:hAnsi="Courier New"/>
          <w:sz w:val="18"/>
          <w:szCs w:val="18"/>
        </w:rPr>
        <w:t xml:space="preserve">    affiliation_verified: bool                # rendering→billing confirmed?</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@dataclass(frozen=True)</w:t>
      </w:r>
    </w:p>
    <w:p>
      <w:pPr>
        <w:shd w:fill="F4F4F4" w:val="clear"/>
        <w:spacing w:after="0" w:before="0"/>
        <w:ind w:left="360"/>
      </w:pPr>
      <w:r>
        <w:rPr>
          <w:rFonts w:ascii="Courier New" w:cs="Courier New" w:eastAsia="Courier New" w:hAnsi="Courier New"/>
          <w:sz w:val="18"/>
          <w:szCs w:val="18"/>
        </w:rPr>
        <w:t xml:space="preserve">class MemberPricingContext:</w:t>
      </w:r>
    </w:p>
    <w:p>
      <w:pPr>
        <w:shd w:fill="F4F4F4" w:val="clear"/>
        <w:spacing w:after="0" w:before="0"/>
        <w:ind w:left="360"/>
      </w:pPr>
      <w:r>
        <w:rPr>
          <w:rFonts w:ascii="Courier New" w:cs="Courier New" w:eastAsia="Courier New" w:hAnsi="Courier New"/>
          <w:sz w:val="18"/>
          <w:szCs w:val="18"/>
        </w:rPr>
        <w:t xml:space="preserve">    """Resolved member/enrollment context."""</w:t>
      </w:r>
    </w:p>
    <w:p>
      <w:pPr>
        <w:shd w:fill="F4F4F4" w:val="clear"/>
        <w:spacing w:after="0" w:before="0"/>
        <w:ind w:left="360"/>
      </w:pPr>
      <w:r>
        <w:rPr>
          <w:rFonts w:ascii="Courier New" w:cs="Courier New" w:eastAsia="Courier New" w:hAnsi="Courier New"/>
          <w:sz w:val="18"/>
          <w:szCs w:val="18"/>
        </w:rPr>
        <w:t xml:space="preserve">    member_id: int | None                     # FK → Member</w:t>
      </w:r>
    </w:p>
    <w:p>
      <w:pPr>
        <w:shd w:fill="F4F4F4" w:val="clear"/>
        <w:spacing w:after="0" w:before="0"/>
        <w:ind w:left="360"/>
      </w:pPr>
      <w:r>
        <w:rPr>
          <w:rFonts w:ascii="Courier New" w:cs="Courier New" w:eastAsia="Courier New" w:hAnsi="Courier New"/>
          <w:sz w:val="18"/>
          <w:szCs w:val="18"/>
        </w:rPr>
        <w:t xml:space="preserve">    product_id: int | None                    # FK → Product</w:t>
      </w:r>
    </w:p>
    <w:p>
      <w:pPr>
        <w:shd w:fill="F4F4F4" w:val="clear"/>
        <w:spacing w:after="0" w:before="0"/>
        <w:ind w:left="360"/>
      </w:pPr>
      <w:r>
        <w:rPr>
          <w:rFonts w:ascii="Courier New" w:cs="Courier New" w:eastAsia="Courier New" w:hAnsi="Courier New"/>
          <w:sz w:val="18"/>
          <w:szCs w:val="18"/>
        </w:rPr>
        <w:t xml:space="preserve">    lob: str | None                           # "COMMERCIAL" | "MEDICARE_ADVANTAGE"</w:t>
      </w:r>
    </w:p>
    <w:p>
      <w:pPr>
        <w:shd w:fill="F4F4F4" w:val="clear"/>
        <w:spacing w:after="0" w:before="0"/>
        <w:ind w:left="360"/>
      </w:pPr>
      <w:r>
        <w:rPr>
          <w:rFonts w:ascii="Courier New" w:cs="Courier New" w:eastAsia="Courier New" w:hAnsi="Courier New"/>
          <w:sz w:val="18"/>
          <w:szCs w:val="18"/>
        </w:rPr>
        <w:t xml:space="preserve">    network_id: int | None                    # FK → Network</w:t>
      </w:r>
    </w:p>
    <w:p>
      <w:pPr>
        <w:shd w:fill="F4F4F4" w:val="clear"/>
        <w:spacing w:after="0" w:before="0"/>
        <w:ind w:left="360"/>
      </w:pPr>
      <w:r>
        <w:rPr>
          <w:rFonts w:ascii="Courier New" w:cs="Courier New" w:eastAsia="Courier New" w:hAnsi="Courier New"/>
          <w:sz w:val="18"/>
          <w:szCs w:val="18"/>
        </w:rPr>
        <w:t xml:space="preserve">    locality_zip: str | None                  # for GPCI locality lookup</w:t>
      </w:r>
    </w:p>
    <w:p>
      <w:pPr>
        <w:shd w:fill="F4F4F4" w:val="clear"/>
        <w:spacing w:after="0" w:before="0"/>
        <w:ind w:left="360"/>
      </w:pPr>
      <w:r>
        <w:rPr>
          <w:rFonts w:ascii="Courier New" w:cs="Courier New" w:eastAsia="Courier New" w:hAnsi="Courier New"/>
          <w:sz w:val="18"/>
          <w:szCs w:val="18"/>
        </w:rPr>
        <w:t xml:space="preserve">    enrollment_id: int | None                 # FK → Enrollment (for audit)</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@dataclass(frozen=True)</w:t>
      </w:r>
    </w:p>
    <w:p>
      <w:pPr>
        <w:shd w:fill="F4F4F4" w:val="clear"/>
        <w:spacing w:after="0" w:before="0"/>
        <w:ind w:left="360"/>
      </w:pPr>
      <w:r>
        <w:rPr>
          <w:rFonts w:ascii="Courier New" w:cs="Courier New" w:eastAsia="Courier New" w:hAnsi="Courier New"/>
          <w:sz w:val="18"/>
          <w:szCs w:val="18"/>
        </w:rPr>
        <w:t xml:space="preserve">class ClaimPricingContext:</w:t>
      </w:r>
    </w:p>
    <w:p>
      <w:pPr>
        <w:shd w:fill="F4F4F4" w:val="clear"/>
        <w:spacing w:after="0" w:before="0"/>
        <w:ind w:left="360"/>
      </w:pPr>
      <w:r>
        <w:rPr>
          <w:rFonts w:ascii="Courier New" w:cs="Courier New" w:eastAsia="Courier New" w:hAnsi="Courier New"/>
          <w:sz w:val="18"/>
          <w:szCs w:val="18"/>
        </w:rPr>
        <w:t xml:space="preserve">    """</w:t>
      </w:r>
    </w:p>
    <w:p>
      <w:pPr>
        <w:shd w:fill="F4F4F4" w:val="clear"/>
        <w:spacing w:after="0" w:before="0"/>
        <w:ind w:left="360"/>
      </w:pPr>
      <w:r>
        <w:rPr>
          <w:rFonts w:ascii="Courier New" w:cs="Courier New" w:eastAsia="Courier New" w:hAnsi="Courier New"/>
          <w:sz w:val="18"/>
          <w:szCs w:val="18"/>
        </w:rPr>
        <w:t xml:space="preserve">    Fully resolved, immutable context DTO consumed by ClaimPricingService.</w:t>
      </w:r>
    </w:p>
    <w:p>
      <w:pPr>
        <w:shd w:fill="F4F4F4" w:val="clear"/>
        <w:spacing w:after="0" w:before="0"/>
        <w:ind w:left="360"/>
      </w:pPr>
      <w:r>
        <w:rPr>
          <w:rFonts w:ascii="Courier New" w:cs="Courier New" w:eastAsia="Courier New" w:hAnsi="Courier New"/>
          <w:sz w:val="18"/>
          <w:szCs w:val="18"/>
        </w:rPr>
        <w:t xml:space="preserve">    Produced by PricingContextResolver; engine never constructs this directly.</w:t>
      </w:r>
    </w:p>
    <w:p>
      <w:pPr>
        <w:shd w:fill="F4F4F4" w:val="clear"/>
        <w:spacing w:after="0" w:before="0"/>
        <w:ind w:left="360"/>
      </w:pPr>
      <w:r>
        <w:rPr>
          <w:rFonts w:ascii="Courier New" w:cs="Courier New" w:eastAsia="Courier New" w:hAnsi="Courier New"/>
          <w:sz w:val="18"/>
          <w:szCs w:val="18"/>
        </w:rPr>
        <w:t xml:space="preserve">    """</w:t>
      </w:r>
    </w:p>
    <w:p>
      <w:pPr>
        <w:shd w:fill="F4F4F4" w:val="clear"/>
        <w:spacing w:after="0" w:before="0"/>
        <w:ind w:left="360"/>
      </w:pPr>
      <w:r>
        <w:rPr>
          <w:rFonts w:ascii="Courier New" w:cs="Courier New" w:eastAsia="Courier New" w:hAnsi="Courier New"/>
          <w:sz w:val="18"/>
          <w:szCs w:val="18"/>
        </w:rPr>
        <w:t xml:space="preserve">    # Resolution provenance</w:t>
      </w:r>
    </w:p>
    <w:p>
      <w:pPr>
        <w:shd w:fill="F4F4F4" w:val="clear"/>
        <w:spacing w:after="0" w:before="0"/>
        <w:ind w:left="360"/>
      </w:pPr>
      <w:r>
        <w:rPr>
          <w:rFonts w:ascii="Courier New" w:cs="Courier New" w:eastAsia="Courier New" w:hAnsi="Courier New"/>
          <w:sz w:val="18"/>
          <w:szCs w:val="18"/>
        </w:rPr>
        <w:t xml:space="preserve">    resolution_mode: str       # "DIRECT" | "RESOLVED" | "OON"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Contract binding (output of resolution)</w:t>
      </w:r>
    </w:p>
    <w:p>
      <w:pPr>
        <w:shd w:fill="F4F4F4" w:val="clear"/>
        <w:spacing w:after="0" w:before="0"/>
        <w:ind w:left="360"/>
      </w:pPr>
      <w:r>
        <w:rPr>
          <w:rFonts w:ascii="Courier New" w:cs="Courier New" w:eastAsia="Courier New" w:hAnsi="Courier New"/>
          <w:sz w:val="18"/>
          <w:szCs w:val="18"/>
        </w:rPr>
        <w:t xml:space="preserve">    contract_id: int</w:t>
      </w:r>
    </w:p>
    <w:p>
      <w:pPr>
        <w:shd w:fill="F4F4F4" w:val="clear"/>
        <w:spacing w:after="0" w:before="0"/>
        <w:ind w:left="360"/>
      </w:pPr>
      <w:r>
        <w:rPr>
          <w:rFonts w:ascii="Courier New" w:cs="Courier New" w:eastAsia="Courier New" w:hAnsi="Courier New"/>
          <w:sz w:val="18"/>
          <w:szCs w:val="18"/>
        </w:rPr>
        <w:t xml:space="preserve">    version_id: int | None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Contexts</w:t>
      </w:r>
    </w:p>
    <w:p>
      <w:pPr>
        <w:shd w:fill="F4F4F4" w:val="clear"/>
        <w:spacing w:after="0" w:before="0"/>
        <w:ind w:left="360"/>
      </w:pPr>
      <w:r>
        <w:rPr>
          <w:rFonts w:ascii="Courier New" w:cs="Courier New" w:eastAsia="Courier New" w:hAnsi="Courier New"/>
          <w:sz w:val="18"/>
          <w:szCs w:val="18"/>
        </w:rPr>
        <w:t xml:space="preserve">    provider: ProviderPricingContext</w:t>
      </w:r>
    </w:p>
    <w:p>
      <w:pPr>
        <w:shd w:fill="F4F4F4" w:val="clear"/>
        <w:spacing w:after="0" w:before="0"/>
        <w:ind w:left="360"/>
      </w:pPr>
      <w:r>
        <w:rPr>
          <w:rFonts w:ascii="Courier New" w:cs="Courier New" w:eastAsia="Courier New" w:hAnsi="Courier New"/>
          <w:sz w:val="18"/>
          <w:szCs w:val="18"/>
        </w:rPr>
        <w:t xml:space="preserve">    member: MemberPricingContext</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Claim-level fields</w:t>
      </w:r>
    </w:p>
    <w:p>
      <w:pPr>
        <w:shd w:fill="F4F4F4" w:val="clear"/>
        <w:spacing w:after="0" w:before="0"/>
        <w:ind w:left="360"/>
      </w:pPr>
      <w:r>
        <w:rPr>
          <w:rFonts w:ascii="Courier New" w:cs="Courier New" w:eastAsia="Courier New" w:hAnsi="Courier New"/>
          <w:sz w:val="18"/>
          <w:szCs w:val="18"/>
        </w:rPr>
        <w:t xml:space="preserve">    service_date: date</w:t>
      </w:r>
    </w:p>
    <w:p>
      <w:pPr>
        <w:shd w:fill="F4F4F4" w:val="clear"/>
        <w:spacing w:after="0" w:before="0"/>
        <w:ind w:left="360"/>
      </w:pPr>
      <w:r>
        <w:rPr>
          <w:rFonts w:ascii="Courier New" w:cs="Courier New" w:eastAsia="Courier New" w:hAnsi="Courier New"/>
          <w:sz w:val="18"/>
          <w:szCs w:val="18"/>
        </w:rPr>
        <w:t xml:space="preserve">    pricing_date: date</w:t>
      </w:r>
    </w:p>
    <w:p>
      <w:pPr>
        <w:shd w:fill="F4F4F4" w:val="clear"/>
        <w:spacing w:after="0" w:before="0"/>
        <w:ind w:left="360"/>
      </w:pPr>
      <w:r>
        <w:rPr>
          <w:rFonts w:ascii="Courier New" w:cs="Courier New" w:eastAsia="Courier New" w:hAnsi="Courier New"/>
          <w:sz w:val="18"/>
          <w:szCs w:val="18"/>
        </w:rPr>
        <w:t xml:space="preserve">    claim_type: str            # "professional" | "institutional"</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Claim lines</w:t>
      </w:r>
    </w:p>
    <w:p>
      <w:pPr>
        <w:shd w:fill="F4F4F4" w:val="clear"/>
        <w:spacing w:after="0" w:before="0"/>
        <w:ind w:left="360"/>
      </w:pPr>
      <w:r>
        <w:rPr>
          <w:rFonts w:ascii="Courier New" w:cs="Courier New" w:eastAsia="Courier New" w:hAnsi="Courier New"/>
          <w:sz w:val="18"/>
          <w:szCs w:val="18"/>
        </w:rPr>
        <w:t xml:space="preserve">    lines: list[ClaimLineInput]  # existing type, unchanged</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Simulation overrides</w:t>
      </w:r>
    </w:p>
    <w:p>
      <w:pPr>
        <w:shd w:fill="F4F4F4" w:val="clear"/>
        <w:spacing w:after="0" w:before="0"/>
        <w:ind w:left="360"/>
      </w:pPr>
      <w:r>
        <w:rPr>
          <w:rFonts w:ascii="Courier New" w:cs="Courier New" w:eastAsia="Courier New" w:hAnsi="Courier New"/>
          <w:sz w:val="18"/>
          <w:szCs w:val="18"/>
        </w:rPr>
        <w:t xml:space="preserve">    simulation_mode: bool = False</w:t>
      </w:r>
    </w:p>
    <w:p>
      <w:pPr>
        <w:shd w:fill="F4F4F4" w:val="clear"/>
        <w:spacing w:after="0" w:before="0"/>
        <w:ind w:left="360"/>
      </w:pPr>
      <w:r>
        <w:rPr>
          <w:rFonts w:ascii="Courier New" w:cs="Courier New" w:eastAsia="Courier New" w:hAnsi="Courier New"/>
          <w:sz w:val="18"/>
          <w:szCs w:val="18"/>
        </w:rPr>
        <w:t xml:space="preserve">    draft_rule: dict | None = None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Audit hooks</w:t>
      </w:r>
    </w:p>
    <w:p>
      <w:pPr>
        <w:shd w:fill="F4F4F4" w:val="clear"/>
        <w:spacing w:after="0" w:before="0"/>
        <w:ind w:left="360"/>
      </w:pPr>
      <w:r>
        <w:rPr>
          <w:rFonts w:ascii="Courier New" w:cs="Courier New" w:eastAsia="Courier New" w:hAnsi="Courier New"/>
          <w:sz w:val="18"/>
          <w:szCs w:val="18"/>
        </w:rPr>
        <w:t xml:space="preserve">    trace_id: str = field(default_factory=lambda: str(uuid4()))</w:t>
      </w:r>
    </w:p>
    <w:p>
      <w:pPr>
        <w:shd w:fill="F4F4F4" w:val="clear"/>
        <w:spacing w:after="0" w:before="0"/>
        <w:ind w:left="360"/>
      </w:pPr>
      <w:r>
        <w:rPr>
          <w:rFonts w:ascii="Courier New" w:cs="Courier New" w:eastAsia="Courier New" w:hAnsi="Courier New"/>
          <w:sz w:val="18"/>
          <w:szCs w:val="18"/>
        </w:rPr>
        <w:t xml:space="preserve">    requested_by: str | None = None</w:t>
      </w:r>
    </w:p>
    <w:p>
      <w:pPr>
        <w:pStyle w:val="Heading2"/>
        <w:spacing w:after="120" w:before="280"/>
      </w:pPr>
      <w:r>
        <w:rPr>
          <w:rFonts w:ascii="Arial" w:cs="Arial" w:eastAsia="Arial" w:hAnsi="Arial"/>
          <w:b/>
          <w:bCs/>
          <w:sz w:val="26"/>
          <w:szCs w:val="26"/>
        </w:rPr>
        <w:t xml:space="preserve">11.3 How the Engine Consumes This</w:t>
      </w:r>
    </w:p>
    <w:p>
      <w:pPr>
        <w:shd w:fill="F4F4F4" w:val="clear"/>
        <w:spacing w:after="0" w:before="0"/>
        <w:ind w:left="360"/>
      </w:pPr>
      <w:r>
        <w:rPr>
          <w:rFonts w:ascii="Courier New" w:cs="Courier New" w:eastAsia="Courier New" w:hAnsi="Courier New"/>
          <w:sz w:val="18"/>
          <w:szCs w:val="18"/>
        </w:rPr>
        <w:t xml:space="preserve"># Today (existing — keep working):</w:t>
      </w:r>
    </w:p>
    <w:p>
      <w:pPr>
        <w:shd w:fill="F4F4F4" w:val="clear"/>
        <w:spacing w:after="0" w:before="0"/>
        <w:ind w:left="360"/>
      </w:pPr>
      <w:r>
        <w:rPr>
          <w:rFonts w:ascii="Courier New" w:cs="Courier New" w:eastAsia="Courier New" w:hAnsi="Courier New"/>
          <w:sz w:val="18"/>
          <w:szCs w:val="18"/>
        </w:rPr>
        <w:t xml:space="preserve">def price_claim(self, contract_id: int, lines: list, ...) -&gt; ClaimPricingResult:</w:t>
      </w:r>
    </w:p>
    <w:p>
      <w:pPr>
        <w:shd w:fill="F4F4F4" w:val="clear"/>
        <w:spacing w:after="0" w:before="0"/>
        <w:ind w:left="360"/>
      </w:pPr>
      <w:r>
        <w:rPr>
          <w:rFonts w:ascii="Courier New" w:cs="Courier New" w:eastAsia="Courier New" w:hAnsi="Courier New"/>
          <w:sz w:val="18"/>
          <w:szCs w:val="18"/>
        </w:rPr>
        <w:t xml:space="preserve">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New overload (additive, does not change existing signature):</w:t>
      </w:r>
    </w:p>
    <w:p>
      <w:pPr>
        <w:shd w:fill="F4F4F4" w:val="clear"/>
        <w:spacing w:after="0" w:before="0"/>
        <w:ind w:left="360"/>
      </w:pPr>
      <w:r>
        <w:rPr>
          <w:rFonts w:ascii="Courier New" w:cs="Courier New" w:eastAsia="Courier New" w:hAnsi="Courier New"/>
          <w:sz w:val="18"/>
          <w:szCs w:val="18"/>
        </w:rPr>
        <w:t xml:space="preserve">def price_claim_from_context(self, ctx: ClaimPricingContext) -&gt; ClaimPricingResult:</w:t>
      </w:r>
    </w:p>
    <w:p>
      <w:pPr>
        <w:shd w:fill="F4F4F4" w:val="clear"/>
        <w:spacing w:after="0" w:before="0"/>
        <w:ind w:left="360"/>
      </w:pPr>
      <w:r>
        <w:rPr>
          <w:rFonts w:ascii="Courier New" w:cs="Courier New" w:eastAsia="Courier New" w:hAnsi="Courier New"/>
          <w:sz w:val="18"/>
          <w:szCs w:val="18"/>
        </w:rPr>
        <w:t xml:space="preserve">    return self.price_claim(</w:t>
      </w:r>
    </w:p>
    <w:p>
      <w:pPr>
        <w:shd w:fill="F4F4F4" w:val="clear"/>
        <w:spacing w:after="0" w:before="0"/>
        <w:ind w:left="360"/>
      </w:pPr>
      <w:r>
        <w:rPr>
          <w:rFonts w:ascii="Courier New" w:cs="Courier New" w:eastAsia="Courier New" w:hAnsi="Courier New"/>
          <w:sz w:val="18"/>
          <w:szCs w:val="18"/>
        </w:rPr>
        <w:t xml:space="preserve">        contract_id=ctx.contract_id,</w:t>
      </w:r>
    </w:p>
    <w:p>
      <w:pPr>
        <w:shd w:fill="F4F4F4" w:val="clear"/>
        <w:spacing w:after="0" w:before="0"/>
        <w:ind w:left="360"/>
      </w:pPr>
      <w:r>
        <w:rPr>
          <w:rFonts w:ascii="Courier New" w:cs="Courier New" w:eastAsia="Courier New" w:hAnsi="Courier New"/>
          <w:sz w:val="18"/>
          <w:szCs w:val="18"/>
        </w:rPr>
        <w:t xml:space="preserve">        lines=ctx.lines,</w:t>
      </w:r>
    </w:p>
    <w:p>
      <w:pPr>
        <w:shd w:fill="F4F4F4" w:val="clear"/>
        <w:spacing w:after="0" w:before="0"/>
        <w:ind w:left="360"/>
      </w:pPr>
      <w:r>
        <w:rPr>
          <w:rFonts w:ascii="Courier New" w:cs="Courier New" w:eastAsia="Courier New" w:hAnsi="Courier New"/>
          <w:sz w:val="18"/>
          <w:szCs w:val="18"/>
        </w:rPr>
        <w:t xml:space="preserve">        service_date=ctx.service_date,</w:t>
      </w:r>
    </w:p>
    <w:p>
      <w:pPr>
        <w:shd w:fill="F4F4F4" w:val="clear"/>
        <w:spacing w:after="0" w:before="0"/>
        <w:ind w:left="360"/>
      </w:pPr>
      <w:r>
        <w:rPr>
          <w:rFonts w:ascii="Courier New" w:cs="Courier New" w:eastAsia="Courier New" w:hAnsi="Courier New"/>
          <w:sz w:val="18"/>
          <w:szCs w:val="18"/>
        </w:rPr>
        <w:t xml:space="preserve">        claim_type=ctx.claim_type,</w:t>
      </w:r>
    </w:p>
    <w:p>
      <w:pPr>
        <w:shd w:fill="F4F4F4" w:val="clear"/>
        <w:spacing w:after="0" w:before="0"/>
        <w:ind w:left="360"/>
      </w:pPr>
      <w:r>
        <w:rPr>
          <w:rFonts w:ascii="Courier New" w:cs="Courier New" w:eastAsia="Courier New" w:hAnsi="Courier New"/>
          <w:sz w:val="18"/>
          <w:szCs w:val="18"/>
        </w:rPr>
        <w:t xml:space="preserve">        product_id=ctx.member.product_id,</w:t>
      </w:r>
    </w:p>
    <w:p>
      <w:pPr>
        <w:shd w:fill="F4F4F4" w:val="clear"/>
        <w:spacing w:after="0" w:before="0"/>
        <w:ind w:left="360"/>
      </w:pPr>
      <w:r>
        <w:rPr>
          <w:rFonts w:ascii="Courier New" w:cs="Courier New" w:eastAsia="Courier New" w:hAnsi="Courier New"/>
          <w:sz w:val="18"/>
          <w:szCs w:val="18"/>
        </w:rPr>
        <w:t xml:space="preserve">        network_id=ctx.member.network_id,</w:t>
      </w:r>
    </w:p>
    <w:p>
      <w:pPr>
        <w:shd w:fill="F4F4F4" w:val="clear"/>
        <w:spacing w:after="0" w:before="0"/>
        <w:ind w:left="360"/>
      </w:pPr>
      <w:r>
        <w:rPr>
          <w:rFonts w:ascii="Courier New" w:cs="Courier New" w:eastAsia="Courier New" w:hAnsi="Courier New"/>
          <w:sz w:val="18"/>
          <w:szCs w:val="18"/>
        </w:rPr>
        <w:t xml:space="preserve">        network_tier=ctx.provider.network_tier,</w:t>
      </w:r>
    </w:p>
    <w:p>
      <w:pPr>
        <w:shd w:fill="F4F4F4" w:val="clear"/>
        <w:spacing w:after="0" w:before="0"/>
        <w:ind w:left="360"/>
      </w:pPr>
      <w:r>
        <w:rPr>
          <w:rFonts w:ascii="Courier New" w:cs="Courier New" w:eastAsia="Courier New" w:hAnsi="Courier New"/>
          <w:sz w:val="18"/>
          <w:szCs w:val="18"/>
        </w:rPr>
        <w:t xml:space="preserve">    )</w:t>
      </w:r>
    </w:p>
    <w:p>
      <w:pPr>
        <w:pageBreakBefore/>
      </w:pPr>
    </w:p>
    <w:p>
      <w:pPr>
        <w:pStyle w:val="Heading1"/>
        <w:spacing w:after="160" w:before="400"/>
      </w:pPr>
      <w:r>
        <w:rPr>
          <w:rFonts w:ascii="Arial" w:cs="Arial" w:eastAsia="Arial" w:hAnsi="Arial"/>
          <w:b/>
          <w:bCs/>
          <w:sz w:val="32"/>
          <w:szCs w:val="32"/>
        </w:rPr>
        <w:t xml:space="preserve">12. Build Strategy</w:t>
      </w:r>
    </w:p>
    <w:p>
      <w:pPr>
        <w:pStyle w:val="Heading2"/>
        <w:spacing w:after="120" w:before="280"/>
      </w:pPr>
      <w:r>
        <w:rPr>
          <w:rFonts w:ascii="Arial" w:cs="Arial" w:eastAsia="Arial" w:hAnsi="Arial"/>
          <w:b/>
          <w:bCs/>
          <w:sz w:val="26"/>
          <w:szCs w:val="26"/>
        </w:rPr>
        <w:t xml:space="preserve">12.1 Phase 0 — Architecture / Gap Assessment (Now — 1–2 Weeks)</w:t>
      </w:r>
    </w:p>
    <w:p>
      <w:pPr>
        <w:spacing w:after="100" w:before="60"/>
      </w:pPr>
      <w:r>
        <w:rPr>
          <w:rFonts w:ascii="Arial" w:cs="Arial" w:eastAsia="Arial" w:hAnsi="Arial"/>
          <w:b/>
          <w:bCs/>
          <w:sz w:val="22"/>
          <w:szCs w:val="22"/>
        </w:rPr>
        <w:t xml:space="preserve">Goals:</w:t>
      </w:r>
    </w:p>
    <w:p>
      <w:pPr>
        <w:pStyle w:val="ListParagraph"/>
        <w:numPr>
          <w:ilvl w:val="0"/>
          <w:numId w:val="2"/>
        </w:numPr>
        <w:spacing w:after="60" w:before="40"/>
      </w:pPr>
      <w:r>
        <w:rPr>
          <w:rFonts w:ascii="Arial" w:cs="Arial" w:eastAsia="Arial" w:hAnsi="Arial"/>
          <w:sz w:val="22"/>
          <w:szCs w:val="22"/>
        </w:rPr>
        <w:t xml:space="preserve">Document current data model gaps relative to this architecture</w:t>
      </w:r>
    </w:p>
    <w:p>
      <w:pPr>
        <w:pStyle w:val="ListParagraph"/>
        <w:numPr>
          <w:ilvl w:val="0"/>
          <w:numId w:val="2"/>
        </w:numPr>
        <w:spacing w:after="60" w:before="40"/>
      </w:pPr>
      <w:r>
        <w:rPr>
          <w:rFonts w:ascii="Arial" w:cs="Arial" w:eastAsia="Arial" w:hAnsi="Arial"/>
          <w:sz w:val="22"/>
          <w:szCs w:val="22"/>
        </w:rPr>
        <w:t xml:space="preserve">Confirm MySQL schema for new domains (run python manage.py check after adding models)</w:t>
      </w:r>
    </w:p>
    <w:p>
      <w:pPr>
        <w:pStyle w:val="ListParagraph"/>
        <w:numPr>
          <w:ilvl w:val="0"/>
          <w:numId w:val="2"/>
        </w:numPr>
        <w:spacing w:after="60" w:before="40"/>
      </w:pPr>
      <w:r>
        <w:rPr>
          <w:rFonts w:ascii="Arial" w:cs="Arial" w:eastAsia="Arial" w:hAnsi="Arial"/>
          <w:sz w:val="22"/>
          <w:szCs w:val="22"/>
        </w:rPr>
        <w:t xml:space="preserve">Disable and quarantine FEATURE_TIERED_RESOLUTION until Phase 4 (already is — leave it)</w:t>
      </w:r>
    </w:p>
    <w:p>
      <w:pPr>
        <w:pStyle w:val="ListParagraph"/>
        <w:numPr>
          <w:ilvl w:val="0"/>
          <w:numId w:val="2"/>
        </w:numPr>
        <w:spacing w:after="60" w:before="40"/>
      </w:pPr>
      <w:r>
        <w:rPr>
          <w:rFonts w:ascii="Arial" w:cs="Arial" w:eastAsia="Arial" w:hAnsi="Arial"/>
          <w:sz w:val="22"/>
          <w:szCs w:val="22"/>
        </w:rPr>
        <w:t xml:space="preserve">Replace print() statements in orchestrator.py with logging (1-hour task, zero risk)</w:t>
      </w:r>
    </w:p>
    <w:p>
      <w:pPr>
        <w:pStyle w:val="ListParagraph"/>
        <w:numPr>
          <w:ilvl w:val="0"/>
          <w:numId w:val="2"/>
        </w:numPr>
        <w:spacing w:after="60" w:before="40"/>
      </w:pPr>
      <w:r>
        <w:rPr>
          <w:rFonts w:ascii="Arial" w:cs="Arial" w:eastAsia="Arial" w:hAnsi="Arial"/>
          <w:sz w:val="22"/>
          <w:szCs w:val="22"/>
        </w:rPr>
        <w:t xml:space="preserve">Add ClaimPricingContext dataclass as a stub (no DB changes, no behavior changes)</w:t>
      </w:r>
    </w:p>
    <w:p>
      <w:pPr>
        <w:pStyle w:val="ListParagraph"/>
        <w:numPr>
          <w:ilvl w:val="0"/>
          <w:numId w:val="2"/>
        </w:numPr>
        <w:spacing w:after="60" w:before="40"/>
      </w:pPr>
      <w:r>
        <w:rPr>
          <w:rFonts w:ascii="Arial" w:cs="Arial" w:eastAsia="Arial" w:hAnsi="Arial"/>
          <w:sz w:val="22"/>
          <w:szCs w:val="22"/>
        </w:rPr>
        <w:t xml:space="preserve">Establish regression test baseline: all 43 test files must pass after every phase</w:t>
      </w:r>
    </w:p>
    <w:p>
      <w:pPr>
        <w:spacing w:after="100" w:before="60"/>
      </w:pPr>
      <w:r>
        <w:rPr>
          <w:rFonts w:ascii="Arial" w:cs="Arial" w:eastAsia="Arial" w:hAnsi="Arial"/>
          <w:b/>
          <w:bCs/>
          <w:sz w:val="22"/>
          <w:szCs w:val="22"/>
        </w:rPr>
        <w:t xml:space="preserve">Dependencies: </w:t>
      </w:r>
      <w:r>
        <w:rPr>
          <w:rFonts w:ascii="Arial" w:cs="Arial" w:eastAsia="Arial" w:hAnsi="Arial"/>
          <w:sz w:val="22"/>
          <w:szCs w:val="22"/>
        </w:rPr>
        <w:t xml:space="preserve">None</w:t>
      </w:r>
    </w:p>
    <w:p>
      <w:pPr>
        <w:spacing w:after="100" w:before="60"/>
      </w:pPr>
      <w:r>
        <w:rPr>
          <w:rFonts w:ascii="Arial" w:cs="Arial" w:eastAsia="Arial" w:hAnsi="Arial"/>
          <w:b/>
          <w:bCs/>
          <w:sz w:val="22"/>
          <w:szCs w:val="22"/>
        </w:rPr>
        <w:t xml:space="preserve">Risks: </w:t>
      </w:r>
      <w:r>
        <w:rPr>
          <w:rFonts w:ascii="Arial" w:cs="Arial" w:eastAsia="Arial" w:hAnsi="Arial"/>
          <w:sz w:val="22"/>
          <w:szCs w:val="22"/>
        </w:rPr>
        <w:t xml:space="preserve">None — purely additive and observational</w:t>
      </w:r>
    </w:p>
    <w:p>
      <w:pPr>
        <w:spacing w:after="100" w:before="60"/>
      </w:pPr>
      <w:r>
        <w:rPr>
          <w:rFonts w:ascii="Arial" w:cs="Arial" w:eastAsia="Arial" w:hAnsi="Arial"/>
          <w:b/>
          <w:bCs/>
          <w:sz w:val="22"/>
          <w:szCs w:val="22"/>
        </w:rPr>
        <w:t xml:space="preserve">Must not break: </w:t>
      </w:r>
      <w:r>
        <w:rPr>
          <w:rFonts w:ascii="Arial" w:cs="Arial" w:eastAsia="Arial" w:hAnsi="Arial"/>
          <w:sz w:val="22"/>
          <w:szCs w:val="22"/>
        </w:rPr>
        <w:t xml:space="preserve">All existing tests, all existing API endpoints</w:t>
      </w:r>
    </w:p>
    <w:p>
      <w:pPr>
        <w:spacing w:after="120" w:before="0"/>
      </w:pPr>
    </w:p>
    <w:p>
      <w:pPr>
        <w:pStyle w:val="Heading2"/>
        <w:spacing w:after="120" w:before="280"/>
      </w:pPr>
      <w:r>
        <w:rPr>
          <w:rFonts w:ascii="Arial" w:cs="Arial" w:eastAsia="Arial" w:hAnsi="Arial"/>
          <w:b/>
          <w:bCs/>
          <w:sz w:val="26"/>
          <w:szCs w:val="26"/>
        </w:rPr>
        <w:t xml:space="preserve">12.2 Phase 1 — Thin Provider and Network Domain (2–4 Weeks)</w:t>
      </w:r>
    </w:p>
    <w:p>
      <w:pPr>
        <w:spacing w:after="100" w:before="60"/>
      </w:pPr>
      <w:r>
        <w:rPr>
          <w:rFonts w:ascii="Arial" w:cs="Arial" w:eastAsia="Arial" w:hAnsi="Arial"/>
          <w:b/>
          <w:bCs/>
          <w:sz w:val="22"/>
          <w:szCs w:val="22"/>
        </w:rPr>
        <w:t xml:space="preserve">Goals:</w:t>
      </w:r>
    </w:p>
    <w:p>
      <w:pPr>
        <w:pStyle w:val="ListParagraph"/>
        <w:numPr>
          <w:ilvl w:val="0"/>
          <w:numId w:val="2"/>
        </w:numPr>
        <w:spacing w:after="60" w:before="40"/>
      </w:pPr>
      <w:r>
        <w:rPr>
          <w:rFonts w:ascii="Arial" w:cs="Arial" w:eastAsia="Arial" w:hAnsi="Arial"/>
          <w:sz w:val="22"/>
          <w:szCs w:val="22"/>
        </w:rPr>
        <w:t xml:space="preserve">Add Provider (NPI-1, specialty, taxonomy) model</w:t>
      </w:r>
    </w:p>
    <w:p>
      <w:pPr>
        <w:pStyle w:val="ListParagraph"/>
        <w:numPr>
          <w:ilvl w:val="0"/>
          <w:numId w:val="2"/>
        </w:numPr>
        <w:spacing w:after="60" w:before="40"/>
      </w:pPr>
      <w:r>
        <w:rPr>
          <w:rFonts w:ascii="Arial" w:cs="Arial" w:eastAsia="Arial" w:hAnsi="Arial"/>
          <w:sz w:val="22"/>
          <w:szCs w:val="22"/>
        </w:rPr>
        <w:t xml:space="preserve">Add Facility (NPI-2, facility_type, pos_codes, CCN) model</w:t>
      </w:r>
    </w:p>
    <w:p>
      <w:pPr>
        <w:pStyle w:val="ListParagraph"/>
        <w:numPr>
          <w:ilvl w:val="0"/>
          <w:numId w:val="2"/>
        </w:numPr>
        <w:spacing w:after="60" w:before="40"/>
      </w:pPr>
      <w:r>
        <w:rPr>
          <w:rFonts w:ascii="Arial" w:cs="Arial" w:eastAsia="Arial" w:hAnsi="Arial"/>
          <w:sz w:val="22"/>
          <w:szCs w:val="22"/>
        </w:rPr>
        <w:t xml:space="preserve">Add ProviderAffiliation (provider → org, role, effective_dates) model</w:t>
      </w:r>
    </w:p>
    <w:p>
      <w:pPr>
        <w:pStyle w:val="ListParagraph"/>
        <w:numPr>
          <w:ilvl w:val="0"/>
          <w:numId w:val="2"/>
        </w:numPr>
        <w:spacing w:after="60" w:before="40"/>
      </w:pPr>
      <w:r>
        <w:rPr>
          <w:rFonts w:ascii="Arial" w:cs="Arial" w:eastAsia="Arial" w:hAnsi="Arial"/>
          <w:sz w:val="22"/>
          <w:szCs w:val="22"/>
        </w:rPr>
        <w:t xml:space="preserve">Add Network model (wraps/replaces PayerNetwork via migration alias)</w:t>
      </w:r>
    </w:p>
    <w:p>
      <w:pPr>
        <w:pStyle w:val="ListParagraph"/>
        <w:numPr>
          <w:ilvl w:val="0"/>
          <w:numId w:val="2"/>
        </w:numPr>
        <w:spacing w:after="60" w:before="40"/>
      </w:pPr>
      <w:r>
        <w:rPr>
          <w:rFonts w:ascii="Arial" w:cs="Arial" w:eastAsia="Arial" w:hAnsi="Arial"/>
          <w:sz w:val="22"/>
          <w:szCs w:val="22"/>
        </w:rPr>
        <w:t xml:space="preserve">Add ProviderNetworkParticipation (org/provider → network, in/out, tier, dates) model</w:t>
      </w:r>
    </w:p>
    <w:p>
      <w:pPr>
        <w:pStyle w:val="ListParagraph"/>
        <w:numPr>
          <w:ilvl w:val="0"/>
          <w:numId w:val="2"/>
        </w:numPr>
        <w:spacing w:after="60" w:before="40"/>
      </w:pPr>
      <w:r>
        <w:rPr>
          <w:rFonts w:ascii="Arial" w:cs="Arial" w:eastAsia="Arial" w:hAnsi="Arial"/>
          <w:sz w:val="22"/>
          <w:szCs w:val="22"/>
        </w:rPr>
        <w:t xml:space="preserve">Add FacilityNetworkParticipation (facility → network, dates) model</w:t>
      </w:r>
    </w:p>
    <w:p>
      <w:pPr>
        <w:pStyle w:val="ListParagraph"/>
        <w:numPr>
          <w:ilvl w:val="0"/>
          <w:numId w:val="2"/>
        </w:numPr>
        <w:spacing w:after="60" w:before="40"/>
      </w:pPr>
      <w:r>
        <w:rPr>
          <w:rFonts w:ascii="Arial" w:cs="Arial" w:eastAsia="Arial" w:hAnsi="Arial"/>
          <w:sz w:val="22"/>
          <w:szCs w:val="22"/>
        </w:rPr>
        <w:t xml:space="preserve">Extend ProviderOrganization: add parent_org FK (nullable), org_type field</w:t>
      </w:r>
    </w:p>
    <w:p>
      <w:pPr>
        <w:pStyle w:val="ListParagraph"/>
        <w:numPr>
          <w:ilvl w:val="0"/>
          <w:numId w:val="2"/>
        </w:numPr>
        <w:spacing w:after="60" w:before="40"/>
      </w:pPr>
      <w:r>
        <w:rPr>
          <w:rFonts w:ascii="Arial" w:cs="Arial" w:eastAsia="Arial" w:hAnsi="Arial"/>
          <w:sz w:val="22"/>
          <w:szCs w:val="22"/>
        </w:rPr>
        <w:t xml:space="preserve">Add load_providers and load_facilities management commands</w:t>
      </w:r>
    </w:p>
    <w:p>
      <w:pPr>
        <w:pStyle w:val="ListParagraph"/>
        <w:numPr>
          <w:ilvl w:val="0"/>
          <w:numId w:val="2"/>
        </w:numPr>
        <w:spacing w:after="60" w:before="40"/>
      </w:pPr>
      <w:r>
        <w:rPr>
          <w:rFonts w:ascii="Arial" w:cs="Arial" w:eastAsia="Arial" w:hAnsi="Arial"/>
          <w:sz w:val="22"/>
          <w:szCs w:val="22"/>
        </w:rPr>
        <w:t xml:space="preserve">Add admin views for all new models</w:t>
      </w:r>
    </w:p>
    <w:p>
      <w:pPr>
        <w:spacing w:after="100" w:before="60"/>
      </w:pPr>
      <w:r>
        <w:rPr>
          <w:rFonts w:ascii="Arial" w:cs="Arial" w:eastAsia="Arial" w:hAnsi="Arial"/>
          <w:b/>
          <w:bCs/>
          <w:sz w:val="22"/>
          <w:szCs w:val="22"/>
        </w:rPr>
        <w:t xml:space="preserve">Dependencies: </w:t>
      </w:r>
      <w:r>
        <w:rPr>
          <w:rFonts w:ascii="Arial" w:cs="Arial" w:eastAsia="Arial" w:hAnsi="Arial"/>
          <w:sz w:val="22"/>
          <w:szCs w:val="22"/>
        </w:rPr>
        <w:t xml:space="preserve">None — purely additive models</w:t>
      </w:r>
    </w:p>
    <w:p>
      <w:pPr>
        <w:spacing w:after="100" w:before="60"/>
      </w:pPr>
      <w:r>
        <w:rPr>
          <w:rFonts w:ascii="Arial" w:cs="Arial" w:eastAsia="Arial" w:hAnsi="Arial"/>
          <w:b/>
          <w:bCs/>
          <w:sz w:val="22"/>
          <w:szCs w:val="22"/>
        </w:rPr>
        <w:t xml:space="preserve">Risks: </w:t>
      </w:r>
      <w:r>
        <w:rPr>
          <w:rFonts w:ascii="Arial" w:cs="Arial" w:eastAsia="Arial" w:hAnsi="Arial"/>
          <w:sz w:val="22"/>
          <w:szCs w:val="22"/>
        </w:rPr>
        <w:t xml:space="preserve">Migration of PayerNetwork references. Use a migration alias approach — keep PayerNetwork, add Network with a legacy_payer_network FK. Existing foreign keys are untouched.</w:t>
      </w:r>
    </w:p>
    <w:p>
      <w:pPr>
        <w:spacing w:after="100" w:before="60"/>
      </w:pPr>
      <w:r>
        <w:rPr>
          <w:rFonts w:ascii="Arial" w:cs="Arial" w:eastAsia="Arial" w:hAnsi="Arial"/>
          <w:b/>
          <w:bCs/>
          <w:sz w:val="22"/>
          <w:szCs w:val="22"/>
        </w:rPr>
        <w:t xml:space="preserve">Must not break: </w:t>
      </w:r>
      <w:r>
        <w:rPr>
          <w:rFonts w:ascii="Arial" w:cs="Arial" w:eastAsia="Arial" w:hAnsi="Arial"/>
          <w:sz w:val="22"/>
          <w:szCs w:val="22"/>
        </w:rPr>
        <w:t xml:space="preserve">All existing tests. PayerNetwork model and all its FK relationships must continue to work.</w:t>
      </w:r>
    </w:p>
    <w:p>
      <w:pPr>
        <w:spacing w:after="120" w:before="0"/>
      </w:pPr>
    </w:p>
    <w:p>
      <w:pPr>
        <w:pStyle w:val="Heading2"/>
        <w:spacing w:after="120" w:before="280"/>
      </w:pPr>
      <w:r>
        <w:rPr>
          <w:rFonts w:ascii="Arial" w:cs="Arial" w:eastAsia="Arial" w:hAnsi="Arial"/>
          <w:b/>
          <w:bCs/>
          <w:sz w:val="26"/>
          <w:szCs w:val="26"/>
        </w:rPr>
        <w:t xml:space="preserve">12.3 Phase 2 — Member, Product, LOB, Enrollment (2–3 Weeks)</w:t>
      </w:r>
    </w:p>
    <w:p>
      <w:pPr>
        <w:spacing w:after="100" w:before="60"/>
      </w:pPr>
      <w:r>
        <w:rPr>
          <w:rFonts w:ascii="Arial" w:cs="Arial" w:eastAsia="Arial" w:hAnsi="Arial"/>
          <w:b/>
          <w:bCs/>
          <w:sz w:val="22"/>
          <w:szCs w:val="22"/>
        </w:rPr>
        <w:t xml:space="preserve">Goals:</w:t>
      </w:r>
    </w:p>
    <w:p>
      <w:pPr>
        <w:pStyle w:val="ListParagraph"/>
        <w:numPr>
          <w:ilvl w:val="0"/>
          <w:numId w:val="2"/>
        </w:numPr>
        <w:spacing w:after="60" w:before="40"/>
      </w:pPr>
      <w:r>
        <w:rPr>
          <w:rFonts w:ascii="Arial" w:cs="Arial" w:eastAsia="Arial" w:hAnsi="Arial"/>
          <w:sz w:val="22"/>
          <w:szCs w:val="22"/>
        </w:rPr>
        <w:t xml:space="preserve">Add LineOfBusiness, Product, ProductNetworkConfig, Member, Enrollment models</w:t>
      </w:r>
    </w:p>
    <w:p>
      <w:pPr>
        <w:pStyle w:val="ListParagraph"/>
        <w:numPr>
          <w:ilvl w:val="0"/>
          <w:numId w:val="2"/>
        </w:numPr>
        <w:spacing w:after="60" w:before="40"/>
      </w:pPr>
      <w:r>
        <w:rPr>
          <w:rFonts w:ascii="Arial" w:cs="Arial" w:eastAsia="Arial" w:hAnsi="Arial"/>
          <w:sz w:val="22"/>
          <w:szCs w:val="22"/>
        </w:rPr>
        <w:t xml:space="preserve">Extend ClaimHeader with nullable FKs: billing_provider, rendering_provider, facility, member</w:t>
      </w:r>
    </w:p>
    <w:p>
      <w:pPr>
        <w:pStyle w:val="ListParagraph"/>
        <w:numPr>
          <w:ilvl w:val="0"/>
          <w:numId w:val="2"/>
        </w:numPr>
        <w:spacing w:after="60" w:before="40"/>
      </w:pPr>
      <w:r>
        <w:rPr>
          <w:rFonts w:ascii="Arial" w:cs="Arial" w:eastAsia="Arial" w:hAnsi="Arial"/>
          <w:sz w:val="22"/>
          <w:szCs w:val="22"/>
        </w:rPr>
        <w:t xml:space="preserve">Add ContractProductScope (contract → LOB/product scoping)</w:t>
      </w:r>
    </w:p>
    <w:p>
      <w:pPr>
        <w:spacing w:after="100" w:before="60"/>
      </w:pPr>
      <w:r>
        <w:rPr>
          <w:rFonts w:ascii="Arial" w:cs="Arial" w:eastAsia="Arial" w:hAnsi="Arial"/>
          <w:b/>
          <w:bCs/>
          <w:sz w:val="22"/>
          <w:szCs w:val="22"/>
        </w:rPr>
        <w:t xml:space="preserve">Dependencies: </w:t>
      </w:r>
      <w:r>
        <w:rPr>
          <w:rFonts w:ascii="Arial" w:cs="Arial" w:eastAsia="Arial" w:hAnsi="Arial"/>
          <w:sz w:val="22"/>
          <w:szCs w:val="22"/>
        </w:rPr>
        <w:t xml:space="preserve">Phase 1 (Provider, Facility, Network must exist)</w:t>
      </w:r>
    </w:p>
    <w:p>
      <w:pPr>
        <w:spacing w:after="100" w:before="60"/>
      </w:pPr>
      <w:r>
        <w:rPr>
          <w:rFonts w:ascii="Arial" w:cs="Arial" w:eastAsia="Arial" w:hAnsi="Arial"/>
          <w:b/>
          <w:bCs/>
          <w:sz w:val="22"/>
          <w:szCs w:val="22"/>
        </w:rPr>
        <w:t xml:space="preserve">Risks: </w:t>
      </w:r>
      <w:r>
        <w:rPr>
          <w:rFonts w:ascii="Arial" w:cs="Arial" w:eastAsia="Arial" w:hAnsi="Arial"/>
          <w:sz w:val="22"/>
          <w:szCs w:val="22"/>
        </w:rPr>
        <w:t xml:space="preserve">ClaimHeader extensions are nullable — backward compatible. Existing records have nulls in new FK columns; this is fine.</w:t>
      </w:r>
    </w:p>
    <w:p>
      <w:pPr>
        <w:spacing w:after="100" w:before="60"/>
      </w:pPr>
      <w:r>
        <w:rPr>
          <w:rFonts w:ascii="Arial" w:cs="Arial" w:eastAsia="Arial" w:hAnsi="Arial"/>
          <w:b/>
          <w:bCs/>
          <w:sz w:val="22"/>
          <w:szCs w:val="22"/>
        </w:rPr>
        <w:t xml:space="preserve">Must not break: </w:t>
      </w:r>
      <w:r>
        <w:rPr>
          <w:rFonts w:ascii="Arial" w:cs="Arial" w:eastAsia="Arial" w:hAnsi="Arial"/>
          <w:sz w:val="22"/>
          <w:szCs w:val="22"/>
        </w:rPr>
        <w:t xml:space="preserve">All existing tests. Do not add NOT NULL constraints to ClaimHeader extensions.</w:t>
      </w:r>
    </w:p>
    <w:p>
      <w:pPr>
        <w:spacing w:after="120" w:before="0"/>
      </w:pPr>
    </w:p>
    <w:p>
      <w:pPr>
        <w:pStyle w:val="Heading2"/>
        <w:spacing w:after="120" w:before="280"/>
      </w:pPr>
      <w:r>
        <w:rPr>
          <w:rFonts w:ascii="Arial" w:cs="Arial" w:eastAsia="Arial" w:hAnsi="Arial"/>
          <w:b/>
          <w:bCs/>
          <w:sz w:val="26"/>
          <w:szCs w:val="26"/>
        </w:rPr>
        <w:t xml:space="preserve">12.4 Phase 3 — Pricing Context Resolver (3–4 Weeks)</w:t>
      </w:r>
    </w:p>
    <w:p>
      <w:pPr>
        <w:spacing w:after="100" w:before="60"/>
      </w:pPr>
      <w:r>
        <w:rPr>
          <w:rFonts w:ascii="Arial" w:cs="Arial" w:eastAsia="Arial" w:hAnsi="Arial"/>
          <w:b/>
          <w:bCs/>
          <w:sz w:val="22"/>
          <w:szCs w:val="22"/>
        </w:rPr>
        <w:t xml:space="preserve">Goals:</w:t>
      </w:r>
    </w:p>
    <w:p>
      <w:pPr>
        <w:pStyle w:val="ListParagraph"/>
        <w:numPr>
          <w:ilvl w:val="0"/>
          <w:numId w:val="2"/>
        </w:numPr>
        <w:spacing w:after="60" w:before="40"/>
      </w:pPr>
      <w:r>
        <w:rPr>
          <w:rFonts w:ascii="Arial" w:cs="Arial" w:eastAsia="Arial" w:hAnsi="Arial"/>
          <w:sz w:val="22"/>
          <w:szCs w:val="22"/>
        </w:rPr>
        <w:t xml:space="preserve">Build core/services/pricing_context_resolver.py with ProviderResolver, MemberResolver, ContractResolver, ContextBuilder, OONHandler</w:t>
      </w:r>
    </w:p>
    <w:p>
      <w:pPr>
        <w:pStyle w:val="ListParagraph"/>
        <w:numPr>
          <w:ilvl w:val="0"/>
          <w:numId w:val="2"/>
        </w:numPr>
        <w:spacing w:after="60" w:before="40"/>
      </w:pPr>
      <w:r>
        <w:rPr>
          <w:rFonts w:ascii="Arial" w:cs="Arial" w:eastAsia="Arial" w:hAnsi="Arial"/>
          <w:sz w:val="22"/>
          <w:szCs w:val="22"/>
        </w:rPr>
        <w:t xml:space="preserve">Add new API endpoints: POST /api/reprice-claim/, POST /api/price-claim-by-provider/, GET /api/resolve-context/</w:t>
      </w:r>
    </w:p>
    <w:p>
      <w:pPr>
        <w:pStyle w:val="ListParagraph"/>
        <w:numPr>
          <w:ilvl w:val="0"/>
          <w:numId w:val="2"/>
        </w:numPr>
        <w:spacing w:after="60" w:before="40"/>
      </w:pPr>
      <w:r>
        <w:rPr>
          <w:rFonts w:ascii="Arial" w:cs="Arial" w:eastAsia="Arial" w:hAnsi="Arial"/>
          <w:sz w:val="22"/>
          <w:szCs w:val="22"/>
        </w:rPr>
        <w:t xml:space="preserve">Existing endpoints continue to work unchanged</w:t>
      </w:r>
    </w:p>
    <w:p>
      <w:pPr>
        <w:spacing w:after="100" w:before="60"/>
      </w:pPr>
      <w:r>
        <w:rPr>
          <w:rFonts w:ascii="Arial" w:cs="Arial" w:eastAsia="Arial" w:hAnsi="Arial"/>
          <w:b/>
          <w:bCs/>
          <w:sz w:val="22"/>
          <w:szCs w:val="22"/>
        </w:rPr>
        <w:t xml:space="preserve">Dependencies: </w:t>
      </w:r>
      <w:r>
        <w:rPr>
          <w:rFonts w:ascii="Arial" w:cs="Arial" w:eastAsia="Arial" w:hAnsi="Arial"/>
          <w:sz w:val="22"/>
          <w:szCs w:val="22"/>
        </w:rPr>
        <w:t xml:space="preserve">Phase 1 + Phase 2</w:t>
      </w:r>
    </w:p>
    <w:p>
      <w:pPr>
        <w:spacing w:after="100" w:before="60"/>
      </w:pPr>
      <w:r>
        <w:rPr>
          <w:rFonts w:ascii="Arial" w:cs="Arial" w:eastAsia="Arial" w:hAnsi="Arial"/>
          <w:b/>
          <w:bCs/>
          <w:sz w:val="22"/>
          <w:szCs w:val="22"/>
        </w:rPr>
        <w:t xml:space="preserve">Risks: </w:t>
      </w:r>
      <w:r>
        <w:rPr>
          <w:rFonts w:ascii="Arial" w:cs="Arial" w:eastAsia="Arial" w:hAnsi="Arial"/>
          <w:sz w:val="22"/>
          <w:szCs w:val="22"/>
        </w:rPr>
        <w:t xml:space="preserve">Contract resolution may find multiple candidates. Implement a deterministic tie-breaking rule: prefer most-specific scope (LOB + product &gt; LOB-only &gt; no scope). Log all candidates for audit.</w:t>
      </w:r>
    </w:p>
    <w:p>
      <w:pPr>
        <w:spacing w:after="100" w:before="60"/>
      </w:pPr>
      <w:r>
        <w:rPr>
          <w:rFonts w:ascii="Arial" w:cs="Arial" w:eastAsia="Arial" w:hAnsi="Arial"/>
          <w:b/>
          <w:bCs/>
          <w:sz w:val="22"/>
          <w:szCs w:val="22"/>
        </w:rPr>
        <w:t xml:space="preserve">Must not break: </w:t>
      </w:r>
      <w:r>
        <w:rPr>
          <w:rFonts w:ascii="Arial" w:cs="Arial" w:eastAsia="Arial" w:hAnsi="Arial"/>
          <w:sz w:val="22"/>
          <w:szCs w:val="22"/>
        </w:rPr>
        <w:t xml:space="preserve">Existing /api/price-claim/ and /api/price-line/ — these bypass the resolver entirely and continue to take contract_id directly.</w:t>
      </w:r>
    </w:p>
    <w:p>
      <w:pPr>
        <w:spacing w:after="120" w:before="0"/>
      </w:pPr>
    </w:p>
    <w:p>
      <w:pPr>
        <w:pStyle w:val="Heading2"/>
        <w:spacing w:after="120" w:before="280"/>
      </w:pPr>
      <w:r>
        <w:rPr>
          <w:rFonts w:ascii="Arial" w:cs="Arial" w:eastAsia="Arial" w:hAnsi="Arial"/>
          <w:b/>
          <w:bCs/>
          <w:sz w:val="26"/>
          <w:szCs w:val="26"/>
        </w:rPr>
        <w:t xml:space="preserve">12.5 Phase 4 — Product/Network-Aware Pricing Resolution (2–3 Weeks)</w:t>
      </w:r>
    </w:p>
    <w:p>
      <w:pPr>
        <w:spacing w:after="100" w:before="60"/>
      </w:pPr>
      <w:r>
        <w:rPr>
          <w:rFonts w:ascii="Arial" w:cs="Arial" w:eastAsia="Arial" w:hAnsi="Arial"/>
          <w:b/>
          <w:bCs/>
          <w:sz w:val="22"/>
          <w:szCs w:val="22"/>
        </w:rPr>
        <w:t xml:space="preserve">Goals:</w:t>
      </w:r>
    </w:p>
    <w:p>
      <w:pPr>
        <w:pStyle w:val="ListParagraph"/>
        <w:numPr>
          <w:ilvl w:val="0"/>
          <w:numId w:val="2"/>
        </w:numPr>
        <w:spacing w:after="60" w:before="40"/>
      </w:pPr>
      <w:r>
        <w:rPr>
          <w:rFonts w:ascii="Arial" w:cs="Arial" w:eastAsia="Arial" w:hAnsi="Arial"/>
          <w:sz w:val="22"/>
          <w:szCs w:val="22"/>
        </w:rPr>
        <w:t xml:space="preserve">Enable FEATURE_TIERED_RESOLUTION — pass real product_id and network_id from ClaimPricingContext into PricingDataLoader</w:t>
      </w:r>
    </w:p>
    <w:p>
      <w:pPr>
        <w:pStyle w:val="ListParagraph"/>
        <w:numPr>
          <w:ilvl w:val="0"/>
          <w:numId w:val="2"/>
        </w:numPr>
        <w:spacing w:after="60" w:before="40"/>
      </w:pPr>
      <w:r>
        <w:rPr>
          <w:rFonts w:ascii="Arial" w:cs="Arial" w:eastAsia="Arial" w:hAnsi="Arial"/>
          <w:sz w:val="22"/>
          <w:szCs w:val="22"/>
        </w:rPr>
        <w:t xml:space="preserve">Implement OON pricing path: if network_status = OUT_OF_NETWORK, resolve OON contract or apply UCR logic</w:t>
      </w:r>
    </w:p>
    <w:p>
      <w:pPr>
        <w:pStyle w:val="ListParagraph"/>
        <w:numPr>
          <w:ilvl w:val="0"/>
          <w:numId w:val="2"/>
        </w:numPr>
        <w:spacing w:after="60" w:before="40"/>
      </w:pPr>
      <w:r>
        <w:rPr>
          <w:rFonts w:ascii="Arial" w:cs="Arial" w:eastAsia="Arial" w:hAnsi="Arial"/>
          <w:sz w:val="22"/>
          <w:szCs w:val="22"/>
        </w:rPr>
        <w:t xml:space="preserve">Add ContractProductScope population for all existing contracts (admin UI + bulk import)</w:t>
      </w:r>
    </w:p>
    <w:p>
      <w:pPr>
        <w:pStyle w:val="ListParagraph"/>
        <w:numPr>
          <w:ilvl w:val="0"/>
          <w:numId w:val="2"/>
        </w:numPr>
        <w:spacing w:after="60" w:before="40"/>
      </w:pPr>
      <w:r>
        <w:rPr>
          <w:rFonts w:ascii="Arial" w:cs="Arial" w:eastAsia="Arial" w:hAnsi="Arial"/>
          <w:sz w:val="22"/>
          <w:szCs w:val="22"/>
        </w:rPr>
        <w:t xml:space="preserve">Add batch repricing endpoint with context resolution: POST /api/reprice-batch/</w:t>
      </w:r>
    </w:p>
    <w:p>
      <w:pPr>
        <w:pStyle w:val="ListParagraph"/>
        <w:numPr>
          <w:ilvl w:val="0"/>
          <w:numId w:val="2"/>
        </w:numPr>
        <w:spacing w:after="60" w:before="40"/>
      </w:pPr>
      <w:r>
        <w:rPr>
          <w:rFonts w:ascii="Arial" w:cs="Arial" w:eastAsia="Arial" w:hAnsi="Arial"/>
          <w:sz w:val="22"/>
          <w:szCs w:val="22"/>
        </w:rPr>
        <w:t xml:space="preserve">Add scenario storage: PricingScenario model to save + compare repricing runs</w:t>
      </w:r>
    </w:p>
    <w:p>
      <w:pPr>
        <w:spacing w:after="100" w:before="60"/>
      </w:pPr>
      <w:r>
        <w:rPr>
          <w:rFonts w:ascii="Arial" w:cs="Arial" w:eastAsia="Arial" w:hAnsi="Arial"/>
          <w:b/>
          <w:bCs/>
          <w:sz w:val="22"/>
          <w:szCs w:val="22"/>
        </w:rPr>
        <w:t xml:space="preserve">Dependencies: </w:t>
      </w:r>
      <w:r>
        <w:rPr>
          <w:rFonts w:ascii="Arial" w:cs="Arial" w:eastAsia="Arial" w:hAnsi="Arial"/>
          <w:sz w:val="22"/>
          <w:szCs w:val="22"/>
        </w:rPr>
        <w:t xml:space="preserve">Phase 3 (resolver must be working)</w:t>
      </w:r>
    </w:p>
    <w:p>
      <w:pPr>
        <w:spacing w:after="100" w:before="60"/>
      </w:pPr>
      <w:r>
        <w:rPr>
          <w:rFonts w:ascii="Arial" w:cs="Arial" w:eastAsia="Arial" w:hAnsi="Arial"/>
          <w:b/>
          <w:bCs/>
          <w:sz w:val="22"/>
          <w:szCs w:val="22"/>
        </w:rPr>
        <w:t xml:space="preserve">Risks: </w:t>
      </w:r>
      <w:r>
        <w:rPr>
          <w:rFonts w:ascii="Arial" w:cs="Arial" w:eastAsia="Arial" w:hAnsi="Arial"/>
          <w:sz w:val="22"/>
          <w:szCs w:val="22"/>
        </w:rPr>
        <w:t xml:space="preserve">Enabling tiered resolution changes pricing output for contracts that have TierMultiplier records. Run full test suite + create a comparison test that prices the same claim before and after enabling the flag and asserts no change for contracts without TierMultiplier.</w:t>
      </w:r>
    </w:p>
    <w:p>
      <w:pPr>
        <w:spacing w:after="100" w:before="60"/>
      </w:pPr>
      <w:r>
        <w:rPr>
          <w:rFonts w:ascii="Arial" w:cs="Arial" w:eastAsia="Arial" w:hAnsi="Arial"/>
          <w:b/>
          <w:bCs/>
          <w:sz w:val="22"/>
          <w:szCs w:val="22"/>
        </w:rPr>
        <w:t xml:space="preserve">Must not break: </w:t>
      </w:r>
      <w:r>
        <w:rPr>
          <w:rFonts w:ascii="Arial" w:cs="Arial" w:eastAsia="Arial" w:hAnsi="Arial"/>
          <w:sz w:val="22"/>
          <w:szCs w:val="22"/>
        </w:rPr>
        <w:t xml:space="preserve">All existing behavior for contracts without TierMultiplier records.</w:t>
      </w:r>
    </w:p>
    <w:p>
      <w:pPr>
        <w:spacing w:after="120" w:before="0"/>
      </w:pPr>
    </w:p>
    <w:p>
      <w:pPr>
        <w:pStyle w:val="Heading2"/>
        <w:spacing w:after="120" w:before="280"/>
      </w:pPr>
      <w:r>
        <w:rPr>
          <w:rFonts w:ascii="Arial" w:cs="Arial" w:eastAsia="Arial" w:hAnsi="Arial"/>
          <w:b/>
          <w:bCs/>
          <w:sz w:val="26"/>
          <w:szCs w:val="26"/>
        </w:rPr>
        <w:t xml:space="preserve">12.6 Phase 5 — Future Enterprise Features (Ongoing)</w:t>
      </w:r>
    </w:p>
    <w:p>
      <w:pPr>
        <w:spacing w:after="100" w:before="60"/>
      </w:pPr>
      <w:r>
        <w:rPr>
          <w:rFonts w:ascii="Arial" w:cs="Arial" w:eastAsia="Arial" w:hAnsi="Arial"/>
          <w:b/>
          <w:bCs/>
          <w:sz w:val="22"/>
          <w:szCs w:val="22"/>
        </w:rPr>
        <w:t xml:space="preserve">Goals:</w:t>
      </w:r>
    </w:p>
    <w:p>
      <w:pPr>
        <w:pStyle w:val="ListParagraph"/>
        <w:numPr>
          <w:ilvl w:val="0"/>
          <w:numId w:val="2"/>
        </w:numPr>
        <w:spacing w:after="60" w:before="40"/>
      </w:pPr>
      <w:r>
        <w:rPr>
          <w:rFonts w:ascii="Arial" w:cs="Arial" w:eastAsia="Arial" w:hAnsi="Arial"/>
          <w:sz w:val="22"/>
          <w:szCs w:val="22"/>
        </w:rPr>
        <w:t xml:space="preserve">837 EDI ingestion (parser → ClaimHeader with provider/member FKs)</w:t>
      </w:r>
    </w:p>
    <w:p>
      <w:pPr>
        <w:pStyle w:val="ListParagraph"/>
        <w:numPr>
          <w:ilvl w:val="0"/>
          <w:numId w:val="2"/>
        </w:numPr>
        <w:spacing w:after="60" w:before="40"/>
      </w:pPr>
      <w:r>
        <w:rPr>
          <w:rFonts w:ascii="Arial" w:cs="Arial" w:eastAsia="Arial" w:hAnsi="Arial"/>
          <w:sz w:val="22"/>
          <w:szCs w:val="22"/>
        </w:rPr>
        <w:t xml:space="preserve">DRG grouper integration (ICD-10 → DRG)</w:t>
      </w:r>
    </w:p>
    <w:p>
      <w:pPr>
        <w:pStyle w:val="ListParagraph"/>
        <w:numPr>
          <w:ilvl w:val="0"/>
          <w:numId w:val="2"/>
        </w:numPr>
        <w:spacing w:after="60" w:before="40"/>
      </w:pPr>
      <w:r>
        <w:rPr>
          <w:rFonts w:ascii="Arial" w:cs="Arial" w:eastAsia="Arial" w:hAnsi="Arial"/>
          <w:sz w:val="22"/>
          <w:szCs w:val="22"/>
        </w:rPr>
        <w:t xml:space="preserve">Real-time eligibility hook</w:t>
      </w:r>
    </w:p>
    <w:p>
      <w:pPr>
        <w:pStyle w:val="ListParagraph"/>
        <w:numPr>
          <w:ilvl w:val="0"/>
          <w:numId w:val="2"/>
        </w:numPr>
        <w:spacing w:after="60" w:before="40"/>
      </w:pPr>
      <w:r>
        <w:rPr>
          <w:rFonts w:ascii="Arial" w:cs="Arial" w:eastAsia="Arial" w:hAnsi="Arial"/>
          <w:sz w:val="22"/>
          <w:szCs w:val="22"/>
        </w:rPr>
        <w:t xml:space="preserve">Multi-tenant isolation (row-level scoping by payer_org_id)</w:t>
      </w:r>
    </w:p>
    <w:p>
      <w:pPr>
        <w:pStyle w:val="ListParagraph"/>
        <w:numPr>
          <w:ilvl w:val="0"/>
          <w:numId w:val="2"/>
        </w:numPr>
        <w:spacing w:after="60" w:before="40"/>
      </w:pPr>
      <w:r>
        <w:rPr>
          <w:rFonts w:ascii="Arial" w:cs="Arial" w:eastAsia="Arial" w:hAnsi="Arial"/>
          <w:sz w:val="22"/>
          <w:szCs w:val="22"/>
        </w:rPr>
        <w:t xml:space="preserve">Provider portal / self-service read-only API</w:t>
      </w:r>
    </w:p>
    <w:p>
      <w:pPr>
        <w:pStyle w:val="ListParagraph"/>
        <w:numPr>
          <w:ilvl w:val="0"/>
          <w:numId w:val="2"/>
        </w:numPr>
        <w:spacing w:after="60" w:before="40"/>
      </w:pPr>
      <w:r>
        <w:rPr>
          <w:rFonts w:ascii="Arial" w:cs="Arial" w:eastAsia="Arial" w:hAnsi="Arial"/>
          <w:sz w:val="22"/>
          <w:szCs w:val="22"/>
        </w:rPr>
        <w:t xml:space="preserve">Analytics / repricing BI (dbt layer over pricing_audit table)</w:t>
      </w:r>
    </w:p>
    <w:p>
      <w:pPr>
        <w:pStyle w:val="ListParagraph"/>
        <w:numPr>
          <w:ilvl w:val="0"/>
          <w:numId w:val="2"/>
        </w:numPr>
        <w:spacing w:after="60" w:before="40"/>
      </w:pPr>
      <w:r>
        <w:rPr>
          <w:rFonts w:ascii="Arial" w:cs="Arial" w:eastAsia="Arial" w:hAnsi="Arial"/>
          <w:sz w:val="22"/>
          <w:szCs w:val="22"/>
        </w:rPr>
        <w:t xml:space="preserve">Full provider credentialing system (separate Django app)</w:t>
      </w:r>
    </w:p>
    <w:p>
      <w:pPr>
        <w:spacing w:after="100" w:before="60"/>
      </w:pPr>
      <w:r>
        <w:rPr>
          <w:rFonts w:ascii="Arial" w:cs="Arial" w:eastAsia="Arial" w:hAnsi="Arial"/>
          <w:b/>
          <w:bCs/>
          <w:sz w:val="22"/>
          <w:szCs w:val="22"/>
        </w:rPr>
        <w:t xml:space="preserve">Dependencies: </w:t>
      </w:r>
      <w:r>
        <w:rPr>
          <w:rFonts w:ascii="Arial" w:cs="Arial" w:eastAsia="Arial" w:hAnsi="Arial"/>
          <w:sz w:val="22"/>
          <w:szCs w:val="22"/>
        </w:rPr>
        <w:t xml:space="preserve">Phase 3 or Phase 4 depending on feature</w:t>
      </w:r>
    </w:p>
    <w:p>
      <w:pPr>
        <w:spacing w:after="100" w:before="60"/>
      </w:pPr>
      <w:r>
        <w:rPr>
          <w:rFonts w:ascii="Arial" w:cs="Arial" w:eastAsia="Arial" w:hAnsi="Arial"/>
          <w:b/>
          <w:bCs/>
          <w:sz w:val="22"/>
          <w:szCs w:val="22"/>
        </w:rPr>
        <w:t xml:space="preserve">Risks: </w:t>
      </w:r>
      <w:r>
        <w:rPr>
          <w:rFonts w:ascii="Arial" w:cs="Arial" w:eastAsia="Arial" w:hAnsi="Arial"/>
          <w:sz w:val="22"/>
          <w:szCs w:val="22"/>
        </w:rPr>
        <w:t xml:space="preserve">Each feature in Phase 5 is independent. Tackle based on business priority. None of these block core pricing functionality.</w:t>
      </w:r>
    </w:p>
    <w:p>
      <w:pPr>
        <w:spacing w:after="100" w:before="60"/>
      </w:pPr>
      <w:r>
        <w:rPr>
          <w:rFonts w:ascii="Arial" w:cs="Arial" w:eastAsia="Arial" w:hAnsi="Arial"/>
          <w:b/>
          <w:bCs/>
          <w:sz w:val="22"/>
          <w:szCs w:val="22"/>
        </w:rPr>
        <w:t xml:space="preserve">Must not break: </w:t>
      </w:r>
      <w:r>
        <w:rPr>
          <w:rFonts w:ascii="Arial" w:cs="Arial" w:eastAsia="Arial" w:hAnsi="Arial"/>
          <w:sz w:val="22"/>
          <w:szCs w:val="22"/>
        </w:rPr>
        <w:t xml:space="preserve">All existing functionality — Phase 5 features are purely additive.</w:t>
      </w:r>
    </w:p>
    <w:p>
      <w:pPr>
        <w:spacing w:after="120" w:before="0"/>
      </w:pPr>
    </w:p>
    <w:p>
      <w:pPr>
        <w:pageBreakBefore/>
      </w:pPr>
    </w:p>
    <w:p>
      <w:pPr>
        <w:pStyle w:val="Heading1"/>
        <w:spacing w:after="160" w:before="400"/>
      </w:pPr>
      <w:r>
        <w:rPr>
          <w:rFonts w:ascii="Arial" w:cs="Arial" w:eastAsia="Arial" w:hAnsi="Arial"/>
          <w:b/>
          <w:bCs/>
          <w:sz w:val="32"/>
          <w:szCs w:val="32"/>
        </w:rPr>
        <w:t xml:space="preserve">13. Risks and Tradeoffs</w:t>
      </w:r>
    </w:p>
    <w:p>
      <w:pPr>
        <w:pStyle w:val="Heading2"/>
        <w:spacing w:after="120" w:before="280"/>
      </w:pPr>
      <w:r>
        <w:rPr>
          <w:rFonts w:ascii="Arial" w:cs="Arial" w:eastAsia="Arial" w:hAnsi="Arial"/>
          <w:b/>
          <w:bCs/>
          <w:sz w:val="26"/>
          <w:szCs w:val="26"/>
        </w:rPr>
        <w:t xml:space="preserve">13.1 Risk: Over-Engineering</w:t>
      </w:r>
    </w:p>
    <w:p>
      <w:pPr>
        <w:spacing w:after="100" w:before="60"/>
      </w:pPr>
      <w:r>
        <w:rPr>
          <w:rFonts w:ascii="Arial" w:cs="Arial" w:eastAsia="Arial" w:hAnsi="Arial"/>
          <w:sz w:val="22"/>
          <w:szCs w:val="22"/>
        </w:rPr>
        <w:t xml:space="preserve">Concern: Adding member, product, network, and provider domains before they are needed creates maintenance burden without immediate value.</w:t>
      </w:r>
    </w:p>
    <w:p>
      <w:pPr>
        <w:spacing w:after="100" w:before="60"/>
      </w:pPr>
      <w:r>
        <w:rPr>
          <w:rFonts w:ascii="Arial" w:cs="Arial" w:eastAsia="Arial" w:hAnsi="Arial"/>
          <w:sz w:val="22"/>
          <w:szCs w:val="22"/>
        </w:rPr>
        <w:t xml:space="preserve">Mitigation: Phase 1–2 are thin models (12 tables total, no complex logic). The resolver in Phase 3 is a read-only service — it does not touch the pricing engine. The total code addition through Phase 3 is smaller than the existing core/models.py.</w:t>
      </w:r>
    </w:p>
    <w:p>
      <w:pPr>
        <w:spacing w:after="100" w:before="60"/>
      </w:pPr>
      <w:r>
        <w:rPr>
          <w:rFonts w:ascii="Arial" w:cs="Arial" w:eastAsia="Arial" w:hAnsi="Arial"/>
          <w:sz w:val="22"/>
          <w:szCs w:val="22"/>
        </w:rPr>
        <w:t xml:space="preserve">Stop condition: If after Phase 1 there is no real member/enrollment data to populate the new models, delay Phase 2 and continue with direct contract_id pricing.</w:t>
      </w:r>
    </w:p>
    <w:p>
      <w:pPr>
        <w:pStyle w:val="Heading2"/>
        <w:spacing w:after="120" w:before="280"/>
      </w:pPr>
      <w:r>
        <w:rPr>
          <w:rFonts w:ascii="Arial" w:cs="Arial" w:eastAsia="Arial" w:hAnsi="Arial"/>
          <w:b/>
          <w:bCs/>
          <w:sz w:val="26"/>
          <w:szCs w:val="26"/>
        </w:rPr>
        <w:t xml:space="preserve">13.2 Risk: Under-Modeling Provider</w:t>
      </w:r>
    </w:p>
    <w:p>
      <w:pPr>
        <w:spacing w:after="100" w:before="60"/>
      </w:pPr>
      <w:r>
        <w:rPr>
          <w:rFonts w:ascii="Arial" w:cs="Arial" w:eastAsia="Arial" w:hAnsi="Arial"/>
          <w:sz w:val="22"/>
          <w:szCs w:val="22"/>
        </w:rPr>
        <w:t xml:space="preserve">Concern: A thin provider model that only stores NPI + specialty will break the moment real-world claims arrive with group billing NPIs, locum tenens physicians, or multi-specialty groups.</w:t>
      </w:r>
    </w:p>
    <w:p>
      <w:pPr>
        <w:spacing w:after="100" w:before="60"/>
      </w:pPr>
      <w:r>
        <w:rPr>
          <w:rFonts w:ascii="Arial" w:cs="Arial" w:eastAsia="Arial" w:hAnsi="Arial"/>
          <w:sz w:val="22"/>
          <w:szCs w:val="22"/>
        </w:rPr>
        <w:t xml:space="preserve">Mitigation: The affiliation model (Phase 1) handles all of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7c2d1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7c2d1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How the model handles it</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Group billing NPI</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ProviderOrganization (already exists)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Individual rendering NPI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(new) — linked via ProviderAffiliation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Locum tenens</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ProviderAffiliation with role=LOCUM, time-bounded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Multi-specialty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Multiple ProviderAffiliation records, each with specialty scope</w:t>
            </w:r>
          </w:p>
        </w:tc>
      </w:tr>
    </w:tbl>
    <w:p>
      <w:pPr>
        <w:pStyle w:val="Heading2"/>
        <w:spacing w:after="120" w:before="280"/>
      </w:pPr>
      <w:r>
        <w:rPr>
          <w:rFonts w:ascii="Arial" w:cs="Arial" w:eastAsia="Arial" w:hAnsi="Arial"/>
          <w:b/>
          <w:bCs/>
          <w:sz w:val="26"/>
          <w:szCs w:val="26"/>
        </w:rPr>
        <w:t xml:space="preserve">13.3 Risk: Breaking Current Pricing Behavior</w:t>
      </w:r>
    </w:p>
    <w:p>
      <w:pPr>
        <w:spacing w:after="100" w:before="60"/>
      </w:pPr>
      <w:r>
        <w:rPr>
          <w:rFonts w:ascii="Arial" w:cs="Arial" w:eastAsia="Arial" w:hAnsi="Arial"/>
          <w:sz w:val="22"/>
          <w:szCs w:val="22"/>
        </w:rPr>
        <w:t xml:space="preserve">Concern: Any change to the pricing engine could break the 43 existing tests and invalidate the established pricing logic.</w:t>
      </w:r>
    </w:p>
    <w:p>
      <w:pPr>
        <w:spacing w:after="100" w:before="60"/>
      </w:pPr>
      <w:r>
        <w:rPr>
          <w:rFonts w:ascii="Arial" w:cs="Arial" w:eastAsia="Arial" w:hAnsi="Arial"/>
          <w:sz w:val="22"/>
          <w:szCs w:val="22"/>
        </w:rPr>
        <w:t xml:space="preserve">Mitigation: The rule is simple — do not touch core/engine/. All new code is in:</w:t>
      </w:r>
    </w:p>
    <w:p>
      <w:pPr>
        <w:pStyle w:val="ListParagraph"/>
        <w:numPr>
          <w:ilvl w:val="0"/>
          <w:numId w:val="2"/>
        </w:numPr>
        <w:spacing w:after="60" w:before="40"/>
      </w:pPr>
      <w:r>
        <w:rPr>
          <w:rFonts w:ascii="Arial" w:cs="Arial" w:eastAsia="Arial" w:hAnsi="Arial"/>
          <w:sz w:val="22"/>
          <w:szCs w:val="22"/>
        </w:rPr>
        <w:t xml:space="preserve">core/services/pricing_context_resolver.py (new file)</w:t>
      </w:r>
    </w:p>
    <w:p>
      <w:pPr>
        <w:pStyle w:val="ListParagraph"/>
        <w:numPr>
          <w:ilvl w:val="0"/>
          <w:numId w:val="2"/>
        </w:numPr>
        <w:spacing w:after="60" w:before="40"/>
      </w:pPr>
      <w:r>
        <w:rPr>
          <w:rFonts w:ascii="Arial" w:cs="Arial" w:eastAsia="Arial" w:hAnsi="Arial"/>
          <w:sz w:val="22"/>
          <w:szCs w:val="22"/>
        </w:rPr>
        <w:t xml:space="preserve">core/models.py (additive FK fields, nullable)</w:t>
      </w:r>
    </w:p>
    <w:p>
      <w:pPr>
        <w:pStyle w:val="ListParagraph"/>
        <w:numPr>
          <w:ilvl w:val="0"/>
          <w:numId w:val="2"/>
        </w:numPr>
        <w:spacing w:after="60" w:before="40"/>
      </w:pPr>
      <w:r>
        <w:rPr>
          <w:rFonts w:ascii="Arial" w:cs="Arial" w:eastAsia="Arial" w:hAnsi="Arial"/>
          <w:sz w:val="22"/>
          <w:szCs w:val="22"/>
        </w:rPr>
        <w:t xml:space="preserve">New API views (additive)</w:t>
      </w:r>
    </w:p>
    <w:p>
      <w:pPr>
        <w:spacing w:after="100" w:before="60"/>
      </w:pPr>
      <w:r>
        <w:rPr>
          <w:rFonts w:ascii="Arial" w:cs="Arial" w:eastAsia="Arial" w:hAnsi="Arial"/>
          <w:sz w:val="22"/>
          <w:szCs w:val="22"/>
        </w:rPr>
        <w:t xml:space="preserve">The only change to existing engine files is ClaimPricingInput — adding nullable optional fields. These fields are ignored by all existing code paths that do not set them.</w:t>
      </w:r>
    </w:p>
    <w:p>
      <w:pPr>
        <w:spacing w:after="100" w:before="60"/>
      </w:pPr>
      <w:r>
        <w:rPr>
          <w:rFonts w:ascii="Arial" w:cs="Arial" w:eastAsia="Arial" w:hAnsi="Arial"/>
          <w:sz w:val="22"/>
          <w:szCs w:val="22"/>
        </w:rPr>
        <w:t xml:space="preserve">Enforcement: The existing test suite is the guard. Run it before and after every PR. No phase merges without a green test suite.</w:t>
      </w:r>
    </w:p>
    <w:p>
      <w:pPr>
        <w:pStyle w:val="Heading2"/>
        <w:spacing w:after="120" w:before="280"/>
      </w:pPr>
      <w:r>
        <w:rPr>
          <w:rFonts w:ascii="Arial" w:cs="Arial" w:eastAsia="Arial" w:hAnsi="Arial"/>
          <w:b/>
          <w:bCs/>
          <w:sz w:val="26"/>
          <w:szCs w:val="26"/>
        </w:rPr>
        <w:t xml:space="preserve">13.4 Risk: Migration Risk</w:t>
      </w:r>
    </w:p>
    <w:p>
      <w:pPr>
        <w:spacing w:after="100" w:before="60"/>
      </w:pPr>
      <w:r>
        <w:rPr>
          <w:rFonts w:ascii="Arial" w:cs="Arial" w:eastAsia="Arial" w:hAnsi="Arial"/>
          <w:sz w:val="22"/>
          <w:szCs w:val="22"/>
        </w:rPr>
        <w:t xml:space="preserve">Concern: MySQL schema migrations on large production tables (ClaimHeader, PricingRule) are risky.</w:t>
      </w:r>
    </w:p>
    <w:p>
      <w:pPr>
        <w:spacing w:after="100" w:before="60"/>
      </w:pPr>
      <w:r>
        <w:rPr>
          <w:rFonts w:ascii="Arial" w:cs="Arial" w:eastAsia="Arial" w:hAnsi="Arial"/>
          <w:sz w:val="22"/>
          <w:szCs w:val="22"/>
        </w:rPr>
        <w:t xml:space="preserve">Mitigation:</w:t>
      </w:r>
    </w:p>
    <w:p>
      <w:pPr>
        <w:pStyle w:val="ListParagraph"/>
        <w:numPr>
          <w:ilvl w:val="0"/>
          <w:numId w:val="2"/>
        </w:numPr>
        <w:spacing w:after="60" w:before="40"/>
      </w:pPr>
      <w:r>
        <w:rPr>
          <w:rFonts w:ascii="Arial" w:cs="Arial" w:eastAsia="Arial" w:hAnsi="Arial"/>
          <w:sz w:val="22"/>
          <w:szCs w:val="22"/>
        </w:rPr>
        <w:t xml:space="preserve">All new FK columns on ClaimHeader are nullable — ALTER TABLE ADD COLUMN NULL is non-blocking in MySQL InnoDB with no table lock</w:t>
      </w:r>
    </w:p>
    <w:p>
      <w:pPr>
        <w:pStyle w:val="ListParagraph"/>
        <w:numPr>
          <w:ilvl w:val="0"/>
          <w:numId w:val="2"/>
        </w:numPr>
        <w:spacing w:after="60" w:before="40"/>
      </w:pPr>
      <w:r>
        <w:rPr>
          <w:rFonts w:ascii="Arial" w:cs="Arial" w:eastAsia="Arial" w:hAnsi="Arial"/>
          <w:sz w:val="22"/>
          <w:szCs w:val="22"/>
        </w:rPr>
        <w:t xml:space="preserve">New tables (Provider, Member, Enrollment, etc.) are empty additions — zero migration risk</w:t>
      </w:r>
    </w:p>
    <w:p>
      <w:pPr>
        <w:pStyle w:val="ListParagraph"/>
        <w:numPr>
          <w:ilvl w:val="0"/>
          <w:numId w:val="2"/>
        </w:numPr>
        <w:spacing w:after="60" w:before="40"/>
      </w:pPr>
      <w:r>
        <w:rPr>
          <w:rFonts w:ascii="Arial" w:cs="Arial" w:eastAsia="Arial" w:hAnsi="Arial"/>
          <w:sz w:val="22"/>
          <w:szCs w:val="22"/>
        </w:rPr>
        <w:t xml:space="preserve">PayerNetwork → Network alias uses a new table + FK reference, not a rename — existing rows and FKs are untouched</w:t>
      </w:r>
    </w:p>
    <w:p>
      <w:pPr>
        <w:pStyle w:val="ListParagraph"/>
        <w:numPr>
          <w:ilvl w:val="0"/>
          <w:numId w:val="2"/>
        </w:numPr>
        <w:spacing w:after="60" w:before="40"/>
      </w:pPr>
      <w:r>
        <w:rPr>
          <w:rFonts w:ascii="Arial" w:cs="Arial" w:eastAsia="Arial" w:hAnsi="Arial"/>
          <w:sz w:val="22"/>
          <w:szCs w:val="22"/>
        </w:rPr>
        <w:t xml:space="preserve">Never use NOT NULL without a DEFAULT on existing tables</w:t>
      </w:r>
    </w:p>
    <w:p>
      <w:pPr>
        <w:pStyle w:val="ListParagraph"/>
        <w:numPr>
          <w:ilvl w:val="0"/>
          <w:numId w:val="2"/>
        </w:numPr>
        <w:spacing w:after="60" w:before="40"/>
      </w:pPr>
      <w:r>
        <w:rPr>
          <w:rFonts w:ascii="Arial" w:cs="Arial" w:eastAsia="Arial" w:hAnsi="Arial"/>
          <w:sz w:val="22"/>
          <w:szCs w:val="22"/>
        </w:rPr>
        <w:t xml:space="preserve">Every migration gets a rollback test before deploying to production</w:t>
      </w:r>
    </w:p>
    <w:p>
      <w:pPr>
        <w:pStyle w:val="Heading2"/>
        <w:spacing w:after="120" w:before="280"/>
      </w:pPr>
      <w:r>
        <w:rPr>
          <w:rFonts w:ascii="Arial" w:cs="Arial" w:eastAsia="Arial" w:hAnsi="Arial"/>
          <w:b/>
          <w:bCs/>
          <w:sz w:val="26"/>
          <w:szCs w:val="26"/>
        </w:rPr>
        <w:t xml:space="preserve">13.5 Feature Flags and Compatibility Shims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Flag</w:t>
            </w:r>
          </w:p>
        </w:tc>
        <w:tc>
          <w:tcPr>
            <w:tcW w:type="dxa" w:w="336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854d0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When to Remove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FEATURE_TIERED_RESOLUTION</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Gates TierMultiplier activation</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Phase 4 after full end-to-end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FEATURE_CONTEXT_RESOLVER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Gates new /api/reprice-claim/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3 rollout — remove when stable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CLAIM_LEVEL_DRG_ENABLED</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Already exists on ContractVersion</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Keep — contract-level toggle is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USE_REFERENCE_ONLY_PRICING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Already exists in settings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Keep — pricing mode toggle</w:t>
            </w:r>
          </w:p>
        </w:tc>
      </w:tr>
    </w:tbl>
    <w:p>
      <w:pPr>
        <w:spacing w:after="100" w:before="60"/>
      </w:pPr>
      <w:r>
        <w:rPr>
          <w:rFonts w:ascii="Arial" w:cs="Arial" w:eastAsia="Arial" w:hAnsi="Arial"/>
          <w:sz w:val="22"/>
          <w:szCs w:val="22"/>
        </w:rPr>
        <w:t xml:space="preserve">Do not use feature flags for model additions or nullable FK extensions — those are always safe.</w:t>
      </w:r>
    </w:p>
    <w:p>
      <w:pPr>
        <w:pageBreakBefore/>
      </w:pPr>
    </w:p>
    <w:p>
      <w:pPr>
        <w:pStyle w:val="Heading1"/>
        <w:spacing w:after="160" w:before="400"/>
      </w:pPr>
      <w:r>
        <w:rPr>
          <w:rFonts w:ascii="Arial" w:cs="Arial" w:eastAsia="Arial" w:hAnsi="Arial"/>
          <w:b/>
          <w:bCs/>
          <w:sz w:val="32"/>
          <w:szCs w:val="32"/>
        </w:rPr>
        <w:t xml:space="preserve">14. Final Recommendation</w:t>
      </w:r>
    </w:p>
    <w:p>
      <w:pPr>
        <w:pStyle w:val="Heading2"/>
        <w:spacing w:after="120" w:before="280"/>
      </w:pPr>
      <w:r>
        <w:rPr>
          <w:rFonts w:ascii="Arial" w:cs="Arial" w:eastAsia="Arial" w:hAnsi="Arial"/>
          <w:b/>
          <w:bCs/>
          <w:sz w:val="26"/>
          <w:szCs w:val="26"/>
        </w:rPr>
        <w:t xml:space="preserve">14.1 Recommended Target Architecture</w:t>
      </w:r>
    </w:p>
    <w:p>
      <w:pPr>
        <w:spacing w:after="100" w:before="60"/>
      </w:pPr>
      <w:r>
        <w:rPr>
          <w:rFonts w:ascii="Arial" w:cs="Arial" w:eastAsia="Arial" w:hAnsi="Arial"/>
          <w:sz w:val="22"/>
          <w:szCs w:val="22"/>
        </w:rPr>
        <w:t xml:space="preserve">A modular monolith — a single Django application organized into bounded contexts as Django apps:</w:t>
      </w:r>
    </w:p>
    <w:p>
      <w:pPr>
        <w:shd w:fill="F4F4F4" w:val="clear"/>
        <w:spacing w:after="0" w:before="0"/>
        <w:ind w:left="360"/>
      </w:pPr>
      <w:r>
        <w:rPr>
          <w:rFonts w:ascii="Courier New" w:cs="Courier New" w:eastAsia="Courier New" w:hAnsi="Courier New"/>
          <w:sz w:val="18"/>
          <w:szCs w:val="18"/>
        </w:rPr>
        <w:t xml:space="preserve">pricing_platform/</w:t>
      </w:r>
    </w:p>
    <w:p>
      <w:pPr>
        <w:shd w:fill="F4F4F4" w:val="clear"/>
        <w:spacing w:after="0" w:before="0"/>
        <w:ind w:left="360"/>
      </w:pPr>
      <w:r>
        <w:rPr>
          <w:rFonts w:ascii="Courier New" w:cs="Courier New" w:eastAsia="Courier New" w:hAnsi="Courier New"/>
          <w:sz w:val="18"/>
          <w:szCs w:val="18"/>
        </w:rPr>
        <w:t xml:space="preserve">  ├── core/        (existing — pricing engine, contracts, reference data)</w:t>
      </w:r>
    </w:p>
    <w:p>
      <w:pPr>
        <w:shd w:fill="F4F4F4" w:val="clear"/>
        <w:spacing w:after="0" w:before="0"/>
        <w:ind w:left="360"/>
      </w:pPr>
      <w:r>
        <w:rPr>
          <w:rFonts w:ascii="Courier New" w:cs="Courier New" w:eastAsia="Courier New" w:hAnsi="Courier New"/>
          <w:sz w:val="18"/>
          <w:szCs w:val="18"/>
        </w:rPr>
        <w:t xml:space="preserve">  ├── providers/   (new — Provider, Facility, Org, Affiliation, NetworkParticipation)</w:t>
      </w:r>
    </w:p>
    <w:p>
      <w:pPr>
        <w:shd w:fill="F4F4F4" w:val="clear"/>
        <w:spacing w:after="0" w:before="0"/>
        <w:ind w:left="360"/>
      </w:pPr>
      <w:r>
        <w:rPr>
          <w:rFonts w:ascii="Courier New" w:cs="Courier New" w:eastAsia="Courier New" w:hAnsi="Courier New"/>
          <w:sz w:val="18"/>
          <w:szCs w:val="18"/>
        </w:rPr>
        <w:t xml:space="preserve">  ├── members/     (new — Member, Enrollment)</w:t>
      </w:r>
    </w:p>
    <w:p>
      <w:pPr>
        <w:shd w:fill="F4F4F4" w:val="clear"/>
        <w:spacing w:after="0" w:before="0"/>
        <w:ind w:left="360"/>
      </w:pPr>
      <w:r>
        <w:rPr>
          <w:rFonts w:ascii="Courier New" w:cs="Courier New" w:eastAsia="Courier New" w:hAnsi="Courier New"/>
          <w:sz w:val="18"/>
          <w:szCs w:val="18"/>
        </w:rPr>
        <w:t xml:space="preserve">  ├── products/    (new — Product, LOB, Network, ProductNetworkConfig)</w:t>
      </w:r>
    </w:p>
    <w:p>
      <w:pPr>
        <w:shd w:fill="F4F4F4" w:val="clear"/>
        <w:spacing w:after="0" w:before="0"/>
        <w:ind w:left="360"/>
      </w:pPr>
      <w:r>
        <w:rPr>
          <w:rFonts w:ascii="Courier New" w:cs="Courier New" w:eastAsia="Courier New" w:hAnsi="Courier New"/>
          <w:sz w:val="18"/>
          <w:szCs w:val="18"/>
        </w:rPr>
        <w:t xml:space="preserve">  └── resolution/  (new — PricingContextResolver, ContractResolver, ClaimIngestionAPI)</w:t>
      </w:r>
    </w:p>
    <w:p>
      <w:pPr>
        <w:spacing w:after="100" w:before="60"/>
      </w:pPr>
      <w:r>
        <w:rPr>
          <w:rFonts w:ascii="Arial" w:cs="Arial" w:eastAsia="Arial" w:hAnsi="Arial"/>
          <w:sz w:val="22"/>
          <w:szCs w:val="22"/>
        </w:rPr>
        <w:t xml:space="preserve">Each bounded context is a Django app with its own models.py, services.py, and admin.py. They communicate via service calls within the monolith — no HTTP between them. This gives clean separation without the operational overhead of microservices.</w:t>
      </w:r>
    </w:p>
    <w:p>
      <w:pPr>
        <w:spacing w:after="100" w:before="60"/>
      </w:pPr>
      <w:r>
        <w:rPr>
          <w:rFonts w:ascii="Arial" w:cs="Arial" w:eastAsia="Arial" w:hAnsi="Arial"/>
          <w:sz w:val="22"/>
          <w:szCs w:val="22"/>
        </w:rPr>
        <w:t xml:space="preserve">Do NOT move to microservices until:</w:t>
      </w:r>
    </w:p>
    <w:p>
      <w:pPr>
        <w:pStyle w:val="ListParagraph"/>
        <w:numPr>
          <w:ilvl w:val="0"/>
          <w:numId w:val="2"/>
        </w:numPr>
        <w:spacing w:after="60" w:before="40"/>
      </w:pPr>
      <w:r>
        <w:rPr>
          <w:rFonts w:ascii="Arial" w:cs="Arial" w:eastAsia="Arial" w:hAnsi="Arial"/>
          <w:sz w:val="22"/>
          <w:szCs w:val="22"/>
        </w:rPr>
        <w:t xml:space="preserve">The provider master has a team and release cycle independent of the pricing engine</w:t>
      </w:r>
    </w:p>
    <w:p>
      <w:pPr>
        <w:pStyle w:val="ListParagraph"/>
        <w:numPr>
          <w:ilvl w:val="0"/>
          <w:numId w:val="2"/>
        </w:numPr>
        <w:spacing w:after="60" w:before="40"/>
      </w:pPr>
      <w:r>
        <w:rPr>
          <w:rFonts w:ascii="Arial" w:cs="Arial" w:eastAsia="Arial" w:hAnsi="Arial"/>
          <w:sz w:val="22"/>
          <w:szCs w:val="22"/>
        </w:rPr>
        <w:t xml:space="preserve">Throughput requirements exceed what a single Django process can handle (an order-of-magnitude higher than typical reimbursement volumes)</w:t>
      </w:r>
    </w:p>
    <w:p>
      <w:pPr>
        <w:pStyle w:val="ListParagraph"/>
        <w:numPr>
          <w:ilvl w:val="0"/>
          <w:numId w:val="2"/>
        </w:numPr>
        <w:spacing w:after="60" w:before="40"/>
      </w:pPr>
      <w:r>
        <w:rPr>
          <w:rFonts w:ascii="Arial" w:cs="Arial" w:eastAsia="Arial" w:hAnsi="Arial"/>
          <w:sz w:val="22"/>
          <w:szCs w:val="22"/>
        </w:rPr>
        <w:t xml:space="preserve">Multi-tenancy requires strict data isolation between payers</w:t>
      </w:r>
    </w:p>
    <w:p>
      <w:pPr>
        <w:spacing w:after="100" w:before="60"/>
      </w:pPr>
      <w:r>
        <w:rPr>
          <w:rFonts w:ascii="Arial" w:cs="Arial" w:eastAsia="Arial" w:hAnsi="Arial"/>
          <w:sz w:val="22"/>
          <w:szCs w:val="22"/>
        </w:rPr>
        <w:t xml:space="preserve">None of these conditions are likely to be true in the near term.</w:t>
      </w:r>
    </w:p>
    <w:p>
      <w:pPr>
        <w:pStyle w:val="Heading2"/>
        <w:spacing w:after="120" w:before="280"/>
      </w:pPr>
      <w:r>
        <w:rPr>
          <w:rFonts w:ascii="Arial" w:cs="Arial" w:eastAsia="Arial" w:hAnsi="Arial"/>
          <w:b/>
          <w:bCs/>
          <w:sz w:val="26"/>
          <w:szCs w:val="26"/>
        </w:rPr>
        <w:t xml:space="preserve">14.2 Recommended Immediate Next Step</w:t>
      </w:r>
    </w:p>
    <w:p>
      <w:pPr>
        <w:spacing w:after="100" w:before="60"/>
      </w:pPr>
      <w:r>
        <w:rPr>
          <w:rFonts w:ascii="Arial" w:cs="Arial" w:eastAsia="Arial" w:hAnsi="Arial"/>
          <w:sz w:val="22"/>
          <w:szCs w:val="22"/>
        </w:rPr>
        <w:t xml:space="preserve">Build the thin provider and network domain (Phase 1). This is the lowest-risk, highest-leverage first step:</w:t>
      </w:r>
    </w:p>
    <w:p>
      <w:pPr>
        <w:pStyle w:val="ListParagraph"/>
        <w:numPr>
          <w:ilvl w:val="0"/>
          <w:numId w:val="2"/>
        </w:numPr>
        <w:spacing w:after="60" w:before="40"/>
      </w:pPr>
      <w:r>
        <w:rPr>
          <w:rFonts w:ascii="Arial" w:cs="Arial" w:eastAsia="Arial" w:hAnsi="Arial"/>
          <w:sz w:val="22"/>
          <w:szCs w:val="22"/>
        </w:rPr>
        <w:t xml:space="preserve">It adds the models that everything else depends on</w:t>
      </w:r>
    </w:p>
    <w:p>
      <w:pPr>
        <w:pStyle w:val="ListParagraph"/>
        <w:numPr>
          <w:ilvl w:val="0"/>
          <w:numId w:val="2"/>
        </w:numPr>
        <w:spacing w:after="60" w:before="40"/>
      </w:pPr>
      <w:r>
        <w:rPr>
          <w:rFonts w:ascii="Arial" w:cs="Arial" w:eastAsia="Arial" w:hAnsi="Arial"/>
          <w:sz w:val="22"/>
          <w:szCs w:val="22"/>
        </w:rPr>
        <w:t xml:space="preserve">It requires zero changes to the pricing engine</w:t>
      </w:r>
    </w:p>
    <w:p>
      <w:pPr>
        <w:pStyle w:val="ListParagraph"/>
        <w:numPr>
          <w:ilvl w:val="0"/>
          <w:numId w:val="2"/>
        </w:numPr>
        <w:spacing w:after="60" w:before="40"/>
      </w:pPr>
      <w:r>
        <w:rPr>
          <w:rFonts w:ascii="Arial" w:cs="Arial" w:eastAsia="Arial" w:hAnsi="Arial"/>
          <w:sz w:val="22"/>
          <w:szCs w:val="22"/>
        </w:rPr>
        <w:t xml:space="preserve">It produces immediately useful admin tooling (provider/network lookup)</w:t>
      </w:r>
    </w:p>
    <w:p>
      <w:pPr>
        <w:pStyle w:val="ListParagraph"/>
        <w:numPr>
          <w:ilvl w:val="0"/>
          <w:numId w:val="2"/>
        </w:numPr>
        <w:spacing w:after="60" w:before="40"/>
      </w:pPr>
      <w:r>
        <w:rPr>
          <w:rFonts w:ascii="Arial" w:cs="Arial" w:eastAsia="Arial" w:hAnsi="Arial"/>
          <w:sz w:val="22"/>
          <w:szCs w:val="22"/>
        </w:rPr>
        <w:t xml:space="preserve">It takes 2–3 weeks and produces a clean, testable artifact</w:t>
      </w:r>
    </w:p>
    <w:p>
      <w:pPr>
        <w:spacing w:after="100" w:before="60"/>
      </w:pPr>
      <w:r>
        <w:rPr>
          <w:rFonts w:ascii="Arial" w:cs="Arial" w:eastAsia="Arial" w:hAnsi="Arial"/>
          <w:sz w:val="22"/>
          <w:szCs w:val="22"/>
        </w:rPr>
        <w:t xml:space="preserve">Do this before building the context resolver. You cannot resolve context without provider and network data to resolve against.</w:t>
      </w:r>
    </w:p>
    <w:p>
      <w:pPr>
        <w:spacing w:after="100" w:before="60"/>
      </w:pPr>
      <w:r>
        <w:rPr>
          <w:rFonts w:ascii="Arial" w:cs="Arial" w:eastAsia="Arial" w:hAnsi="Arial"/>
          <w:sz w:val="22"/>
          <w:szCs w:val="22"/>
        </w:rPr>
        <w:t xml:space="preserve">Additionally, immediately (this week): replace all print() statements in orchestrator.py with proper Python logging. This is a one-hour change with zero risk.</w:t>
      </w:r>
    </w:p>
    <w:p>
      <w:pPr>
        <w:pStyle w:val="Heading2"/>
        <w:spacing w:after="120" w:before="280"/>
      </w:pPr>
      <w:r>
        <w:rPr>
          <w:rFonts w:ascii="Arial" w:cs="Arial" w:eastAsia="Arial" w:hAnsi="Arial"/>
          <w:b/>
          <w:bCs/>
          <w:sz w:val="26"/>
          <w:szCs w:val="26"/>
        </w:rPr>
        <w:t xml:space="preserve">14.3 Stop / Continue / Pause List for Current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Recommendation</w:t>
            </w:r>
          </w:p>
        </w:tc>
        <w:tc>
          <w:tcPr>
            <w:tcW w:type="dxa" w:w="436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FEATURE_TIERED_RESOLUTION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PAUSE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Correct concept; premature without real product/network context. Enable in Phase 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Scenario persistence / batch simulation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PAUSE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Build after resolver — simulation without correct context resolution is limited.</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CaseRateClaimPlugin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PAUSE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Needs facility domain; implement in Phase 1 or later.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PER_LINE outlier (NotImplementedError)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PAUSE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 priority; PER_CLAIM covers most cases.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Replace print() with logging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START IMMEDIATELY</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1-hour fix, zero risk, essential for production.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Provider domain (thin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1 foundational work.</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Member + Enrollment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START after Phase 1</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Phase 2 foundational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ClaimPricingContext DTO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Zero-risk stub addition to engine types.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All of core/engine/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DO NOT TOUCH</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It is correct; the engine is not the problem.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Contract versioning lifecycle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CONTINUE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Correct and durable; add ContractProductScope in Phase 2.</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Rule conflict detection + validation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CONTINUE</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Correct and durable; no changes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Reference data loaders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CONTINUE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Necessary for any real pricing run.</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React frontend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CONTINUE incrementally</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40" w:before="40"/>
            </w:pPr>
            <w:r>
              <w:rPr>
                <w:rFonts w:ascii="Arial" w:cs="Arial" w:eastAsia="Arial" w:hAnsi="Arial"/>
                <w:sz w:val="20"/>
                <w:szCs w:val="20"/>
              </w:rPr>
              <w:t xml:space="preserve">Add context-aware pricing UI in Phase 3 when resolver is 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Nested condition groups in conditions.py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DEFER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Flat AND/OR is sufficient for current rules; add when real use case emerges.</w:t>
            </w:r>
          </w:p>
        </w:tc>
      </w:tr>
    </w:tbl>
    <w:p>
      <w:pPr>
        <w:spacing w:after="400" w:before="0"/>
      </w:pPr>
    </w:p>
    <w:p>
      <w:pPr>
        <w:pBdr>
          <w:top w:val="single" w:color="CCCCCC" w:sz="2"/>
        </w:pBdr>
        <w:spacing w:after="0" w:before="400"/>
        <w:jc w:val="center"/>
      </w:pPr>
      <w:r>
        <w:rPr>
          <w:rFonts w:ascii="Arial" w:cs="Arial" w:eastAsia="Arial" w:hAnsi="Arial"/>
          <w:i/>
          <w:iCs/>
          <w:color w:val="666666"/>
          <w:sz w:val="22"/>
          <w:szCs w:val="22"/>
        </w:rPr>
        <w:t xml:space="preserve">The key insight: the pricing engine is correct. The gap is upstream. Build the context resolution layer, leave the engine alone, and the platform will generalize naturally to real-world reimbursement workflows.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Version 1.0  |  June 2026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666666"/>
        <w:sz w:val="18"/>
        <w:szCs w:val="18"/>
      </w:rPr>
      <w:t xml:space="preserve">Matrix Reimbursement Platform — System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4"/>
      </w:pBdr>
      <w:spacing w:after="16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2026-06-19T18:44:25.969Z</dcterms:created>
  <dcterms:modified xsi:type="dcterms:W3CDTF">2026-06-19T18:44:25.970Z</dcterms:modified>
</cp:coreProperties>
</file>

<file path=docProps/custom.xml><?xml version="1.0" encoding="utf-8"?>
<Properties xmlns="http://schemas.openxmlformats.org/officeDocument/2006/custom-properties" xmlns:vt="http://schemas.openxmlformats.org/officeDocument/2006/docPropsVTypes"/>
</file>