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Matrix Pricing Platform</w:t>
      </w:r>
    </w:p>
    <w:p>
      <w:pPr>
        <w:spacing w:after="40"/>
      </w:pPr>
      <w:r>
        <w:rPr>
          <w:color w:val="444444"/>
          <w:sz w:val="26"/>
          <w:szCs w:val="26"/>
        </w:rPr>
        <w:t xml:space="preserve">Test Plan — Pricing, Contract Resolution, and Rate Intensification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Manual scenario guide with context and expected results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document describes the manual test scenarios used to verify the Matrix pricing platform. It covers three areas: contract resolution (identifying the correct contract for a claim, or correctly refusing when the configuration is ambiguous), pricing methodology (computing the allowed amount for a resolved contract), and rate intensification (expressing rates as a percentage of a published fee schedule with annual escalation).</w:t>
      </w:r>
    </w:p>
    <w:p>
      <w:pPr>
        <w:spacing w:after="120"/>
      </w:pPr>
      <w:r>
        <w:t xml:space="preserve">Tests run against three surfaces: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Reprice Claim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/reprice-claim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Identity-first resolution: which contract is selected for a member + provider, or a flagged failure. Uses member ID and NPIs.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 Simulation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/claim-simulation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Contract-first pricing: the allowed amount for a chosen contract and version.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Management commands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terminal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Rate materialization, contract cloning, and bulk rate loading.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Answer-key logic: </w:t>
      </w:r>
      <w:r>
        <w:t xml:space="preserve">each contract prices the same procedure code at a distinct rate, so the allowed amount returned reveals which contract was resolved.</w:t>
      </w:r>
    </w:p>
    <w:p>
      <w:pPr>
        <w:spacing w:after="120"/>
      </w:pPr>
      <w:r>
        <w:rPr>
          <w:b/>
          <w:bCs/>
        </w:rPr>
        <w:t xml:space="preserve">Test baseline: </w:t>
      </w:r>
      <w:r>
        <w:t xml:space="preserve">the automated suite has eight accepted pre-existing failures (three APC setup, two DRG reference-data, one error-status, one wrong-version setup, and one lesser-of-billed explorer count). Any other failure is a real regression. See KNOWN_LIMITATIONS.md.</w:t>
      </w:r>
    </w:p>
    <w:p>
      <w:pPr>
        <w:pStyle w:val="Heading1"/>
      </w:pPr>
      <w:r>
        <w:t xml:space="preserve">2. Contract resolution</w:t>
      </w:r>
    </w:p>
    <w:p>
      <w:pPr>
        <w:spacing w:after="120"/>
      </w:pPr>
      <w:r>
        <w:t xml:space="preserve">Resolution runs in two stages. Stage one gathers the claim context (billing organization, member enrollment, network, and — when supplied — the rendering provider and facility) and selects exactly one contract, walking a specificity ladder: a provider- or facility-specific contract beats a group contract, which beats the parent health-system contract. Stage two prices the resolved contract. When two contracts match at the same specificity and priority, resolution never guesses — it returns a typed failure and records it to a review queue.</w:t>
      </w:r>
    </w:p>
    <w:p>
      <w:pPr>
        <w:spacing w:after="120"/>
      </w:pPr>
      <w:r>
        <w:t xml:space="preserve">The multi-entity scenarios use the KEYSTONE seed, which models a health system (Keystone Health, an IDN) with two hospitals (F1, F2), a cardiology group, and a cardiologist (Dr. Chen) who is covered by both the group contract and, via the system, the IDN contract. Run python manage.py seed_keystone to load it.</w:t>
      </w:r>
    </w:p>
    <w:p>
      <w:pPr>
        <w:pStyle w:val="Heading2"/>
      </w:pPr>
      <w:r>
        <w:t xml:space="preserve">2.1 KEYSTONE answer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3160"/>
        <w:gridCol w:w="3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99213 rate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C-IDN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$130 (literal)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ORG — Keystone Health (the health system)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C-CARD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$108.06 (2025) / $111.30 (2026) — materialized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ORG — Keystone Cardiology; PROVIDER — Dr. Chen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C-F1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$200 (literal)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FACILITY — Keystone General Hospital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C-CARD-OLD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$999 (the conflict)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ORG — Keystone Cardiology (unterminated duplicate)</w:t>
            </w:r>
          </w:p>
        </w:tc>
      </w:tr>
    </w:tbl>
    <w:p>
      <w:pPr>
        <w:spacing w:after="120"/>
      </w:pPr>
      <w:r>
        <w:rPr>
          <w:color w:val="444444"/>
          <w:sz w:val="20"/>
          <w:szCs w:val="20"/>
        </w:rPr>
        <w:t xml:space="preserve">Natural keys: member KEYSTONE-MEM-1; billing NPIs KEYSTONE-NPI01 (IDN), KEYSTONE-NPI02 (Cardiology group); facility NPIs KEYSTONE-NPI03 (F1), KEYSTONE-NPI04 (F2); rendering KEYSTONE-NPI05 (Dr. Chen). Materialize contract 213 for 2025 first so C-CARD reads $108.06.</w:t>
      </w:r>
    </w:p>
    <w:p>
      <w:pPr>
        <w:pStyle w:val="Heading2"/>
      </w:pPr>
      <w:r>
        <w:t xml:space="preserve">2.2 Resolution scenarios (Reprice 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700"/>
        <w:gridCol w:w="3220"/>
        <w:gridCol w:w="1620"/>
        <w:gridCol w:w="22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is being tested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Inputs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IDN professional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 org-level resolution when no more-specific entity is named.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NPI01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$130 — C-IDN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Provider-specific wins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contract covering the rendering provider beats the general system contract (provider specificity).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NPI01 + rendering NPI05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$108.06 — C-CARD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Facility resolution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facility-scoped contract is selected when the claim names that facility and is institutional.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NPI01, facility NPI03, institutional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$200 — C-F1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Hierarchy fallback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facility with no contract of its own inherits the parent system contract.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NPI01, facility NPI04, institutional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$130 — C-IDN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Genuine conflict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Two contracts match at the same level; resolution refuses to guess and flags for review.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billing NPI02, no rendering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AMBIGUOUS — candidates 213, 215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Base payload (Reprice page; add rendering_npi / facility_npi and set claim_type per row):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{ "billing_npi": "KEYSTONE-NPI01", "member_id": "KEYSTONE-MEM-1",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"service_date": "2025-06-15", "claim_type": "professional",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"lines": [{ "procedure_code": "99213", "billed_amount": "500.00", "units": 1 }] }</w:t>
      </w:r>
    </w:p>
    <w:p>
      <w:pPr>
        <w:pStyle w:val="Heading2"/>
      </w:pPr>
      <w:r>
        <w:t xml:space="preserve">2.3 Graceful failures</w:t>
      </w:r>
    </w:p>
    <w:p>
      <w:pPr>
        <w:spacing w:after="120"/>
      </w:pPr>
      <w:r>
        <w:t xml:space="preserve">These prove resolution fails cleanly — a business outcome returned as HTTP 200, never a crash — and records the reason for analyst review. They use the DEMO-UC demo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3240"/>
        <w:gridCol w:w="36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is being tested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Out-of-network provider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is enrolled but the billing organization does not participate in the network.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OON — no price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Member not enrolled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enrollment exists, so the resolver cannot scope to a product or network.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NO_CONTRACT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Terminated enrollment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Coverage ended before the service date.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NO_CONTRACT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Ambiguous organization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Several contracts share the org with no differentiator.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AMBIGUOUS + candidates</w:t>
            </w:r>
          </w:p>
        </w:tc>
      </w:tr>
    </w:tbl>
    <w:p>
      <w:pPr>
        <w:spacing w:after="120"/>
      </w:pPr>
      <w:r>
        <w:rPr>
          <w:color w:val="444444"/>
          <w:sz w:val="20"/>
          <w:szCs w:val="20"/>
        </w:rPr>
        <w:t xml:space="preserve">Keys: F1 = member DEMO-UC-MEM-A1 / billing DEMO-UC-NPI02; F2 = DEMO-UC-MEM-NOENROLL / DEMO-UC-NPI01; F3 = DEMO-UC-MEM-TERMED / DEMO-UC-NPI01; F4 = DEMO-UC-MEM-A1 / DEMO-UC-NPI01.</w:t>
      </w:r>
    </w:p>
    <w:p>
      <w:pPr>
        <w:pStyle w:val="Heading2"/>
      </w:pPr>
      <w:r>
        <w:t xml:space="preserve">2.4 Review queue</w:t>
      </w:r>
    </w:p>
    <w:p>
      <w:pPr>
        <w:spacing w:after="120"/>
      </w:pPr>
      <w:r>
        <w:t xml:space="preserve">After any failure above, the flagged resolution is retrievable: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http://localhost:8000/api/resolution-exceptions/ — lists each flagged resolution with its status, candidate contracts, and gathered inputs.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PATCH /api/resolution-exceptions/&lt;id&gt;/ with { "is_reviewed": true, "review_notes": "..." } — marks an item reviewed.</w:t>
      </w:r>
    </w:p>
    <w:p>
      <w:pPr>
        <w:spacing w:after="120"/>
      </w:pPr>
      <w:r>
        <w:rPr>
          <w:sz w:val="20"/>
          <w:szCs w:val="20"/>
        </w:rPr>
        <w:t xml:space="preserve">Expected: one row per flagged resolution from the tests above, filterable by status and review state.</w:t>
      </w:r>
    </w:p>
    <w:p>
      <w:pPr>
        <w:pStyle w:val="Heading1"/>
        <w:pageBreakBefore/>
      </w:pPr>
      <w:r>
        <w:t xml:space="preserve">3. Pricing methodology catalog</w:t>
      </w:r>
    </w:p>
    <w:p>
      <w:pPr>
        <w:spacing w:after="120"/>
      </w:pPr>
      <w:r>
        <w:t xml:space="preserve">These verify the pricing math for each methodology on the Claim Simulation page. Pull the current contract_id and version_id from the master query (see Appendix), select the contract and version on the page, and paste the inner claim object (service_date, claim_type, lines) into the JSON box. The allowed amount confirms the methodology computed correctly.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500"/>
        <w:gridCol w:w="3240"/>
        <w:gridCol w:w="1200"/>
        <w:gridCol w:w="260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is being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Flat rate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fixed dollar allowed amount per code.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99213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$100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Percent of billed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Allowed = percentage of the billed charge.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99214 @ $250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$200 (0.80×)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RBRVS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Fee-schedule base times a contract multiplier.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29881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$400 × 1.5 (verify)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diem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rate multiplied by units.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0120 ×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$1,200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Claim-level case rate = base × relative weight.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470 (institutional)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$12,000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APC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Outpatient facility rate.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5121 (institutional)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Anesthesia + add-on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(base + time/15) × conversion factor, plus a flat add-on line.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00100 + 99100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(5 + min/15)×$45 + $25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Drug (ASP)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ASP payment limit × units.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J1885 ×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verify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Modifier -50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Bilateral modifier scales the line (see limitation 1.4).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29881 + "50"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× 150%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Multi-line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Two flat rules combine into one claim total.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99213 + 73030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$175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MPPR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 same-category imaging line is reduced.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70450 ×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 / 50%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 cap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Allowed clipped to a percentage-of-billed ceiling.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99213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capped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Stop-loss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High-cost claim switches to stop-loss percentage.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SL-TRIG +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stop-loss %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Code group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Rule matches because the code is in a defined group.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36415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$30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Specificity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specific code rule beats a wildcard rule.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99214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$175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Unknown code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rule matches; line is denied.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XXXXX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denied, $0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 billed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Percent methodology on a zero charge.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99214 @ $0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$0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Unknown modifier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 unrecognized modifier is ignored.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99213 + "XX"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$100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Inner-claim JSON template (DRG/APC/per-diem use claim_type institutional; B5 adds "drg_code": "470"):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{ "service_date": "2025-06-15", "claim_type": "professional",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"lines": [{ "procedure_code": "99213", "billed_amount": "200.00", "units": 1 }] }</w:t>
      </w:r>
    </w:p>
    <w:p>
      <w:pPr>
        <w:spacing w:after="120" w:before="100"/>
      </w:pPr>
      <w:r>
        <w:rPr>
          <w:b/>
          <w:bCs/>
        </w:rPr>
        <w:t xml:space="preserve">Note: </w:t>
      </w:r>
      <w:r>
        <w:t xml:space="preserve">modifiers and caps appear in the execution trace only when they bind; a configured cap that does not reduce the price leaves no trace line (KNOWN_LIMITATIONS 1.4).</w:t>
      </w:r>
    </w:p>
    <w:p>
      <w:pPr>
        <w:pStyle w:val="Heading1"/>
        <w:pageBreakBefore/>
      </w:pPr>
      <w:r>
        <w:t xml:space="preserve">4. Rate intensification</w:t>
      </w:r>
    </w:p>
    <w:p>
      <w:pPr>
        <w:spacing w:after="120"/>
      </w:pPr>
      <w:r>
        <w:t xml:space="preserve">These verify that contract rates can be expressed as a percentage of a published fee schedule and escalated annually, and that contracts can be cloned and bulk-loaded — all without changing the pricing engine. Materialization writes a concrete rate that the engine reads, so rates without a basis are untouched.</w:t>
      </w:r>
    </w:p>
    <w:p>
      <w:pPr>
        <w:pStyle w:val="Heading2"/>
      </w:pPr>
      <w:r>
        <w:t xml:space="preserve">4.1 Rate-schedule linkage (A)</w:t>
      </w:r>
    </w:p>
    <w:p>
      <w:pPr>
        <w:spacing w:after="120"/>
      </w:pPr>
      <w:r>
        <w:rPr>
          <w:sz w:val="20"/>
          <w:szCs w:val="20"/>
        </w:rPr>
        <w:t xml:space="preserve">Context: a rule priced as “120% of MPFS 2025” is materialized to a concrete dollar rate derived from the Medicare fee schedule.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 manage.py setup_rate_basis_demo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 manage.py materialize_rates --contract 213 --year 2025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Expected: rule 293 (99213) becomes $108.06 = 2.75 total RVU × $32.7442 conversion factor × 120%. The command prints old → new.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 212 (no basis) is unchanged at $130. Re-running is idempotent.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contract summary page (/contracts/213/summary) shows the basis text “120% of MPFS 2025”.</w:t>
      </w:r>
    </w:p>
    <w:p>
      <w:pPr>
        <w:pStyle w:val="Heading2"/>
      </w:pPr>
      <w:r>
        <w:t xml:space="preserve">4.2 Escalators (B)</w:t>
      </w:r>
    </w:p>
    <w:p>
      <w:pPr>
        <w:spacing w:after="120"/>
      </w:pPr>
      <w:r>
        <w:rPr>
          <w:sz w:val="20"/>
          <w:szCs w:val="20"/>
        </w:rPr>
        <w:t xml:space="preserve">Context: an annual escalator compounds the materialized rate for future years; the base year applies no escalation.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 manage.py materialize_rates --contract 213 --year 2026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Expected: 99213 becomes $111.30 ($108.06 × 1.03). For --year 2025 it is $108.06 (base year, factor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Idempotent per year — derived from schedule × percentage × escalator, never compounded on the stored 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Summary shows “120% of MPFS 2025, +3%/yr”.</w:t>
      </w:r>
    </w:p>
    <w:p>
      <w:pPr>
        <w:pStyle w:val="Heading2"/>
      </w:pPr>
      <w:r>
        <w:t xml:space="preserve">4.3 Templating and bulk load (D)</w:t>
      </w:r>
    </w:p>
    <w:p>
      <w:pPr>
        <w:spacing w:after="120"/>
      </w:pPr>
      <w:r>
        <w:rPr>
          <w:sz w:val="20"/>
          <w:szCs w:val="20"/>
        </w:rPr>
        <w:t xml:space="preserve">Context: clone a contract as a template for a new provider, and bulk-create rate-basis rules for a list of codes.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 manage.py clone_contract --source 213 --name "Test Clone" --org KEYSTONE-IDN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python manage.py bulk_add_rates --contract &lt;clone_id&gt; --contract-version &lt;vid&gt; --schedule &lt;sid&gt; --percentage 120 --codes 99215,99204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Expected: the clone has its own primary keys; the source contract 213 is untouched. Bulk codes materialize to concrete rates.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clone summary reads like a real rate exhibit — multiple codes, each at 120% of MPFS 2025, +3%/yr.</w:t>
      </w:r>
    </w:p>
    <w:p>
      <w:pPr>
        <w:pStyle w:val="Heading2"/>
      </w:pPr>
      <w:r>
        <w:t xml:space="preserve">4.4 Scope consolidation (E)</w:t>
      </w:r>
    </w:p>
    <w:p>
      <w:pPr>
        <w:spacing w:after="120"/>
      </w:pPr>
      <w:r>
        <w:rPr>
          <w:sz w:val="20"/>
          <w:szCs w:val="20"/>
        </w:rPr>
        <w:t xml:space="preserve">Context: the two legacy scope tables were merged into one. There is no new behavior — the test is that resolution is unchanged.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Expected: re-run scenarios R1–R5 (section 2.2) and confirm each resolves to the same contract and price as before the consolidation.</w:t>
      </w:r>
    </w:p>
    <w:p>
      <w:pPr>
        <w:pStyle w:val="Heading1"/>
      </w:pPr>
      <w:r>
        <w:t xml:space="preserve">5. Regression checks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DEMO-UC prices unchanged — the demo contracts have no rate basis, so all section 3 values are identical to before the intensification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suite — python manage.py test --keepdb returns the eight-failing baseline, with no new failures.</w:t>
      </w:r>
    </w:p>
    <w:p>
      <w:pPr>
        <w:pStyle w:val="Heading1"/>
      </w:pPr>
      <w:r>
        <w:t xml:space="preserve">Appendix — Master query for current IDs</w:t>
      </w:r>
    </w:p>
    <w:p>
      <w:pPr>
        <w:spacing w:after="120"/>
      </w:pPr>
      <w:r>
        <w:t xml:space="preserve">DEMO-UC contract and version IDs change on every reseed; KEYSTONE IDs (212–216) are stable. Reprice cases use natural keys and never go stale. To refresh Claim-Simulation IDs, run this in MySQL Workbench: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SELECT c.contract_id, c.contract_name, v.version_id,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     r.methodology_code, r.flat_rate, r.multiplier,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     GROUP_CONCAT(CONCAT(cond.attribute_name,' ',cond.operator,' ',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                 cond.attribute_value) SEPARATOR '  |  ') AS conditions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FROM contracts c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JOIN contract_versions v ON v.contract_id = c.contract_id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LEFT JOIN pricing_rules r ON r.version_id = v.version_id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LEFT JOIN pricing_rule_conditions cond ON cond.rule_id = r.rule_id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WHERE c.contract_name LIKE 'DEMO-UC-%'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GROUP BY c.contract_id, c.contract_name, c.status, v.version_id,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       r.rule_id, r.methodology_code, r.flat_rate, r.multiplier</w:t>
      </w:r>
    </w:p>
    <w:p>
      <w:pPr>
        <w:shd w:fill="F3F3F0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ORDER BY c.contract_name, r.rule_id;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Matrix Pricing Platform — Test Plan    </w:t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E8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2026-07-09T19:17:48.815Z</dcterms:created>
  <dcterms:modified xsi:type="dcterms:W3CDTF">2026-07-09T19:17:48.816Z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