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Pathway Gap Analysis — 2026 Source Refresh</w:t>
      </w:r>
    </w:p>
    <w:p>
      <w:pPr/>
      <w:r>
        <w:t xml:space="preserve">Sep 28, 2026</w:t>
      </w:r>
      <w:r>
        <w:t xml:space="preserve"> · </w:t>
      </w:r>
      <w:r>
        <w:t xml:space="preserve">@murali</w:t>
      </w:r>
    </w:p>
    <w:p>
      <w:pPr/>
      <w:r>
        <w:t xml:space="preserve">Three Cheetah clinical decision-support pathways — Total Knee Replacement, Total Hip Replacement, and Pre-Operative Cardiac Risk Assessment — were built against 2024 reference charts. Optum has since issued 2026 updates for all three. This document compares the governed YAML logic against the new charts and lists every divergence found, so the team can decide what changes before the YAML is updated.</w:t>
      </w:r>
    </w:p>
    <w:p>
      <w:pPr/>
      <w:r>
        <w:rPr>
          <w:b/>
        </w:rPr>
        <w:t xml:space="preserve">How to read this document</w:t>
      </w:r>
    </w:p>
    <w:p>
      <w:pPr>
        <w:pStyle w:val="ListParagraph"/>
        <w:numPr>
          <w:ilvl w:val="0"/>
          <w:numId w:val="2"/>
        </w:numPr>
      </w:pPr>
      <w:r>
        <w:rPr>
          <w:b/>
        </w:rPr>
        <w:t xml:space="preserve">Severity</w:t>
      </w:r>
      <w:r>
        <w:t xml:space="preserve"> — </w:t>
      </w:r>
      <w:r>
        <w:rPr>
          <w:i/>
        </w:rPr>
        <w:t xml:space="preserve">Structural</w:t>
      </w:r>
      <w:r>
        <w:t xml:space="preserve"> (a decision node or terminal outcome is missing or wrongly routed), </w:t>
      </w:r>
      <w:r>
        <w:rPr>
          <w:i/>
        </w:rPr>
        <w:t xml:space="preserve">Content</w:t>
      </w:r>
      <w:r>
        <w:t xml:space="preserve"> (a threshold, code list, or table mapping is off), </w:t>
      </w:r>
      <w:r>
        <w:rPr>
          <w:i/>
        </w:rPr>
        <w:t xml:space="preserve">Conflict</w:t>
      </w:r>
      <w:r>
        <w:t xml:space="preserve"> (old and new logic actively disagree on the same input), </w:t>
      </w:r>
      <w:r>
        <w:rPr>
          <w:i/>
        </w:rPr>
        <w:t xml:space="preserve">Governance</w:t>
      </w:r>
      <w:r>
        <w:t xml:space="preserve"> (metadata only, no clinical impact).</w:t>
      </w:r>
    </w:p>
    <w:p>
      <w:pPr>
        <w:pStyle w:val="ListParagraph"/>
        <w:numPr>
          <w:ilvl w:val="0"/>
          <w:numId w:val="2"/>
        </w:numPr>
      </w:pPr>
      <w:r>
        <w:t xml:space="preserve">Each gap shows the </w:t>
      </w:r>
      <w:r>
        <w:rPr>
          <w:b/>
        </w:rPr>
        <w:t xml:space="preserve">old rule</w:t>
      </w:r>
      <w:r>
        <w:t xml:space="preserve">, the </w:t>
      </w:r>
      <w:r>
        <w:rPr>
          <w:b/>
        </w:rPr>
        <w:t xml:space="preserve">new rule</w:t>
      </w:r>
      <w:r>
        <w:t xml:space="preserve">, and — where one exists — a </w:t>
      </w:r>
      <w:r>
        <w:rPr>
          <w:b/>
        </w:rPr>
        <w:t xml:space="preserve">worked example</w:t>
      </w:r>
      <w:r>
        <w:t xml:space="preserve"> showing a real patient landing on a different outcome.</w:t>
      </w:r>
    </w:p>
    <w:p>
      <w:pPr>
        <w:pStyle w:val="ListParagraph"/>
        <w:numPr>
          <w:ilvl w:val="0"/>
          <w:numId w:val="2"/>
        </w:numPr>
      </w:pPr>
      <w:r>
        <w:t xml:space="preserve">Items marked </w:t>
      </w:r>
      <w:r>
        <w:rPr>
          <w:b/>
        </w:rPr>
        <w:t xml:space="preserve">open question</w:t>
      </w:r>
      <w:r>
        <w:t xml:space="preserve"> are ambiguous in the source chart and need clinical-team confirmation before they're encoded, rather than a guess.</w:t>
      </w:r>
    </w:p>
    <w:p>
      <w:pPr>
        <w:pStyle w:val="Heading2"/>
      </w:pPr>
      <w:r>
        <w:t xml:space="preserve">1. Total Knee Replacement</w:t>
      </w:r>
    </w:p>
    <w:p>
      <w:pPr/>
      <w:r>
        <w:t xml:space="preserve">Current file: </w:t>
      </w:r>
      <w:r>
        <w:rPr>
          <w:rStyle w:val="CodeChar"/>
        </w:rPr>
        <w:t xml:space="preserve">pathways/knee_replacement_v0_0_1.yaml</w:t>
      </w:r>
      <w:r>
        <w:t xml:space="preserve">, compared against Optum's </w:t>
      </w:r>
      <w:r>
        <w:rPr>
          <w:i/>
        </w:rPr>
        <w:t xml:space="preserve">Total Hip and Knee Replacement Decision Support Tool (2026)</w:t>
      </w:r>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Severity</w:t>
            </w:r>
          </w:p>
        </w:tc>
        <w:tc>
          <w:tcPr>
            <w:tcW w:w="1872" w:type="dxa"/>
            <w:shd w:val="clear" w:color="auto" w:fill="F2F2F2"/>
          </w:tcPr>
          <w:p>
            <w:pPr/>
            <w:r>
              <w:t xml:space="preserve">Gap</w:t>
            </w:r>
          </w:p>
        </w:tc>
        <w:tc>
          <w:tcPr>
            <w:tcW w:w="1872" w:type="dxa"/>
            <w:shd w:val="clear" w:color="auto" w:fill="F2F2F2"/>
          </w:tcPr>
          <w:p>
            <w:pPr/>
            <w:r>
              <w:t xml:space="preserve">Old rule</w:t>
            </w:r>
          </w:p>
        </w:tc>
        <w:tc>
          <w:tcPr>
            <w:tcW w:w="1872" w:type="dxa"/>
            <w:shd w:val="clear" w:color="auto" w:fill="F2F2F2"/>
          </w:tcPr>
          <w:p>
            <w:pPr/>
            <w:r>
              <w:t xml:space="preserve">New rule</w:t>
            </w:r>
          </w:p>
        </w:tc>
      </w:tr>
      <w:tr>
        <w:tc>
          <w:tcPr>
            <w:tcW w:w="1872" w:type="dxa"/>
          </w:tcPr>
          <w:p>
            <w:pPr/>
            <w:r>
              <w:t xml:space="preserve">1</w:t>
            </w:r>
          </w:p>
        </w:tc>
        <w:tc>
          <w:tcPr>
            <w:tcW w:w="1872" w:type="dxa"/>
          </w:tcPr>
          <w:p>
            <w:pPr/>
            <w:r>
              <w:t xml:space="preserve">Structural / Conflict</w:t>
            </w:r>
          </w:p>
        </w:tc>
        <w:tc>
          <w:tcPr>
            <w:tcW w:w="1872" w:type="dxa"/>
          </w:tcPr>
          <w:p>
            <w:pPr/>
            <w:r>
              <w:t xml:space="preserve">Stiffness flips from disqualifying to supporting</w:t>
            </w:r>
          </w:p>
        </w:tc>
        <w:tc>
          <w:tcPr>
            <w:tcW w:w="1872" w:type="dxa"/>
          </w:tcPr>
          <w:p>
            <w:pPr/>
            <w:r>
              <w:t xml:space="preserve">Requires morning stiffness to be </w:t>
            </w:r>
            <w:r>
              <w:rPr>
                <w:b/>
              </w:rPr>
              <w:t xml:space="preserve">absent</w:t>
            </w:r>
            <w:r>
              <w:t xml:space="preserve"> (&gt;30 min) as part of an AND condition for </w:t>
            </w:r>
            <w:r>
              <w:rPr>
                <w:rStyle w:val="CodeChar"/>
              </w:rPr>
              <w:t xml:space="preserve">chronic_knee_pain_with_djd</w:t>
            </w:r>
          </w:p>
        </w:tc>
        <w:tc>
          <w:tcPr>
            <w:tcW w:w="1872" w:type="dxa"/>
          </w:tcPr>
          <w:p>
            <w:pPr/>
            <w:r>
              <w:t xml:space="preserve">Stiffness/reduced ROM is one of four features that </w:t>
            </w:r>
            <w:r>
              <w:rPr>
                <w:b/>
              </w:rPr>
              <w:t xml:space="preserve">support</w:t>
            </w:r>
            <w:r>
              <w:t xml:space="preserve"> the diagnosis</w:t>
            </w:r>
          </w:p>
        </w:tc>
      </w:tr>
      <w:tr>
        <w:tc>
          <w:tcPr>
            <w:tcW w:w="1872" w:type="dxa"/>
          </w:tcPr>
          <w:p>
            <w:pPr/>
            <w:r>
              <w:t xml:space="preserve">2</w:t>
            </w:r>
          </w:p>
        </w:tc>
        <w:tc>
          <w:tcPr>
            <w:tcW w:w="1872" w:type="dxa"/>
          </w:tcPr>
          <w:p>
            <w:pPr/>
            <w:r>
              <w:t xml:space="preserve">Structural</w:t>
            </w:r>
          </w:p>
        </w:tc>
        <w:tc>
          <w:tcPr>
            <w:tcW w:w="1872" w:type="dxa"/>
          </w:tcPr>
          <w:p>
            <w:pPr/>
            <w:r>
              <w:t xml:space="preserve">Missing "unable to tolerate / contraindicated" branch</w:t>
            </w:r>
          </w:p>
        </w:tc>
        <w:tc>
          <w:tcPr>
            <w:tcW w:w="1872" w:type="dxa"/>
          </w:tcPr>
          <w:p>
            <w:pPr/>
            <w:r>
              <w:t xml:space="preserve">No node exists — failing the conservative trial with no branch for medical inability</w:t>
            </w:r>
          </w:p>
        </w:tc>
        <w:tc>
          <w:tcPr>
            <w:tcW w:w="1872" w:type="dxa"/>
          </w:tcPr>
          <w:p>
            <w:pPr/>
            <w:r>
              <w:t xml:space="preserve">A dedicated node: if intolerant/contraindicated, route forward to severity check instead of stalling</w:t>
            </w:r>
          </w:p>
        </w:tc>
      </w:tr>
      <w:tr>
        <w:tc>
          <w:tcPr>
            <w:tcW w:w="1872" w:type="dxa"/>
          </w:tcPr>
          <w:p>
            <w:pPr/>
            <w:r>
              <w:t xml:space="preserve">3</w:t>
            </w:r>
          </w:p>
        </w:tc>
        <w:tc>
          <w:tcPr>
            <w:tcW w:w="1872" w:type="dxa"/>
          </w:tcPr>
          <w:p>
            <w:pPr/>
            <w:r>
              <w:t xml:space="preserve">Structural</w:t>
            </w:r>
          </w:p>
        </w:tc>
        <w:tc>
          <w:tcPr>
            <w:tcW w:w="1872" w:type="dxa"/>
          </w:tcPr>
          <w:p>
            <w:pPr/>
            <w:r>
              <w:t xml:space="preserve">New severity &amp; functional-impact gate before referral</w:t>
            </w:r>
          </w:p>
        </w:tc>
        <w:tc>
          <w:tcPr>
            <w:tcW w:w="1872" w:type="dxa"/>
          </w:tcPr>
          <w:p>
            <w:pPr/>
            <w:r>
              <w:t xml:space="preserve">"No improvement" alone is sufficient to reach the refer terminal</w:t>
            </w:r>
          </w:p>
        </w:tc>
        <w:tc>
          <w:tcPr>
            <w:tcW w:w="1872" w:type="dxa"/>
          </w:tcPr>
          <w:p>
            <w:pPr/>
            <w:r>
              <w:t xml:space="preserve">A second gate requires documented severity (pain most days, pain at rest/night, functional decline, or antalgic gait/assistive device) before referral</w:t>
            </w:r>
          </w:p>
        </w:tc>
      </w:tr>
      <w:tr>
        <w:tc>
          <w:tcPr>
            <w:tcW w:w="1872" w:type="dxa"/>
          </w:tcPr>
          <w:p>
            <w:pPr/>
            <w:r>
              <w:t xml:space="preserve">4</w:t>
            </w:r>
          </w:p>
        </w:tc>
        <w:tc>
          <w:tcPr>
            <w:tcW w:w="1872" w:type="dxa"/>
          </w:tcPr>
          <w:p>
            <w:pPr/>
            <w:r>
              <w:t xml:space="preserve">Content</w:t>
            </w:r>
          </w:p>
        </w:tc>
        <w:tc>
          <w:tcPr>
            <w:tcW w:w="1872" w:type="dxa"/>
          </w:tcPr>
          <w:p>
            <w:pPr/>
            <w:r>
              <w:t xml:space="preserve">Conservative-trial duration inconsistent</w:t>
            </w:r>
          </w:p>
        </w:tc>
        <w:tc>
          <w:tcPr>
            <w:tcW w:w="1872" w:type="dxa"/>
          </w:tcPr>
          <w:p>
            <w:pPr/>
            <w:r>
              <w:t xml:space="preserve">PT/NSAID/exercise use 3 months; CBT/weight mgmt/assistive device/other use 6 weeks</w:t>
            </w:r>
          </w:p>
        </w:tc>
        <w:tc>
          <w:tcPr>
            <w:tcW w:w="1872" w:type="dxa"/>
          </w:tcPr>
          <w:p>
            <w:pPr/>
            <w:r>
              <w:t xml:space="preserve">All measures use a consistent &gt;6-week window</w:t>
            </w:r>
          </w:p>
        </w:tc>
      </w:tr>
      <w:tr>
        <w:tc>
          <w:tcPr>
            <w:tcW w:w="1872" w:type="dxa"/>
          </w:tcPr>
          <w:p>
            <w:pPr/>
            <w:r>
              <w:t xml:space="preserve">5</w:t>
            </w:r>
          </w:p>
        </w:tc>
        <w:tc>
          <w:tcPr>
            <w:tcW w:w="1872" w:type="dxa"/>
          </w:tcPr>
          <w:p>
            <w:pPr/>
            <w:r>
              <w:t xml:space="preserve">Content</w:t>
            </w:r>
          </w:p>
        </w:tc>
        <w:tc>
          <w:tcPr>
            <w:tcW w:w="1872" w:type="dxa"/>
          </w:tcPr>
          <w:p>
            <w:pPr/>
            <w:r>
              <w:t xml:space="preserve">No validated outcome-score feature</w:t>
            </w:r>
          </w:p>
        </w:tc>
        <w:tc>
          <w:tcPr>
            <w:tcW w:w="1872" w:type="dxa"/>
          </w:tcPr>
          <w:p>
            <w:pPr/>
            <w:r>
              <w:t xml:space="preserve">No PROM feature exists</w:t>
            </w:r>
          </w:p>
        </w:tc>
        <w:tc>
          <w:tcPr>
            <w:tcW w:w="1872" w:type="dxa"/>
          </w:tcPr>
          <w:p>
            <w:pPr/>
            <w:r>
              <w:t xml:space="preserve">Table 3 ties surgical indication to KOOS &lt; 58 alongside qualitative severity</w:t>
            </w:r>
          </w:p>
        </w:tc>
      </w:tr>
      <w:tr>
        <w:tc>
          <w:tcPr>
            <w:tcW w:w="1872" w:type="dxa"/>
          </w:tcPr>
          <w:p>
            <w:pPr/>
            <w:r>
              <w:t xml:space="preserve">6</w:t>
            </w:r>
          </w:p>
        </w:tc>
        <w:tc>
          <w:tcPr>
            <w:tcW w:w="1872" w:type="dxa"/>
          </w:tcPr>
          <w:p>
            <w:pPr/>
            <w:r>
              <w:t xml:space="preserve">Low</w:t>
            </w:r>
          </w:p>
        </w:tc>
        <w:tc>
          <w:tcPr>
            <w:tcW w:w="1872" w:type="dxa"/>
          </w:tcPr>
          <w:p>
            <w:pPr/>
            <w:r>
              <w:t xml:space="preserve">CBT listed in old pathway, absent from new Table 1</w:t>
            </w:r>
          </w:p>
        </w:tc>
        <w:tc>
          <w:tcPr>
            <w:tcW w:w="1872" w:type="dxa"/>
          </w:tcPr>
          <w:p>
            <w:pPr/>
            <w:r>
              <w:t xml:space="preserve">CBT trial is one of seven conservative-treatment features</w:t>
            </w:r>
          </w:p>
        </w:tc>
        <w:tc>
          <w:tcPr>
            <w:tcW w:w="1872" w:type="dxa"/>
          </w:tcPr>
          <w:p>
            <w:pPr/>
            <w:r>
              <w:t xml:space="preserve">Table 1 lists PT, exercise, education, weight-loss counseling, assistive devices, and pharmacologic management only — no CBT</w:t>
            </w:r>
          </w:p>
        </w:tc>
      </w:tr>
    </w:tbl>
    <w:p>
      <w:pPr/>
      <w:r>
        <w:rPr>
          <w:b/>
        </w:rPr>
        <w:t xml:space="preserve">Worked example — Gap 1.</w:t>
      </w:r>
      <w:r>
        <w:t xml:space="preserve"> A patient has chronic knee pain, X-ray-confirmed DJD, and 45 minutes of morning stiffness. Under the old pathway, the stiffness fails the "must be absent" check and the patient is excluded at the first gate — before conservative treatment or severity are ever evaluated. Under the new pathway, that same stiffness supports the diagnosis, and the patient proceeds normally.</w:t>
      </w:r>
    </w:p>
    <w:p>
      <w:pPr/>
      <w:r>
        <w:rPr>
          <w:b/>
        </w:rPr>
        <w:t xml:space="preserve">Worked example — Gap 3.</w:t>
      </w:r>
      <w:r>
        <w:t xml:space="preserve"> Two patients, identical treatment history, both "no improvement." One has documented pain at rest, declining function, and cane use — clears the gate either way. The other's note just says "no improvement, refer for ortho evaluation" with no severity documentation. The old pathway refers both; the new pathway sends the second to "insufficient data" until severity is documented.</w:t>
      </w:r>
    </w:p>
    <w:p>
      <w:pPr/>
      <w:r>
        <w:rPr>
          <w:b/>
        </w:rPr>
        <w:t xml:space="preserve">Suggested fixes</w:t>
      </w:r>
    </w:p>
    <w:p>
      <w:pPr>
        <w:pStyle w:val="ListParagraph"/>
        <w:numPr>
          <w:ilvl w:val="0"/>
          <w:numId w:val="3"/>
        </w:numPr>
      </w:pPr>
      <w:r>
        <w:t xml:space="preserve">Remove the stiffness-absent requirement, or invert it into a fourth supporting signal.</w:t>
      </w:r>
    </w:p>
    <w:p>
      <w:pPr>
        <w:pStyle w:val="ListParagraph"/>
        <w:numPr>
          <w:ilvl w:val="0"/>
          <w:numId w:val="3"/>
        </w:numPr>
      </w:pPr>
      <w:r>
        <w:t xml:space="preserve">Add </w:t>
      </w:r>
      <w:r>
        <w:rPr>
          <w:rStyle w:val="CodeChar"/>
        </w:rPr>
        <w:t xml:space="preserve">conservative_care_intolerant_or_contraindicated</w:t>
      </w:r>
      <w:r>
        <w:t xml:space="preserve"> as a new feature and decision node ahead of the improvement check.</w:t>
      </w:r>
    </w:p>
    <w:p>
      <w:pPr>
        <w:pStyle w:val="ListParagraph"/>
        <w:numPr>
          <w:ilvl w:val="0"/>
          <w:numId w:val="3"/>
        </w:numPr>
      </w:pPr>
      <w:r>
        <w:t xml:space="preserve">Add severity features (pain_most_days, pain_at_rest_or_night, progressive_functional_decline, antalgic_gait_or_assistive_device) and a gate between "no improvement" and the refer terminal — combination logic (any vs. all) is an open question, see Section 4.</w:t>
      </w:r>
    </w:p>
    <w:p>
      <w:pPr>
        <w:pStyle w:val="ListParagraph"/>
        <w:numPr>
          <w:ilvl w:val="0"/>
          <w:numId w:val="3"/>
        </w:numPr>
      </w:pPr>
      <w:r>
        <w:t xml:space="preserve">Standardize all conservative-trial durations to 6 weeks.</w:t>
      </w:r>
    </w:p>
    <w:p>
      <w:pPr>
        <w:pStyle w:val="ListParagraph"/>
        <w:numPr>
          <w:ilvl w:val="0"/>
          <w:numId w:val="3"/>
        </w:numPr>
      </w:pPr>
      <w:r>
        <w:t xml:space="preserve">Add a </w:t>
      </w:r>
      <w:r>
        <w:rPr>
          <w:rStyle w:val="CodeChar"/>
        </w:rPr>
        <w:t xml:space="preserve">koos_score</w:t>
      </w:r>
      <w:r>
        <w:t xml:space="preserve"> feature with a &lt;58 threshold check.</w:t>
      </w:r>
    </w:p>
    <w:p>
      <w:pPr/>
      <w:r>
        <w:t xml:space="preserve">*A more granular internal gap review of this same file additionally enumerates 14 line-item findings (structural, content, and governance) across both the knee and hip YAMLs — including that inflammatory arthritis is now a qualifying diagnosis under the new chart but the current pathway still uses it as an exclusion, and that only 1 of 7 Table 3 clinical indications and none of the Table 2 alternate qualifying diagnoses are currently modeled. That review's full findings should be reconciled with this document before implementation.</w:t>
      </w:r>
    </w:p>
    <w:p>
      <w:pPr>
        <w:pStyle w:val="Heading2"/>
      </w:pPr>
      <w:r>
        <w:t xml:space="preserve">2. Total Hip Replacement</w:t>
      </w:r>
    </w:p>
    <w:p>
      <w:pPr/>
      <w:r>
        <w:t xml:space="preserve">Current file: </w:t>
      </w:r>
      <w:r>
        <w:rPr>
          <w:rStyle w:val="CodeChar"/>
        </w:rPr>
        <w:t xml:space="preserve">pathways/hip_replacement_v0_0_1.yaml</w:t>
      </w:r>
      <w:r>
        <w:t xml:space="preserve">. Hip and knee were built as near-identical clones of each other, and the 2026 PDF covers both joints in one chart — so all six structural/content gaps listed for knee in Section 1 apply to hip in the same way, with HOOS in place of KOOS. What differs between the two joints is only the underlying code lists.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Hip</w:t>
            </w:r>
          </w:p>
        </w:tc>
        <w:tc>
          <w:tcPr>
            <w:tcW w:w="3120" w:type="dxa"/>
            <w:shd w:val="clear" w:color="auto" w:fill="F2F2F2"/>
          </w:tcPr>
          <w:p>
            <w:pPr/>
            <w:r>
              <w:t xml:space="preserve">Knee</w:t>
            </w:r>
          </w:p>
        </w:tc>
      </w:tr>
      <w:tr>
        <w:tc>
          <w:tcPr>
            <w:tcW w:w="3120" w:type="dxa"/>
          </w:tcPr>
          <w:p>
            <w:pPr/>
            <w:r>
              <w:t xml:space="preserve">Pain / OA diagnosis (ICD-10-CM)</w:t>
            </w:r>
          </w:p>
        </w:tc>
        <w:tc>
          <w:tcPr>
            <w:tcW w:w="3120" w:type="dxa"/>
          </w:tcPr>
          <w:p>
            <w:pPr/>
            <w:r>
              <w:t xml:space="preserve">M25.55x, M16.*</w:t>
            </w:r>
          </w:p>
        </w:tc>
        <w:tc>
          <w:tcPr>
            <w:tcW w:w="3120" w:type="dxa"/>
          </w:tcPr>
          <w:p>
            <w:pPr/>
            <w:r>
              <w:t xml:space="preserve">M25.56x, M17.*</w:t>
            </w:r>
          </w:p>
        </w:tc>
      </w:tr>
      <w:tr>
        <w:tc>
          <w:tcPr>
            <w:tcW w:w="3120" w:type="dxa"/>
          </w:tcPr>
          <w:p>
            <w:pPr/>
            <w:r>
              <w:t xml:space="preserve">Weightbearing X-ray (CPT)</w:t>
            </w:r>
          </w:p>
        </w:tc>
        <w:tc>
          <w:tcPr>
            <w:tcW w:w="3120" w:type="dxa"/>
          </w:tcPr>
          <w:p>
            <w:pPr/>
            <w:r>
              <w:t xml:space="preserve">73501–73503</w:t>
            </w:r>
          </w:p>
        </w:tc>
        <w:tc>
          <w:tcPr>
            <w:tcW w:w="3120" w:type="dxa"/>
          </w:tcPr>
          <w:p>
            <w:pPr/>
            <w:r>
              <w:t xml:space="preserve">73560–73564</w:t>
            </w:r>
          </w:p>
        </w:tc>
      </w:tr>
      <w:tr>
        <w:tc>
          <w:tcPr>
            <w:tcW w:w="3120" w:type="dxa"/>
          </w:tcPr>
          <w:p>
            <w:pPr/>
            <w:r>
              <w:t xml:space="preserve">OA (SNOMED CT)</w:t>
            </w:r>
          </w:p>
        </w:tc>
        <w:tc>
          <w:tcPr>
            <w:tcW w:w="3120" w:type="dxa"/>
          </w:tcPr>
          <w:p>
            <w:pPr/>
            <w:r>
              <w:t xml:space="preserve">239873007, 49218002</w:t>
            </w:r>
          </w:p>
        </w:tc>
        <w:tc>
          <w:tcPr>
            <w:tcW w:w="3120" w:type="dxa"/>
          </w:tcPr>
          <w:p>
            <w:pPr/>
            <w:r>
              <w:t xml:space="preserve">239872002, 30989003</w:t>
            </w:r>
          </w:p>
        </w:tc>
      </w:tr>
      <w:tr>
        <w:tc>
          <w:tcPr>
            <w:tcW w:w="3120" w:type="dxa"/>
          </w:tcPr>
          <w:p>
            <w:pPr/>
            <w:r>
              <w:t xml:space="preserve">Additional "other" conservative measures</w:t>
            </w:r>
          </w:p>
        </w:tc>
        <w:tc>
          <w:tcPr>
            <w:tcW w:w="3120" w:type="dxa"/>
          </w:tcPr>
          <w:p>
            <w:pPr/>
            <w:r>
              <w:t xml:space="preserve">none joint-specific</w:t>
            </w:r>
          </w:p>
        </w:tc>
        <w:tc>
          <w:tcPr>
            <w:tcW w:w="3120" w:type="dxa"/>
          </w:tcPr>
          <w:p>
            <w:pPr/>
            <w:r>
              <w:t xml:space="preserve">Hyaluronan injections (J7321–J7329), knee orthoses (L1810–L1860)</w:t>
            </w:r>
          </w:p>
        </w:tc>
      </w:tr>
      <w:tr>
        <w:tc>
          <w:tcPr>
            <w:tcW w:w="3120" w:type="dxa"/>
          </w:tcPr>
          <w:p>
            <w:pPr/>
            <w:r>
              <w:t xml:space="preserve">Terminal wording</w:t>
            </w:r>
          </w:p>
        </w:tc>
        <w:tc>
          <w:tcPr>
            <w:tcW w:w="3120" w:type="dxa"/>
          </w:tcPr>
          <w:p>
            <w:pPr/>
            <w:r>
              <w:t xml:space="preserve">"hip surgery referral," "chronic hip pain with DJD"</w:t>
            </w:r>
          </w:p>
        </w:tc>
        <w:tc>
          <w:tcPr>
            <w:tcW w:w="3120" w:type="dxa"/>
          </w:tcPr>
          <w:p>
            <w:pPr/>
            <w:r>
              <w:t xml:space="preserve">"knee surgery referral," "chronic knee pain with DJD"</w:t>
            </w:r>
          </w:p>
        </w:tc>
      </w:tr>
      <w:tr>
        <w:tc>
          <w:tcPr>
            <w:tcW w:w="3120" w:type="dxa"/>
          </w:tcPr>
          <w:p>
            <w:pPr/>
            <w:r>
              <w:t xml:space="preserve">Outcome-score instrument (Gap 5)</w:t>
            </w:r>
          </w:p>
        </w:tc>
        <w:tc>
          <w:tcPr>
            <w:tcW w:w="3120" w:type="dxa"/>
          </w:tcPr>
          <w:p>
            <w:pPr/>
            <w:r>
              <w:t xml:space="preserve">HOOS &lt; 58</w:t>
            </w:r>
          </w:p>
        </w:tc>
        <w:tc>
          <w:tcPr>
            <w:tcW w:w="3120" w:type="dxa"/>
          </w:tcPr>
          <w:p>
            <w:pPr/>
            <w:r>
              <w:t xml:space="preserve">KOOS &lt; 58</w:t>
            </w:r>
          </w:p>
        </w:tc>
      </w:tr>
    </w:tbl>
    <w:p>
      <w:pPr/>
      <w:r>
        <w:t xml:space="preserve">These code-list differences are intentional and need no fix — confirming the split is correct is the only action item here. The six structural/content fixes in Section 1 should be applied to both files together, since they were built and will need to be maintained as a matched pair.</w:t>
      </w:r>
    </w:p>
    <w:p>
      <w:pPr>
        <w:pStyle w:val="Heading2"/>
      </w:pPr>
      <w:r>
        <w:t xml:space="preserve">3. Pre-Operative Cardiac Risk Assessment</w:t>
      </w:r>
    </w:p>
    <w:p>
      <w:pPr/>
      <w:r>
        <w:t xml:space="preserve">Current file: </w:t>
      </w:r>
      <w:r>
        <w:rPr>
          <w:rStyle w:val="CodeChar"/>
        </w:rPr>
        <w:t xml:space="preserve">pathways/preop_cardiac_risk_v1.yaml</w:t>
      </w:r>
      <w:r>
        <w:t xml:space="preserve">, compared against the 2026 </w:t>
      </w:r>
      <w:r>
        <w:rPr>
          <w:i/>
        </w:rPr>
        <w:t xml:space="preserve">Pre-Operative Cardiac Risk Assessment for Non-Cardiac Surgery</w:t>
      </w:r>
      <w:r>
        <w:t xml:space="preserve"> chart. Unlike the joint pathways, this one doesn't decide whether surgery happens — it only assesses whether the heart is safe for a surgery already scheduled. It runs ahead of any non-cardiac surgery, including knee and hip replacement.</w:t>
      </w:r>
    </w:p>
    <w:p>
      <w:pPr/>
      <w:r>
        <w:rPr>
          <w:b/>
        </w:rPr>
        <w:t xml:space="preserve">Outcomes.</w:t>
      </w:r>
      <w:r>
        <w:t xml:space="preserve"> The old pathway has three: Proceed to surgery, Cardiology consult, Insufficient data. The new chart adds a fourth — </w:t>
      </w:r>
      <w:r>
        <w:rPr>
          <w:b/>
        </w:rPr>
        <w:t xml:space="preserve">Defer surgery, manage acute condition</w:t>
      </w:r>
      <w:r>
        <w:t xml:space="preserve"> — which the old pathway has no way to reach. That missing outcome is the single biggest gap below.</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Severity</w:t>
            </w:r>
          </w:p>
        </w:tc>
        <w:tc>
          <w:tcPr>
            <w:tcW w:w="1872" w:type="dxa"/>
            <w:shd w:val="clear" w:color="auto" w:fill="F2F2F2"/>
          </w:tcPr>
          <w:p>
            <w:pPr/>
            <w:r>
              <w:t xml:space="preserve">Gap</w:t>
            </w:r>
          </w:p>
        </w:tc>
        <w:tc>
          <w:tcPr>
            <w:tcW w:w="1872" w:type="dxa"/>
            <w:shd w:val="clear" w:color="auto" w:fill="F2F2F2"/>
          </w:tcPr>
          <w:p>
            <w:pPr/>
            <w:r>
              <w:t xml:space="preserve">Old rule</w:t>
            </w:r>
          </w:p>
        </w:tc>
        <w:tc>
          <w:tcPr>
            <w:tcW w:w="1872" w:type="dxa"/>
            <w:shd w:val="clear" w:color="auto" w:fill="F2F2F2"/>
          </w:tcPr>
          <w:p>
            <w:pPr/>
            <w:r>
              <w:t xml:space="preserve">New rule</w:t>
            </w:r>
          </w:p>
        </w:tc>
      </w:tr>
      <w:tr>
        <w:tc>
          <w:tcPr>
            <w:tcW w:w="1872" w:type="dxa"/>
          </w:tcPr>
          <w:p>
            <w:pPr/>
            <w:r>
              <w:t xml:space="preserve">1</w:t>
            </w:r>
          </w:p>
        </w:tc>
        <w:tc>
          <w:tcPr>
            <w:tcW w:w="1872" w:type="dxa"/>
          </w:tcPr>
          <w:p>
            <w:pPr/>
            <w:r>
              <w:t xml:space="preserve">Structural</w:t>
            </w:r>
          </w:p>
        </w:tc>
        <w:tc>
          <w:tcPr>
            <w:tcW w:w="1872" w:type="dxa"/>
          </w:tcPr>
          <w:p>
            <w:pPr/>
            <w:r>
              <w:t xml:space="preserve">No "is surgery emergent" check at the top</w:t>
            </w:r>
          </w:p>
        </w:tc>
        <w:tc>
          <w:tcPr>
            <w:tcW w:w="1872" w:type="dxa"/>
          </w:tcPr>
          <w:p>
            <w:pPr/>
            <w:r>
              <w:t xml:space="preserve">Goes straight into checking high-risk cardiac conditions regardless of urgency</w:t>
            </w:r>
          </w:p>
        </w:tc>
        <w:tc>
          <w:tcPr>
            <w:tcW w:w="1872" w:type="dxa"/>
          </w:tcPr>
          <w:p>
            <w:pPr/>
            <w:r>
              <w:t xml:space="preserve">First question is whether surgery is emergent; yes routes straight to proceed, skipping the workup entirely</w:t>
            </w:r>
          </w:p>
        </w:tc>
      </w:tr>
      <w:tr>
        <w:tc>
          <w:tcPr>
            <w:tcW w:w="1872" w:type="dxa"/>
          </w:tcPr>
          <w:p>
            <w:pPr/>
            <w:r>
              <w:t xml:space="preserve">2</w:t>
            </w:r>
          </w:p>
        </w:tc>
        <w:tc>
          <w:tcPr>
            <w:tcW w:w="1872" w:type="dxa"/>
          </w:tcPr>
          <w:p>
            <w:pPr/>
            <w:r>
              <w:t xml:space="preserve">Structural</w:t>
            </w:r>
          </w:p>
        </w:tc>
        <w:tc>
          <w:tcPr>
            <w:tcW w:w="1872" w:type="dxa"/>
          </w:tcPr>
          <w:p>
            <w:pPr/>
            <w:r>
              <w:t xml:space="preserve">No "defer surgery" outcome for acute, unstable conditions</w:t>
            </w:r>
          </w:p>
        </w:tc>
        <w:tc>
          <w:tcPr>
            <w:tcW w:w="1872" w:type="dxa"/>
          </w:tcPr>
          <w:p>
            <w:pPr/>
            <w:r>
              <w:t xml:space="preserve">Active ACS, unstable arrhythmia, decompensated HF all fall into one general high-risk bucket → routes only to cardiology consult</w:t>
            </w:r>
          </w:p>
        </w:tc>
        <w:tc>
          <w:tcPr>
            <w:tcW w:w="1872" w:type="dxa"/>
          </w:tcPr>
          <w:p>
            <w:pPr/>
            <w:r>
              <w:t xml:space="preserve">These get a dedicated outcome: defer surgery and manage the acute condition first, before a routine consult is even relevant</w:t>
            </w:r>
          </w:p>
        </w:tc>
      </w:tr>
      <w:tr>
        <w:tc>
          <w:tcPr>
            <w:tcW w:w="1872" w:type="dxa"/>
          </w:tcPr>
          <w:p>
            <w:pPr/>
            <w:r>
              <w:t xml:space="preserve">3</w:t>
            </w:r>
          </w:p>
        </w:tc>
        <w:tc>
          <w:tcPr>
            <w:tcW w:w="1872" w:type="dxa"/>
          </w:tcPr>
          <w:p>
            <w:pPr/>
            <w:r>
              <w:t xml:space="preserve">Content</w:t>
            </w:r>
          </w:p>
        </w:tc>
        <w:tc>
          <w:tcPr>
            <w:tcW w:w="1872" w:type="dxa"/>
          </w:tcPr>
          <w:p>
            <w:pPr/>
            <w:r>
              <w:t xml:space="preserve">Valve disease / pulmonary HTN thresholds too loose</w:t>
            </w:r>
          </w:p>
        </w:tc>
        <w:tc>
          <w:tcPr>
            <w:tcW w:w="1872" w:type="dxa"/>
          </w:tcPr>
          <w:p>
            <w:pPr/>
            <w:r>
              <w:t xml:space="preserve">Moderate-or-greater triggers the high-risk gate</w:t>
            </w:r>
          </w:p>
        </w:tc>
        <w:tc>
          <w:tcPr>
            <w:tcW w:w="1872" w:type="dxa"/>
          </w:tcPr>
          <w:p>
            <w:pPr/>
            <w:r>
              <w:t xml:space="preserve">Only </w:t>
            </w:r>
            <w:r>
              <w:rPr>
                <w:b/>
              </w:rPr>
              <w:t xml:space="preserve">severe</w:t>
            </w:r>
            <w:r>
              <w:t xml:space="preserve"> valve disease / pulmonary HTN trigger this specific gate</w:t>
            </w:r>
          </w:p>
        </w:tc>
      </w:tr>
      <w:tr>
        <w:tc>
          <w:tcPr>
            <w:tcW w:w="1872" w:type="dxa"/>
          </w:tcPr>
          <w:p>
            <w:pPr/>
            <w:r>
              <w:t xml:space="preserve">4</w:t>
            </w:r>
          </w:p>
        </w:tc>
        <w:tc>
          <w:tcPr>
            <w:tcW w:w="1872" w:type="dxa"/>
          </w:tcPr>
          <w:p>
            <w:pPr/>
            <w:r>
              <w:t xml:space="preserve">Content</w:t>
            </w:r>
          </w:p>
        </w:tc>
        <w:tc>
          <w:tcPr>
            <w:tcW w:w="1872" w:type="dxa"/>
          </w:tcPr>
          <w:p>
            <w:pPr/>
            <w:r>
              <w:t xml:space="preserve">Recent stroke buried in RCRI</w:t>
            </w:r>
          </w:p>
        </w:tc>
        <w:tc>
          <w:tcPr>
            <w:tcW w:w="1872" w:type="dxa"/>
          </w:tcPr>
          <w:p>
            <w:pPr/>
            <w:r>
              <w:rPr>
                <w:rStyle w:val="CodeChar"/>
              </w:rPr>
              <w:t xml:space="preserve">cerebrovascular_disease_history</w:t>
            </w:r>
            <w:r>
              <w:t xml:space="preserve"> is one item inside the RCRI checklist, weighted the same as any other factor</w:t>
            </w:r>
          </w:p>
        </w:tc>
        <w:tc>
          <w:tcPr>
            <w:tcW w:w="1872" w:type="dxa"/>
          </w:tcPr>
          <w:p>
            <w:pPr/>
            <w:r>
              <w:t xml:space="preserve">A </w:t>
            </w:r>
            <w:r>
              <w:rPr>
                <w:b/>
              </w:rPr>
              <w:t xml:space="preserve">recent</w:t>
            </w:r>
            <w:r>
              <w:t xml:space="preserve"> stroke is pulled out as its own early trigger, ahead of the low-risk-surgery shortcut</w:t>
            </w:r>
          </w:p>
        </w:tc>
      </w:tr>
      <w:tr>
        <w:tc>
          <w:tcPr>
            <w:tcW w:w="1872" w:type="dxa"/>
          </w:tcPr>
          <w:p>
            <w:pPr/>
            <w:r>
              <w:t xml:space="preserve">5</w:t>
            </w:r>
          </w:p>
        </w:tc>
        <w:tc>
          <w:tcPr>
            <w:tcW w:w="1872" w:type="dxa"/>
          </w:tcPr>
          <w:p>
            <w:pPr/>
            <w:r>
              <w:t xml:space="preserve">Content</w:t>
            </w:r>
          </w:p>
        </w:tc>
        <w:tc>
          <w:tcPr>
            <w:tcW w:w="1872" w:type="dxa"/>
          </w:tcPr>
          <w:p>
            <w:pPr/>
            <w:r>
              <w:t xml:space="preserve">Congenital heart disease trigger too broad</w:t>
            </w:r>
          </w:p>
        </w:tc>
        <w:tc>
          <w:tcPr>
            <w:tcW w:w="1872" w:type="dxa"/>
          </w:tcPr>
          <w:p>
            <w:pPr/>
            <w:r>
              <w:t xml:space="preserve">Fires on any congenital code (Q20–Q28), including low-risk incidental findings</w:t>
            </w:r>
          </w:p>
        </w:tc>
        <w:tc>
          <w:tcPr>
            <w:tcW w:w="1872" w:type="dxa"/>
          </w:tcPr>
          <w:p>
            <w:pPr/>
            <w:r>
              <w:t xml:space="preserve">Only </w:t>
            </w:r>
            <w:r>
              <w:rPr>
                <w:b/>
              </w:rPr>
              <w:t xml:space="preserve">elevated-risk</w:t>
            </w:r>
            <w:r>
              <w:t xml:space="preserve"> congenital heart disease should trigger consult</w:t>
            </w:r>
          </w:p>
        </w:tc>
      </w:tr>
      <w:tr>
        <w:tc>
          <w:tcPr>
            <w:tcW w:w="1872" w:type="dxa"/>
          </w:tcPr>
          <w:p>
            <w:pPr/>
            <w:r>
              <w:t xml:space="preserve">6</w:t>
            </w:r>
          </w:p>
        </w:tc>
        <w:tc>
          <w:tcPr>
            <w:tcW w:w="1872" w:type="dxa"/>
          </w:tcPr>
          <w:p>
            <w:pPr/>
            <w:r>
              <w:t xml:space="preserve">Low / Open</w:t>
            </w:r>
          </w:p>
        </w:tc>
        <w:tc>
          <w:tcPr>
            <w:tcW w:w="1872" w:type="dxa"/>
          </w:tcPr>
          <w:p>
            <w:pPr/>
            <w:r>
              <w:t xml:space="preserve">Implantable device / "other" catch-all not in new trigger list</w:t>
            </w:r>
          </w:p>
        </w:tc>
        <w:tc>
          <w:tcPr>
            <w:tcW w:w="1872" w:type="dxa"/>
          </w:tcPr>
          <w:p>
            <w:pPr/>
            <w:r>
              <w:rPr>
                <w:rStyle w:val="CodeChar"/>
              </w:rPr>
              <w:t xml:space="preserve">cardiac_implantable_device_present</w:t>
            </w:r>
            <w:r>
              <w:t xml:space="preserve"> and </w:t>
            </w:r>
            <w:r>
              <w:rPr>
                <w:rStyle w:val="CodeChar"/>
              </w:rPr>
              <w:t xml:space="preserve">other_high_risk_cardiac_condition</w:t>
            </w:r>
            <w:r>
              <w:t xml:space="preserve"> sit in the high-risk gate</w:t>
            </w:r>
          </w:p>
        </w:tc>
        <w:tc>
          <w:tcPr>
            <w:tcW w:w="1872" w:type="dxa"/>
          </w:tcPr>
          <w:p>
            <w:pPr/>
            <w:r>
              <w:t xml:space="preserve">New chart's early-trigger list names exactly four conditions, no device or catch-all category</w:t>
            </w:r>
          </w:p>
        </w:tc>
      </w:tr>
    </w:tbl>
    <w:p>
      <w:pPr/>
      <w:r>
        <w:rPr>
          <w:b/>
        </w:rPr>
        <w:t xml:space="preserve">Worked example — Gap 1.</w:t>
      </w:r>
      <w:r>
        <w:t xml:space="preserve"> Mr. Sharma needs an emergency appendectomy and has active unstable angina. Old pathway: unstable angina fires the high-risk gate (which never checks urgency), routing to "cardiology consult" — reads as routine even though his appendix could rupture at any moment. New pathway: emergent surgery is confirmed first, so he proceeds immediately with no workup delay.</w:t>
      </w:r>
    </w:p>
    <w:p>
      <w:pPr/>
      <w:r>
        <w:rPr>
          <w:b/>
        </w:rPr>
        <w:t xml:space="preserve">Worked example — Gap 2.</w:t>
      </w:r>
      <w:r>
        <w:t xml:space="preserve"> Mr. Bhat is scheduled for elective hip replacement and reports chest pain that started yesterday and hasn't stopped — unstable angina, but not an emergency. Old pathway: lands on "cardiology consult," which reads as a routine referral to schedule before the surgery date. New pathway: recognizes unstable angina as acute and lands on "defer surgery, manage acute condition" — hold the elective surgery, get urgent cardiac attention now, revisit once stabilized.</w:t>
      </w:r>
    </w:p>
    <w:p>
      <w:pPr/>
      <w:r>
        <w:rPr>
          <w:b/>
        </w:rPr>
        <w:t xml:space="preserve">Feasibility flag on Gap 1.</w:t>
      </w:r>
      <w:r>
        <w:t xml:space="preserve"> Where would an "emergent" flag come from? Unlikely to be a clean structured field in claims or the CCD — most likely the clinician's free-text procedure note ("urgent," "emergent," "STAT"), which the extraction agent would need to be built to catch. If the pipeline runs off next-day scheduled appointments, a true same-day emergency may have no appointment to extract from at all — worth confirming this is reachable in the current architecture before building it.</w:t>
      </w:r>
    </w:p>
    <w:p>
      <w:pPr/>
      <w:r>
        <w:rPr>
          <w:b/>
        </w:rPr>
        <w:t xml:space="preserve">Beyond the pathway itself.</w:t>
      </w:r>
      <w:r>
        <w:t xml:space="preserve"> Two system-level items surfaced during this review, not fixes to the YAML:</w:t>
      </w:r>
    </w:p>
    <w:p>
      <w:pPr>
        <w:pStyle w:val="ListParagraph"/>
        <w:numPr>
          <w:ilvl w:val="0"/>
          <w:numId w:val="4"/>
        </w:numPr>
      </w:pPr>
      <w:r>
        <w:rPr>
          <w:b/>
        </w:rPr>
        <w:t xml:space="preserve">Eligibility shouldn't depend on the note mentioning "cardiac."</w:t>
      </w:r>
      <w:r>
        <w:t xml:space="preserve"> Today a pathway becomes eligible when the note or problem list matches what it's looking for. Pre-op cardiac isn't condition-specific — it should become eligible automatically whenever any surgical pathway (knee, hip, future ones) becomes eligible, rather than relying on cardiac-sounding language in the note.</w:t>
      </w:r>
    </w:p>
    <w:p>
      <w:pPr>
        <w:pStyle w:val="ListParagraph"/>
        <w:numPr>
          <w:ilvl w:val="0"/>
          <w:numId w:val="4"/>
        </w:numPr>
      </w:pPr>
      <w:r>
        <w:rPr>
          <w:b/>
        </w:rPr>
        <w:t xml:space="preserve">The emergent-surgery check may not fit the current pipeline.</w:t>
      </w:r>
      <w:r>
        <w:t xml:space="preserve"> If extraction runs off next-day scheduled appointments (nightly batch), a true same-day emergency may not have the lead time or even a traditional appointment to extract from.</w:t>
      </w:r>
    </w:p>
    <w:p>
      <w:pPr>
        <w:pStyle w:val="Heading2"/>
      </w:pPr>
      <w:r>
        <w:t xml:space="preserve">4. Open Questions for Clinical Team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Pathway</w:t>
            </w:r>
          </w:p>
        </w:tc>
        <w:tc>
          <w:tcPr>
            <w:tcW w:w="3120" w:type="dxa"/>
            <w:shd w:val="clear" w:color="auto" w:fill="F2F2F2"/>
          </w:tcPr>
          <w:p>
            <w:pPr/>
            <w:r>
              <w:t xml:space="preserve">Question</w:t>
            </w:r>
          </w:p>
        </w:tc>
        <w:tc>
          <w:tcPr>
            <w:tcW w:w="3120" w:type="dxa"/>
            <w:shd w:val="clear" w:color="auto" w:fill="F2F2F2"/>
          </w:tcPr>
          <w:p>
            <w:pPr/>
            <w:r>
              <w:t xml:space="preserve">Why it matters</w:t>
            </w:r>
          </w:p>
        </w:tc>
      </w:tr>
      <w:tr>
        <w:tc>
          <w:tcPr>
            <w:tcW w:w="3120" w:type="dxa"/>
          </w:tcPr>
          <w:p>
            <w:pPr/>
            <w:r>
              <w:t xml:space="preserve">Knee / Hip</w:t>
            </w:r>
          </w:p>
        </w:tc>
        <w:tc>
          <w:tcPr>
            <w:tcW w:w="3120" w:type="dxa"/>
          </w:tcPr>
          <w:p>
            <w:pPr/>
            <w:r>
              <w:t xml:space="preserve">Severity gate: any-one-true, or all-four-true?</w:t>
            </w:r>
          </w:p>
        </w:tc>
        <w:tc>
          <w:tcPr>
            <w:tcW w:w="3120" w:type="dxa"/>
          </w:tcPr>
          <w:p>
            <w:pPr/>
            <w:r>
              <w:t xml:space="preserve">The new severity &amp; functional-impact question lists four criteria (pain most days, pain at rest/night, progressive functional decline, antalgic gait/assistive device). The chart doesn't say whether one is enough or all four are required. "Any true" would refer most patients who've failed conservative care; "all true" would push many to "insufficient data" instead — a real fork in outcomes, not a wording detail.</w:t>
            </w:r>
          </w:p>
        </w:tc>
      </w:tr>
      <w:tr>
        <w:tc>
          <w:tcPr>
            <w:tcW w:w="3120" w:type="dxa"/>
          </w:tcPr>
          <w:p>
            <w:pPr/>
            <w:r>
              <w:t xml:space="preserve">Cardiac</w:t>
            </w:r>
          </w:p>
        </w:tc>
        <w:tc>
          <w:tcPr>
            <w:tcW w:w="3120" w:type="dxa"/>
          </w:tcPr>
          <w:p>
            <w:pPr/>
            <w:r>
              <w:t xml:space="preserve">Do implantable device and "other high-risk condition" still belong?</w:t>
            </w:r>
          </w:p>
        </w:tc>
        <w:tc>
          <w:tcPr>
            <w:tcW w:w="3120" w:type="dxa"/>
          </w:tcPr>
          <w:p>
            <w:pPr/>
            <w:r>
              <w:t xml:space="preserve">Neither appears in the new chart's four-item early-trigger list (severe valve disease, severe pulmonary HTN, elevated-risk congenital heart disease, recent stroke). This may mean a device alone shouldn't trigger consult under the new guidance, or the source chart may simply not have called it out. Needs a decision: drop, keep as-is, or fold into one of the four named triggers.</w:t>
            </w:r>
          </w:p>
        </w:tc>
      </w:tr>
    </w:tbl>
    <w:p>
      <w:pPr/>
      <w:r>
        <w:t xml:space="preserve">Neither of these should be resolved by guessing at implementation time — both need a clinical-team call before the corresponding YAML change lands.</w:t>
      </w:r>
    </w:p>
    <w:p>
      <w:pPr>
        <w:pStyle w:val="Heading2"/>
      </w:pPr>
      <w:r>
        <w:t xml:space="preserve">5. Suggested Sequencing</w:t>
      </w:r>
    </w:p>
    <w:p>
      <w:pPr>
        <w:pStyle w:val="ListParagraph"/>
        <w:numPr>
          <w:ilvl w:val="0"/>
          <w:numId w:val="5"/>
        </w:numPr>
      </w:pPr>
      <w:r>
        <w:rPr>
          <w:b/>
        </w:rPr>
        <w:t xml:space="preserve">Clinical committee decisions first.</w:t>
      </w:r>
      <w:r>
        <w:t xml:space="preserve"> Resolve the open questions in Section 4, plus any item above where old and new logic actively conflict (knee/hip Gap 1 — stiffness; cardiac Gaps 1–2 — emergent/defer). These change clinical meaning and can't be resolved from the PDFs alone.</w:t>
      </w:r>
    </w:p>
    <w:p>
      <w:pPr>
        <w:pStyle w:val="ListParagraph"/>
        <w:numPr>
          <w:ilvl w:val="0"/>
          <w:numId w:val="5"/>
        </w:numPr>
      </w:pPr>
      <w:r>
        <w:rPr>
          <w:b/>
        </w:rPr>
        <w:t xml:space="preserve">Structural rebuilds.</w:t>
      </w:r>
      <w:r>
        <w:t xml:space="preserve"> New decision nodes and terminal types: the severity gate and intolerance branch (knee/hip), the emergent-surgery and defer-surgery nodes (cardiac). These touch the rules engine and any golden-path tests.</w:t>
      </w:r>
    </w:p>
    <w:p>
      <w:pPr>
        <w:pStyle w:val="ListParagraph"/>
        <w:numPr>
          <w:ilvl w:val="0"/>
          <w:numId w:val="5"/>
        </w:numPr>
      </w:pPr>
      <w:r>
        <w:rPr>
          <w:b/>
        </w:rPr>
        <w:t xml:space="preserve">Feature-level edits.</w:t>
      </w:r>
      <w:r>
        <w:t xml:space="preserve"> Threshold and duration changes, code-list narrowing (valve/pulm HTN severity, congenital scope, conservative-trial duration) — mechanical once the structure above is settled.</w:t>
      </w:r>
    </w:p>
    <w:p>
      <w:pPr>
        <w:pStyle w:val="ListParagraph"/>
        <w:numPr>
          <w:ilvl w:val="0"/>
          <w:numId w:val="5"/>
        </w:numPr>
      </w:pPr>
      <w:r>
        <w:rPr>
          <w:b/>
        </w:rPr>
        <w:t xml:space="preserve">Outcome-score integration.</w:t>
      </w:r>
      <w:r>
        <w:t xml:space="preserve"> Add KOOS/HOOS as a feature feeding the severity gate (knee/hip).</w:t>
      </w:r>
    </w:p>
    <w:p>
      <w:pPr>
        <w:pStyle w:val="ListParagraph"/>
        <w:numPr>
          <w:ilvl w:val="0"/>
          <w:numId w:val="5"/>
        </w:numPr>
      </w:pPr>
      <w:r>
        <w:rPr>
          <w:b/>
        </w:rPr>
        <w:t xml:space="preserve">System-level follow-up.</w:t>
      </w:r>
      <w:r>
        <w:t xml:space="preserve"> Raise the eligibility-triggering question and the emergent-surgery pipeline feasibility (Section 3) with whoever owns pathway matching and the extraction pipeline — these sit outside the YAML files themselves.</w:t>
      </w:r>
    </w:p>
    <w:p>
      <w:pPr>
        <w:pStyle w:val="ListParagraph"/>
        <w:numPr>
          <w:ilvl w:val="0"/>
          <w:numId w:val="5"/>
        </w:numPr>
      </w:pPr>
      <w:r>
        <w:rPr>
          <w:b/>
        </w:rPr>
        <w:t xml:space="preserve">Governance cleanup.</w:t>
      </w:r>
      <w:r>
        <w:t xml:space="preserve"> Update </w:t>
      </w:r>
      <w:r>
        <w:rPr>
          <w:rStyle w:val="CodeChar"/>
        </w:rPr>
        <w:t xml:space="preserve">last_reviewed</w:t>
      </w:r>
      <w:r>
        <w:t xml:space="preserve">, </w:t>
      </w:r>
      <w:r>
        <w:rPr>
          <w:rStyle w:val="CodeChar"/>
        </w:rPr>
        <w:t xml:space="preserve">version</w:t>
      </w:r>
      <w:r>
        <w:t xml:space="preserve">, and clinical-reference metadata on all three files once content changes are final.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Pathway Gap Analysis — 2026 Source Refresh</dc:title>
  <dc:description>Claude Docs node/b62dc07c-5421@7 docx-w6</dc:description>
  <cp:revision>7</cp:revision>
</cp:coreProperties>
</file>