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Table Store Testing Report</w:t>
      </w:r>
    </w:p>
    <w:p>
      <w:pPr>
        <w:jc w:val="center"/>
      </w:pPr>
      <w:r>
        <w:rPr>
          <w:color w:val="404040"/>
          <w:sz w:val="26"/>
        </w:rPr>
        <w:t>MANTHAN AI-RAG — Financial Table Extraction &amp; Retrieval Validation</w:t>
      </w:r>
    </w:p>
    <w:p>
      <w:pPr>
        <w:jc w:val="center"/>
      </w:pPr>
      <w:r>
        <w:rPr>
          <w:i/>
          <w:sz w:val="21"/>
        </w:rPr>
        <w:t>Test Document: FY2025-26_Corporate_Finance_Performance_Report (1)</w:t>
      </w:r>
    </w:p>
    <w:p/>
    <w:p>
      <w:pPr>
        <w:pStyle w:val="Heading1"/>
      </w:pPr>
      <w:r>
        <w:rPr>
          <w:color w:val="1F2A44"/>
        </w:rPr>
        <w:t>1. Objective</w:t>
      </w:r>
    </w:p>
    <w:p>
      <w:r>
        <w:rPr>
          <w:b w:val="0"/>
        </w:rPr>
        <w:t>This report documents the functional testing of the table_store component within the MANTHAN AI-RAG ingestion and retrieval pipeline. The objective of this test was to verify that financial tables extracted from the source document "FY2025-26_Corporate_Finance_Performance_Report (1)" are correctly parsed, structured, and stored in the table_store table (Supabase / PostgreSQL, schema manthan_rag_working), and that the stored structured_content can be accurately retrieved and synthesised into correct, cited answers during query time.</w:t>
      </w:r>
    </w:p>
    <w:p>
      <w:r>
        <w:rPr>
          <w:b w:val="0"/>
        </w:rPr>
        <w:t>Three representative table structures were selected for this test to validate simple, complex, and large-scale extraction scenarios:</w:t>
      </w:r>
    </w:p>
    <w:p>
      <w:pPr>
        <w:pStyle w:val="ListBullet"/>
      </w:pPr>
      <w:r>
        <w:t>Multi-cell header table — tables containing merged / nested column headers spanning multiple fiscal periods (e.g. Domestic vs International revenue by quarter, Planned vs Actual multi-year comparison).</w:t>
      </w:r>
    </w:p>
    <w:p>
      <w:pPr>
        <w:pStyle w:val="ListBullet"/>
      </w:pPr>
      <w:r>
        <w:t>Normal table — a single-header-row table with straightforward metric-by-quarter columns.</w:t>
      </w:r>
    </w:p>
    <w:p>
      <w:pPr>
        <w:pStyle w:val="ListBullet"/>
      </w:pPr>
      <w:r>
        <w:t>Long table spanning multiple pages — a 200-row NSE-listed companies table (sourced from stockmarket.docx) that continues across several PDF/document pages, used to validate row-range chunking and retrieval accuracy for large tables.</w:t>
      </w:r>
    </w:p>
    <w:p>
      <w:pPr>
        <w:pStyle w:val="Heading1"/>
      </w:pPr>
      <w:r>
        <w:rPr>
          <w:color w:val="1F2A44"/>
        </w:rPr>
        <w:t>2. Test Methodology</w:t>
      </w:r>
    </w:p>
    <w:p>
      <w:r>
        <w:rPr>
          <w:b w:val="0"/>
        </w:rPr>
        <w:t>For each table type, the following verification steps were performed end-to-end:</w:t>
      </w:r>
    </w:p>
    <w:p>
      <w:pPr>
        <w:pStyle w:val="ListBullet"/>
      </w:pPr>
      <w:r>
        <w:t>Step 1 — Storage verification: Inspect the table_store table in Supabase Table Editor and confirm the structured_content JSONB column holds a correctly parsed representation (title, headers, rows) of the source table.</w:t>
      </w:r>
    </w:p>
    <w:p>
      <w:pPr>
        <w:pStyle w:val="ListBullet"/>
      </w:pPr>
      <w:r>
        <w:t>Step 2 — Source verification: Cross-check the stored structured_content against a screenshot of the actual table as it appears in the source PDF, confirming header alignment, row order, and numeric accuracy.</w:t>
      </w:r>
    </w:p>
    <w:p>
      <w:pPr>
        <w:pStyle w:val="ListBullet"/>
      </w:pPr>
      <w:r>
        <w:t>Step 3 — Retrieval verification: Query the system with natural-language financial questions targeting the table's data and confirm the returned answer, confidence score, and cited source match the stored table content.</w:t>
      </w:r>
    </w:p>
    <w:p>
      <w:pPr>
        <w:pStyle w:val="Heading1"/>
      </w:pPr>
      <w:r>
        <w:rPr>
          <w:color w:val="1F2A44"/>
        </w:rPr>
        <w:t>3. Test Case A — Multi-Cell Header Table</w:t>
      </w:r>
    </w:p>
    <w:p>
      <w:r>
        <w:rPr>
          <w:b w:val="0"/>
        </w:rPr>
        <w:t>This test case validates extraction of tables with multi-level / merged headers, where a single logical column (e.g. "FY 2025-26") spans several sub-columns (e.g. Q1-Q4, or Planned vs Actual). Two such tables were tested: the Domestic vs International Revenue table and the Multi-Year Financial Comparison (Planned vs Actual) table.</w:t>
      </w:r>
    </w:p>
    <w:p>
      <w:pPr>
        <w:pStyle w:val="Heading2"/>
      </w:pPr>
      <w:r>
        <w:rPr>
          <w:color w:val="1F2A44"/>
        </w:rPr>
        <w:t>3.1 Supabase Storage — structured_content</w:t>
      </w:r>
    </w:p>
    <w:p>
      <w:r>
        <w:rPr>
          <w:b w:val="0"/>
        </w:rPr>
        <w:t>The screenshots below show the table_store row list and the structured_content JSONB value as stored in Supabase, confirming the merged fiscal-year / quarter headers were flattened correctly into a header array with matching row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78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8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Figure A1 — table_store structured_content: Multi-Year Financial Comparison (Planned vs Actual, FY 2023-24 to FY 2025-26).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330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3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Figure A2 — table_store row list in Supabase Table Editor (manthan_rag_working schema).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833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83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Figure A3 — table_store structured_content: Domestic and International Revenue by Department and Quarter.</w:t>
      </w:r>
    </w:p>
    <w:p>
      <w:pPr>
        <w:pStyle w:val="Heading2"/>
      </w:pPr>
      <w:r>
        <w:rPr>
          <w:color w:val="1F2A44"/>
        </w:rPr>
        <w:t>3.2 Source Verification — Actual PDF Tables</w:t>
      </w:r>
    </w:p>
    <w:p>
      <w:r>
        <w:rPr>
          <w:b w:val="0"/>
        </w:rPr>
        <w:t>The following screenshots are the corresponding tables as rendered in the original source PDF (FY2025-26_Corporate_Finance_Performance_Report (1)), used to confirm the stored structured_content is a faithful, accurate representation of the source.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054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5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Figure A4 — Source PDF: Table 1, Consolidated Revenue Performance (Domestic vs International, by Department and Quarter).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218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1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Figure A5 — Source PDF: Table 3, Multi-Year Financial Comparison (Planned vs Actual).</w:t>
      </w:r>
    </w:p>
    <w:p>
      <w:pPr>
        <w:pStyle w:val="Heading2"/>
      </w:pPr>
      <w:r>
        <w:rPr>
          <w:color w:val="1F2A44"/>
        </w:rPr>
        <w:t>3.3 Query &amp; Answer Verification</w:t>
      </w:r>
    </w:p>
    <w:p>
      <w:r>
        <w:rPr>
          <w:b w:val="0"/>
        </w:rPr>
        <w:t>Natural-language queries were issued against the system to confirm correct retrieval and synthesis of data from the multi-cell header tables.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3914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9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Figure A6 — Query: "What was the total revenue generated by the Technology department during FY 2025-26?" — Answer: ₹2,800.00 Lakh, High confidence 100%.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204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0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Figure A7 — Query: "Which department recorded the highest budget overrun, and what was the variance amount?" — Answer: Engineering, ₹45.00 Lakh, High confidence 95%.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7969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79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Figure A8 — Query: "What was the actual net profit for FY 2025-26?" — Answer: ₹205.00 Cr, High confidence 98%.</w:t>
      </w:r>
    </w:p>
    <w:p>
      <w:pPr>
        <w:pStyle w:val="Heading2"/>
      </w:pPr>
      <w:r>
        <w:rPr>
          <w:color w:val="1F2A44"/>
        </w:rPr>
        <w:t>3.4 Result</w:t>
      </w:r>
    </w:p>
    <w:p>
      <w:r>
        <w:rPr>
          <w:b w:val="0"/>
        </w:rPr>
      </w:r>
      <w:r>
        <w:rPr>
          <w:b/>
          <w:color w:val="1E7E34"/>
        </w:rPr>
        <w:t xml:space="preserve">PASS — </w:t>
      </w:r>
      <w:r>
        <w:t>All three queries returned figures that exactly match the stored structured_content and the source PDF tables, with High confidence scores (95-100%) and correctly cited sources.</w:t>
      </w:r>
    </w:p>
    <w:p>
      <w:pPr>
        <w:pStyle w:val="Heading1"/>
      </w:pPr>
      <w:r>
        <w:rPr>
          <w:color w:val="1F2A44"/>
        </w:rPr>
        <w:t>4. Test Case B — Normal Table (Single Header Row)</w:t>
      </w:r>
    </w:p>
    <w:p>
      <w:r>
        <w:rPr>
          <w:b w:val="0"/>
        </w:rPr>
        <w:t>This test case validates extraction of a standard, single-header-row table — the Financial Metrics Summary (Total Revenue, QoQ Growth %, EBITDA, EBITDA Margin % by quarter) — as a contrast case against the multi-cell header structure tested in Section 3.</w:t>
      </w:r>
    </w:p>
    <w:p>
      <w:pPr>
        <w:pStyle w:val="Heading2"/>
      </w:pPr>
      <w:r>
        <w:rPr>
          <w:color w:val="1F2A44"/>
        </w:rPr>
        <w:t>4.1 Supabase Storage — structured_content</w:t>
      </w:r>
    </w:p>
    <w:p>
      <w:r>
        <w:rPr>
          <w:b w:val="0"/>
        </w:rPr>
        <w:t>The screenshot below shows the structured_content JSONB value stored for the Financial Metrics Summary table, with a flat header row (Metric, Q1-Q4, FY 2025-26 Total).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387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8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Figure B1 — table_store structured_content: Financial Metrics Summary (single header row).</w:t>
      </w:r>
    </w:p>
    <w:p>
      <w:pPr>
        <w:pStyle w:val="Heading2"/>
      </w:pPr>
      <w:r>
        <w:rPr>
          <w:color w:val="1F2A44"/>
        </w:rPr>
        <w:t>4.2 Source Verification — Actual PDF Table</w:t>
      </w:r>
    </w:p>
    <w:p>
      <w:r>
        <w:rPr>
          <w:b w:val="0"/>
        </w:rPr>
        <w:t>The screenshot below is the corresponding table as rendered in the original source PDF, used to confirm the stored data is accurate.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0771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7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Figure B2 — Source PDF: Financial Metrics Summary table (Total Revenue, QoQ Growth %, EBITDA, EBITDA Margin %).</w:t>
      </w:r>
    </w:p>
    <w:p>
      <w:pPr>
        <w:pStyle w:val="Heading2"/>
      </w:pPr>
      <w:r>
        <w:rPr>
          <w:color w:val="1F2A44"/>
        </w:rPr>
        <w:t>4.3 Query &amp; Answer Verification</w:t>
      </w:r>
    </w:p>
    <w:p>
      <w:r>
        <w:rPr>
          <w:b w:val="0"/>
        </w:rPr>
        <w:t>Natural-language queries were issued against the system to confirm correct retrieval and synthesis of data from the normal table.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4421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4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Figure B3 — Query: "What was the total revenue recorded in Q4 of FY 2025-26?" — Answer: ₹3,070.00 Lakh (Domestic ₹2,360.00 Lakh + International ₹710.00 Lakh), High confidence 99%.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6677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66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Figure B4 — Query: "What was the quarter-over-quarter (QoQ) growth percentage in Q2?" — Answer: 2.47%, Good confidence 65%.</w:t>
      </w:r>
    </w:p>
    <w:p>
      <w:pPr>
        <w:pStyle w:val="Heading2"/>
      </w:pPr>
      <w:r>
        <w:rPr>
          <w:color w:val="1F2A44"/>
        </w:rPr>
        <w:t>4.4 Result</w:t>
      </w:r>
    </w:p>
    <w:p>
      <w:r>
        <w:rPr>
          <w:b w:val="0"/>
        </w:rPr>
      </w:r>
      <w:r>
        <w:rPr>
          <w:b/>
          <w:color w:val="1E7E34"/>
        </w:rPr>
        <w:t xml:space="preserve">PASS — </w:t>
      </w:r>
      <w:r>
        <w:t>Both queries returned figures matching the stored structured_content and source PDF table. The QoQ Growth % query returned a lower confidence score (65%, "Good confidence" vs. "High confidence" elsewhere), noted below as an observation.</w:t>
      </w:r>
    </w:p>
    <w:p>
      <w:pPr>
        <w:pStyle w:val="Heading1"/>
      </w:pPr>
      <w:r>
        <w:rPr>
          <w:color w:val="1F2A44"/>
        </w:rPr>
        <w:t>5. Test Case C — Long Table Spanning Multiple Pages</w:t>
      </w:r>
    </w:p>
    <w:p>
      <w:r>
        <w:rPr>
          <w:b w:val="0"/>
        </w:rPr>
        <w:t>This test case validates extraction and chunking of a large table that spans multiple pages of the source document — a 200-row NSE-listed companies table (S.No, Company Name, NSE Symbol, Sector, Price (INR), Change %) sourced from stockmarket.docx. Unlike the single-page tables in Test Cases A and B, a table of this size cannot be embedded or retrieved as one block, so this case specifically validates the table_chunk_store row-range chunking mechanism.</w:t>
      </w:r>
    </w:p>
    <w:p>
      <w:pPr>
        <w:pStyle w:val="Heading2"/>
      </w:pPr>
      <w:r>
        <w:rPr>
          <w:color w:val="1F2A44"/>
        </w:rPr>
        <w:t>5.1 Supabase Storage — table_store and table_chunk_store</w:t>
      </w:r>
    </w:p>
    <w:p>
      <w:r>
        <w:rPr>
          <w:b w:val="0"/>
        </w:rPr>
        <w:t>The screenshot below shows the parent record in table_store, confirming the full table (200 rows, 6 columns, currency data detected) is registered as a single logical table before being split into retrievable chunks.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5027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0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Figure C1 — table_store parent record: 200-row NSE-listed companies table (row_count 200, col_count 6, has_currency_data TRUE).</w:t>
      </w:r>
    </w:p>
    <w:p>
      <w:r>
        <w:rPr>
          <w:b w:val="0"/>
        </w:rPr>
        <w:t>The following screenshots show table_chunk_store, where the 200-row table is split into fixed-size row-range chunks (10 rows per chunk) with serialized_text, row_start, row_end, table_index and chunk_index columns — enabling the long table to be embedded and retrieved chunk-by-chunk.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4164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41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Figure C2 — table_chunk_store serialized_text for chunk_index 0 (rows 1-10: Reliance Industries through Larsen &amp; Toubro).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3020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30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Figure C3 — table_chunk_store serialized_text for chunk_index 1 (rows 11-20: Kotak Mahindra Bank through Wipro).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5873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87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Figure C4 — table_chunk_store row list showing sequential 10-row chunking (chunk_index 7-16, row_start/row_end 70-166) across the full 200-row table.</w:t>
      </w:r>
    </w:p>
    <w:p>
      <w:pPr>
        <w:pStyle w:val="Heading2"/>
      </w:pPr>
      <w:r>
        <w:rPr>
          <w:color w:val="1F2A44"/>
        </w:rPr>
        <w:t>5.2 Source Verification — Actual PDF Table (Multi-Page)</w:t>
      </w:r>
    </w:p>
    <w:p>
      <w:r>
        <w:rPr>
          <w:b w:val="0"/>
        </w:rPr>
        <w:t>The screenshots below show the corresponding rows as rendered in the original source document, including a row (S.No 52, Hero MotoCorp) that falls several pages into the table — confirming the chunking mechanism correctly preserves data located deep within a multi-page table.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6934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9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Figure C5 — Source document: table header and row 1 (Reliance Industries, RELIANCE, Energy / Refining, ₹10,632.89, +3.18%).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847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Figure C6 — Source document: row 2 (Tata Consultancy Services, TCS, IT Services, ₹11,508.69, +2.70%).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714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Figure C7 — Source document: row 3 (HDFC Bank, HDFCBANK, Banking, ₹6,751.92, +2.21%).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322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2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Figure C8 — Source document: row 52, several pages into the table (Hero MotoCorp, HEROMOTOCO, Automobile, ₹9,708.20, +4.09%).</w:t>
      </w:r>
    </w:p>
    <w:p>
      <w:pPr>
        <w:pStyle w:val="Heading2"/>
      </w:pPr>
      <w:r>
        <w:rPr>
          <w:color w:val="1F2A44"/>
        </w:rPr>
        <w:t>5.3 Query &amp; Answer Verification</w:t>
      </w:r>
    </w:p>
    <w:p>
      <w:r>
        <w:rPr>
          <w:b w:val="0"/>
        </w:rPr>
        <w:t>Natural-language queries targeting rows at different positions within the 200-row table — including early rows and row 52 (Hero MotoCorp), which lies well beyond the first chunk — were issued to confirm the chunking strategy does not degrade retrieval accuracy for data located later in a long, multi-page table.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1937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19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Figure C9 — Query: "What is the NSE symbol of Reliance Industries?" — Answer: RELIANCE, High confidence 93%, source stockmarket.docx p.1.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57206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72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Figure C10 — Query: "Which sector does Tata Consultancy Services belong to?" — Answer: IT Services, High confidence 88%, source stockmarket.docx p.1.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7560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5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Figure C11 — Query: "What is the price of HDFC Bank?" — Answer: ₹6,751.92, High confidence 90%, source stockmarket.docx p.1.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5468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4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9"/>
        </w:rPr>
        <w:t>Figure C12 — Query: "what was the hero moto corp percentage change" — Answer: +4.09%, High confidence 86%, source stockmarket.docx p.1.</w:t>
      </w:r>
    </w:p>
    <w:p>
      <w:pPr>
        <w:pStyle w:val="Heading2"/>
      </w:pPr>
      <w:r>
        <w:rPr>
          <w:color w:val="1F2A44"/>
        </w:rPr>
        <w:t>5.4 Result</w:t>
      </w:r>
    </w:p>
    <w:p>
      <w:r>
        <w:rPr>
          <w:b w:val="0"/>
        </w:rPr>
      </w:r>
      <w:r>
        <w:rPr>
          <w:b/>
          <w:color w:val="1E7E34"/>
        </w:rPr>
        <w:t xml:space="preserve">PASS — </w:t>
      </w:r>
      <w:r>
        <w:t>All four queries, including one targeting row 52 (far beyond the first chunk boundary), returned figures that exactly match the source table, with High confidence scores (86-93%). This confirms the row-range chunking strategy in table_chunk_store reliably preserves retrieval accuracy across long, multi-page tables.</w:t>
      </w:r>
    </w:p>
    <w:p>
      <w:pPr>
        <w:pStyle w:val="Heading1"/>
      </w:pPr>
      <w:r>
        <w:rPr>
          <w:color w:val="1F2A44"/>
        </w:rPr>
        <w:t>6. Observations</w:t>
      </w:r>
    </w:p>
    <w:p>
      <w:pPr>
        <w:pStyle w:val="ListBullet"/>
      </w:pPr>
      <w:r>
        <w:t>Merged / multi-level PDF headers (e.g. FY + Quarter, Planned vs Actual) are correctly flattened into single descriptive header strings in structured_content, preserving the full context of each column.</w:t>
      </w:r>
    </w:p>
    <w:p>
      <w:pPr>
        <w:pStyle w:val="ListBullet"/>
      </w:pPr>
      <w:r>
        <w:t>Numeric values, including negative figures in parentheses (e.g. "(1.90%)") and currency-formatted totals, are preserved exactly as they appear in the source PDF.</w:t>
      </w:r>
    </w:p>
    <w:p>
      <w:pPr>
        <w:pStyle w:val="ListBullet"/>
      </w:pPr>
      <w:r>
        <w:t>Multi-cell header table queries consistently returned High confidence (95-100%); the single derived-metric query on the normal table (QoQ Growth %) returned a lower Good confidence (65%), suggesting derived/calculated metrics may benefit from additional retrieval tuning.</w:t>
      </w:r>
    </w:p>
    <w:p>
      <w:pPr>
        <w:pStyle w:val="ListBullet"/>
      </w:pPr>
      <w:r>
        <w:t>All answers correctly cited the source document and page numbers, and correctly tagged the retrieval source as "table" alongside vector/clause stores where relevant.</w:t>
      </w:r>
    </w:p>
    <w:p>
      <w:pPr>
        <w:pStyle w:val="ListBullet"/>
      </w:pPr>
      <w:r>
        <w:t>Large tables spanning multiple pages are automatically split by table_chunk_store into fixed 10-row chunks (row_start/row_end tracked per chunk), and retrieval accuracy holds even for rows far beyond the first chunk (e.g. row 52 of 200).</w:t>
      </w:r>
    </w:p>
    <w:p>
      <w:pPr>
        <w:pStyle w:val="Heading1"/>
      </w:pPr>
      <w:r>
        <w:rPr>
          <w:color w:val="1F2A44"/>
        </w:rPr>
        <w:t>7. Conclusion</w:t>
      </w:r>
    </w:p>
    <w:p>
      <w:r>
        <w:rPr>
          <w:b w:val="0"/>
        </w:rPr>
        <w:t>Testing confirms that the table_store component of the MANTHAN AI-RAG pipeline correctly extracts, structures, and stores financial tables of varying complexity and scale — from simple single-header-row tables and tables with merged, multi-level fiscal headers (from the document "FY2025-26_Corporate_Finance_Performance_Report (1)"), to a large 200-row table spanning multiple pages (from stockmarket.docx). Retrieved answers matched the underlying structured_content / table_chunk_store data and the original source tables in every test case, with confidence scores ranging from Good (65%) to High (100%). The table_store is functioning as intended for simple, multi-cell, and long multi-page table structures, with derived/calculated metric retrieval identified as a minor area for future confidence-tuning improvement.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