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A0CE" w14:textId="77777777" w:rsidR="00BB259E" w:rsidRPr="00074490" w:rsidRDefault="00BA3948">
      <w:pPr>
        <w:spacing w:after="40"/>
        <w:jc w:val="center"/>
        <w:rPr>
          <w:sz w:val="32"/>
          <w:szCs w:val="32"/>
        </w:rPr>
      </w:pPr>
      <w:r w:rsidRPr="00074490">
        <w:rPr>
          <w:rFonts w:ascii="Calibri" w:hAnsi="Calibri"/>
          <w:b/>
          <w:color w:val="1F4E79"/>
          <w:sz w:val="32"/>
          <w:szCs w:val="32"/>
        </w:rPr>
        <w:t>T.C. YOZGAT BOZOK ÜNİVERSİTESİ</w:t>
      </w:r>
    </w:p>
    <w:p w14:paraId="7AA6D0BB" w14:textId="77777777" w:rsidR="00BB259E" w:rsidRDefault="00BA3948">
      <w:pPr>
        <w:spacing w:after="80"/>
        <w:jc w:val="center"/>
        <w:rPr>
          <w:rFonts w:ascii="Calibri" w:hAnsi="Calibri"/>
          <w:b/>
          <w:color w:val="595959"/>
          <w:sz w:val="24"/>
          <w:szCs w:val="24"/>
        </w:rPr>
      </w:pPr>
      <w:proofErr w:type="spellStart"/>
      <w:r w:rsidRPr="00074490">
        <w:rPr>
          <w:rFonts w:ascii="Calibri" w:hAnsi="Calibri"/>
          <w:b/>
          <w:color w:val="595959"/>
          <w:sz w:val="24"/>
          <w:szCs w:val="24"/>
        </w:rPr>
        <w:t>Mühendislik-Mimarlık</w:t>
      </w:r>
      <w:proofErr w:type="spellEnd"/>
      <w:r w:rsidRPr="00074490">
        <w:rPr>
          <w:rFonts w:ascii="Calibri" w:hAnsi="Calibri"/>
          <w:b/>
          <w:color w:val="595959"/>
          <w:sz w:val="24"/>
          <w:szCs w:val="24"/>
        </w:rPr>
        <w:t xml:space="preserve"> </w:t>
      </w:r>
      <w:proofErr w:type="spellStart"/>
      <w:r w:rsidRPr="00074490">
        <w:rPr>
          <w:rFonts w:ascii="Calibri" w:hAnsi="Calibri"/>
          <w:b/>
          <w:color w:val="595959"/>
          <w:sz w:val="24"/>
          <w:szCs w:val="24"/>
        </w:rPr>
        <w:t>Fakültesi</w:t>
      </w:r>
      <w:proofErr w:type="spellEnd"/>
      <w:r w:rsidRPr="00074490">
        <w:rPr>
          <w:rFonts w:ascii="Calibri" w:hAnsi="Calibri"/>
          <w:b/>
          <w:color w:val="595959"/>
          <w:sz w:val="24"/>
          <w:szCs w:val="24"/>
        </w:rPr>
        <w:t xml:space="preserve"> | </w:t>
      </w:r>
      <w:proofErr w:type="spellStart"/>
      <w:r w:rsidRPr="00074490">
        <w:rPr>
          <w:rFonts w:ascii="Calibri" w:hAnsi="Calibri"/>
          <w:b/>
          <w:color w:val="595959"/>
          <w:sz w:val="24"/>
          <w:szCs w:val="24"/>
        </w:rPr>
        <w:t>Bilgisayar</w:t>
      </w:r>
      <w:proofErr w:type="spellEnd"/>
      <w:r w:rsidRPr="00074490">
        <w:rPr>
          <w:rFonts w:ascii="Calibri" w:hAnsi="Calibri"/>
          <w:b/>
          <w:color w:val="595959"/>
          <w:sz w:val="24"/>
          <w:szCs w:val="24"/>
        </w:rPr>
        <w:t xml:space="preserve"> </w:t>
      </w:r>
      <w:proofErr w:type="spellStart"/>
      <w:r w:rsidRPr="00074490">
        <w:rPr>
          <w:rFonts w:ascii="Calibri" w:hAnsi="Calibri"/>
          <w:b/>
          <w:color w:val="595959"/>
          <w:sz w:val="24"/>
          <w:szCs w:val="24"/>
        </w:rPr>
        <w:t>Mühendisliği</w:t>
      </w:r>
      <w:proofErr w:type="spellEnd"/>
      <w:r w:rsidRPr="00074490">
        <w:rPr>
          <w:rFonts w:ascii="Calibri" w:hAnsi="Calibri"/>
          <w:b/>
          <w:color w:val="595959"/>
          <w:sz w:val="24"/>
          <w:szCs w:val="24"/>
        </w:rPr>
        <w:t xml:space="preserve"> </w:t>
      </w:r>
      <w:proofErr w:type="spellStart"/>
      <w:r w:rsidRPr="00074490">
        <w:rPr>
          <w:rFonts w:ascii="Calibri" w:hAnsi="Calibri"/>
          <w:b/>
          <w:color w:val="595959"/>
          <w:sz w:val="24"/>
          <w:szCs w:val="24"/>
        </w:rPr>
        <w:t>Bölümü</w:t>
      </w:r>
      <w:proofErr w:type="spellEnd"/>
    </w:p>
    <w:p w14:paraId="7BE6BC92" w14:textId="77777777" w:rsidR="00074490" w:rsidRPr="00074490" w:rsidRDefault="00074490">
      <w:pPr>
        <w:spacing w:after="80"/>
        <w:jc w:val="center"/>
        <w:rPr>
          <w:sz w:val="24"/>
          <w:szCs w:val="24"/>
        </w:rPr>
      </w:pPr>
    </w:p>
    <w:p w14:paraId="6CA2843A" w14:textId="77777777" w:rsidR="00BB259E" w:rsidRPr="00074490" w:rsidRDefault="00BA3948">
      <w:pPr>
        <w:spacing w:before="120" w:after="40"/>
        <w:jc w:val="center"/>
        <w:rPr>
          <w:sz w:val="24"/>
          <w:szCs w:val="24"/>
        </w:rPr>
      </w:pPr>
      <w:r w:rsidRPr="00074490">
        <w:rPr>
          <w:rFonts w:ascii="Calibri" w:hAnsi="Calibri"/>
          <w:b/>
          <w:color w:val="1F4E79"/>
          <w:sz w:val="24"/>
          <w:szCs w:val="24"/>
        </w:rPr>
        <w:t>TÜBİTAK 1002-A: TOTAL DİZ PROTEZİ (TDP) HASTALARINDA ÇOK MODLU AĞRI TAHMİNİ</w:t>
      </w:r>
    </w:p>
    <w:p w14:paraId="31B78D4C" w14:textId="77777777" w:rsidR="00BB259E" w:rsidRDefault="00BA3948">
      <w:pPr>
        <w:jc w:val="center"/>
        <w:rPr>
          <w:rFonts w:ascii="Calibri" w:hAnsi="Calibri"/>
          <w:b/>
          <w:color w:val="595959"/>
          <w:sz w:val="24"/>
          <w:szCs w:val="24"/>
        </w:rPr>
      </w:pPr>
      <w:r w:rsidRPr="00074490">
        <w:rPr>
          <w:rFonts w:ascii="Calibri" w:hAnsi="Calibri"/>
          <w:b/>
          <w:color w:val="595959"/>
          <w:sz w:val="24"/>
          <w:szCs w:val="24"/>
        </w:rPr>
        <w:t xml:space="preserve">Klinik </w:t>
      </w:r>
      <w:proofErr w:type="spellStart"/>
      <w:r w:rsidRPr="00074490">
        <w:rPr>
          <w:rFonts w:ascii="Calibri" w:hAnsi="Calibri"/>
          <w:b/>
          <w:color w:val="595959"/>
          <w:sz w:val="24"/>
          <w:szCs w:val="24"/>
        </w:rPr>
        <w:t>Patofizyoloji</w:t>
      </w:r>
      <w:proofErr w:type="spellEnd"/>
      <w:r w:rsidRPr="00074490">
        <w:rPr>
          <w:rFonts w:ascii="Calibri" w:hAnsi="Calibri"/>
          <w:b/>
          <w:color w:val="595959"/>
          <w:sz w:val="24"/>
          <w:szCs w:val="24"/>
        </w:rPr>
        <w:t xml:space="preserve">, </w:t>
      </w:r>
      <w:proofErr w:type="spellStart"/>
      <w:r w:rsidRPr="00074490">
        <w:rPr>
          <w:rFonts w:ascii="Calibri" w:hAnsi="Calibri"/>
          <w:b/>
          <w:color w:val="595959"/>
          <w:sz w:val="24"/>
          <w:szCs w:val="24"/>
        </w:rPr>
        <w:t>Kapsamlı</w:t>
      </w:r>
      <w:proofErr w:type="spellEnd"/>
      <w:r w:rsidRPr="00074490">
        <w:rPr>
          <w:rFonts w:ascii="Calibri" w:hAnsi="Calibri"/>
          <w:b/>
          <w:color w:val="595959"/>
          <w:sz w:val="24"/>
          <w:szCs w:val="24"/>
        </w:rPr>
        <w:t xml:space="preserve"> </w:t>
      </w:r>
      <w:proofErr w:type="spellStart"/>
      <w:r w:rsidRPr="00074490">
        <w:rPr>
          <w:rFonts w:ascii="Calibri" w:hAnsi="Calibri"/>
          <w:b/>
          <w:color w:val="595959"/>
          <w:sz w:val="24"/>
          <w:szCs w:val="24"/>
        </w:rPr>
        <w:t>Literatür</w:t>
      </w:r>
      <w:proofErr w:type="spellEnd"/>
      <w:r w:rsidRPr="00074490">
        <w:rPr>
          <w:rFonts w:ascii="Calibri" w:hAnsi="Calibri"/>
          <w:b/>
          <w:color w:val="595959"/>
          <w:sz w:val="24"/>
          <w:szCs w:val="24"/>
        </w:rPr>
        <w:t xml:space="preserve"> </w:t>
      </w:r>
      <w:proofErr w:type="spellStart"/>
      <w:r w:rsidRPr="00074490">
        <w:rPr>
          <w:rFonts w:ascii="Calibri" w:hAnsi="Calibri"/>
          <w:b/>
          <w:color w:val="595959"/>
          <w:sz w:val="24"/>
          <w:szCs w:val="24"/>
        </w:rPr>
        <w:t>İncelemesi</w:t>
      </w:r>
      <w:proofErr w:type="spellEnd"/>
      <w:r w:rsidRPr="00074490">
        <w:rPr>
          <w:rFonts w:ascii="Calibri" w:hAnsi="Calibri"/>
          <w:b/>
          <w:color w:val="595959"/>
          <w:sz w:val="24"/>
          <w:szCs w:val="24"/>
        </w:rPr>
        <w:t xml:space="preserve"> </w:t>
      </w:r>
      <w:proofErr w:type="spellStart"/>
      <w:r w:rsidRPr="00074490">
        <w:rPr>
          <w:rFonts w:ascii="Calibri" w:hAnsi="Calibri"/>
          <w:b/>
          <w:color w:val="595959"/>
          <w:sz w:val="24"/>
          <w:szCs w:val="24"/>
        </w:rPr>
        <w:t>ve</w:t>
      </w:r>
      <w:proofErr w:type="spellEnd"/>
      <w:r w:rsidRPr="00074490">
        <w:rPr>
          <w:rFonts w:ascii="Calibri" w:hAnsi="Calibri"/>
          <w:b/>
          <w:color w:val="595959"/>
          <w:sz w:val="24"/>
          <w:szCs w:val="24"/>
        </w:rPr>
        <w:t xml:space="preserve"> </w:t>
      </w:r>
      <w:proofErr w:type="spellStart"/>
      <w:r w:rsidRPr="00074490">
        <w:rPr>
          <w:rFonts w:ascii="Calibri" w:hAnsi="Calibri"/>
          <w:b/>
          <w:color w:val="595959"/>
          <w:sz w:val="24"/>
          <w:szCs w:val="24"/>
        </w:rPr>
        <w:t>Prototip</w:t>
      </w:r>
      <w:proofErr w:type="spellEnd"/>
      <w:r w:rsidRPr="00074490">
        <w:rPr>
          <w:rFonts w:ascii="Calibri" w:hAnsi="Calibri"/>
          <w:b/>
          <w:color w:val="595959"/>
          <w:sz w:val="24"/>
          <w:szCs w:val="24"/>
        </w:rPr>
        <w:t xml:space="preserve"> </w:t>
      </w:r>
      <w:proofErr w:type="spellStart"/>
      <w:r w:rsidRPr="00074490">
        <w:rPr>
          <w:rFonts w:ascii="Calibri" w:hAnsi="Calibri"/>
          <w:b/>
          <w:color w:val="595959"/>
          <w:sz w:val="24"/>
          <w:szCs w:val="24"/>
        </w:rPr>
        <w:t>Makine</w:t>
      </w:r>
      <w:proofErr w:type="spellEnd"/>
      <w:r w:rsidRPr="00074490">
        <w:rPr>
          <w:rFonts w:ascii="Calibri" w:hAnsi="Calibri"/>
          <w:b/>
          <w:color w:val="595959"/>
          <w:sz w:val="24"/>
          <w:szCs w:val="24"/>
        </w:rPr>
        <w:t xml:space="preserve"> </w:t>
      </w:r>
      <w:proofErr w:type="spellStart"/>
      <w:r w:rsidRPr="00074490">
        <w:rPr>
          <w:rFonts w:ascii="Calibri" w:hAnsi="Calibri"/>
          <w:b/>
          <w:color w:val="595959"/>
          <w:sz w:val="24"/>
          <w:szCs w:val="24"/>
        </w:rPr>
        <w:t>Öğrenmesi</w:t>
      </w:r>
      <w:proofErr w:type="spellEnd"/>
      <w:r w:rsidRPr="00074490">
        <w:rPr>
          <w:rFonts w:ascii="Calibri" w:hAnsi="Calibri"/>
          <w:b/>
          <w:color w:val="595959"/>
          <w:sz w:val="24"/>
          <w:szCs w:val="24"/>
        </w:rPr>
        <w:t xml:space="preserve"> </w:t>
      </w:r>
      <w:proofErr w:type="spellStart"/>
      <w:r w:rsidRPr="00074490">
        <w:rPr>
          <w:rFonts w:ascii="Calibri" w:hAnsi="Calibri"/>
          <w:b/>
          <w:color w:val="595959"/>
          <w:sz w:val="24"/>
          <w:szCs w:val="24"/>
        </w:rPr>
        <w:t>Fizibilite</w:t>
      </w:r>
      <w:proofErr w:type="spellEnd"/>
      <w:r w:rsidRPr="00074490">
        <w:rPr>
          <w:rFonts w:ascii="Calibri" w:hAnsi="Calibri"/>
          <w:b/>
          <w:color w:val="595959"/>
          <w:sz w:val="24"/>
          <w:szCs w:val="24"/>
        </w:rPr>
        <w:t xml:space="preserve"> </w:t>
      </w:r>
      <w:proofErr w:type="spellStart"/>
      <w:r w:rsidRPr="00074490">
        <w:rPr>
          <w:rFonts w:ascii="Calibri" w:hAnsi="Calibri"/>
          <w:b/>
          <w:color w:val="595959"/>
          <w:sz w:val="24"/>
          <w:szCs w:val="24"/>
        </w:rPr>
        <w:t>Raporu</w:t>
      </w:r>
      <w:proofErr w:type="spellEnd"/>
    </w:p>
    <w:p w14:paraId="5C1C6992" w14:textId="77777777" w:rsidR="00074490" w:rsidRPr="00074490" w:rsidRDefault="00074490">
      <w:pPr>
        <w:jc w:val="center"/>
        <w:rPr>
          <w:sz w:val="24"/>
          <w:szCs w:val="24"/>
        </w:rPr>
      </w:pPr>
    </w:p>
    <w:tbl>
      <w:tblPr>
        <w:tblW w:w="0" w:type="auto"/>
        <w:jc w:val="center"/>
        <w:tblLook w:val="04A0" w:firstRow="1" w:lastRow="0" w:firstColumn="1" w:lastColumn="0" w:noHBand="0" w:noVBand="1"/>
      </w:tblPr>
      <w:tblGrid>
        <w:gridCol w:w="4896"/>
        <w:gridCol w:w="4896"/>
      </w:tblGrid>
      <w:tr w:rsidR="00BB259E" w14:paraId="17764EFA" w14:textId="77777777">
        <w:trPr>
          <w:jc w:val="center"/>
        </w:trPr>
        <w:tc>
          <w:tcPr>
            <w:tcW w:w="4896" w:type="dxa"/>
            <w:shd w:val="clear" w:color="auto" w:fill="F2F4F7"/>
            <w:tcMar>
              <w:top w:w="60" w:type="dxa"/>
              <w:left w:w="100" w:type="dxa"/>
              <w:bottom w:w="60" w:type="dxa"/>
              <w:right w:w="100" w:type="dxa"/>
            </w:tcMar>
          </w:tcPr>
          <w:p w14:paraId="69B4698F" w14:textId="77777777" w:rsidR="00BB259E" w:rsidRPr="00074490" w:rsidRDefault="00BA3948">
            <w:pPr>
              <w:spacing w:before="40" w:after="40"/>
              <w:rPr>
                <w:sz w:val="24"/>
                <w:szCs w:val="24"/>
              </w:rPr>
            </w:pPr>
            <w:proofErr w:type="spellStart"/>
            <w:r w:rsidRPr="00074490">
              <w:rPr>
                <w:rFonts w:ascii="Calibri" w:hAnsi="Calibri"/>
                <w:b/>
                <w:sz w:val="24"/>
                <w:szCs w:val="24"/>
              </w:rPr>
              <w:t>Araştırmacı</w:t>
            </w:r>
            <w:proofErr w:type="spellEnd"/>
            <w:r w:rsidRPr="00074490">
              <w:rPr>
                <w:rFonts w:ascii="Calibri" w:hAnsi="Calibri"/>
                <w:b/>
                <w:sz w:val="24"/>
                <w:szCs w:val="24"/>
              </w:rPr>
              <w:t xml:space="preserve"> / </w:t>
            </w:r>
            <w:proofErr w:type="spellStart"/>
            <w:r w:rsidRPr="00074490">
              <w:rPr>
                <w:rFonts w:ascii="Calibri" w:hAnsi="Calibri"/>
                <w:b/>
                <w:sz w:val="24"/>
                <w:szCs w:val="24"/>
              </w:rPr>
              <w:t>Öğrenci</w:t>
            </w:r>
            <w:proofErr w:type="spellEnd"/>
            <w:r w:rsidRPr="00074490">
              <w:rPr>
                <w:rFonts w:ascii="Calibri" w:hAnsi="Calibri"/>
                <w:b/>
                <w:sz w:val="24"/>
                <w:szCs w:val="24"/>
              </w:rPr>
              <w:t>:</w:t>
            </w:r>
            <w:r w:rsidRPr="00074490">
              <w:rPr>
                <w:rFonts w:ascii="Calibri" w:hAnsi="Calibri"/>
                <w:sz w:val="24"/>
                <w:szCs w:val="24"/>
              </w:rPr>
              <w:t xml:space="preserve"> </w:t>
            </w:r>
            <w:proofErr w:type="spellStart"/>
            <w:r w:rsidRPr="00074490">
              <w:rPr>
                <w:rFonts w:ascii="Calibri" w:hAnsi="Calibri"/>
                <w:sz w:val="24"/>
                <w:szCs w:val="24"/>
              </w:rPr>
              <w:t>Murathan</w:t>
            </w:r>
            <w:proofErr w:type="spellEnd"/>
            <w:r w:rsidRPr="00074490">
              <w:rPr>
                <w:rFonts w:ascii="Calibri" w:hAnsi="Calibri"/>
                <w:sz w:val="24"/>
                <w:szCs w:val="24"/>
              </w:rPr>
              <w:t xml:space="preserve"> Orman</w:t>
            </w:r>
          </w:p>
        </w:tc>
        <w:tc>
          <w:tcPr>
            <w:tcW w:w="4896" w:type="dxa"/>
            <w:shd w:val="clear" w:color="auto" w:fill="F2F4F7"/>
            <w:tcMar>
              <w:top w:w="60" w:type="dxa"/>
              <w:left w:w="100" w:type="dxa"/>
              <w:bottom w:w="60" w:type="dxa"/>
              <w:right w:w="100" w:type="dxa"/>
            </w:tcMar>
          </w:tcPr>
          <w:p w14:paraId="494281B1" w14:textId="77777777" w:rsidR="00BB259E" w:rsidRPr="00074490" w:rsidRDefault="00BA3948">
            <w:pPr>
              <w:spacing w:before="40" w:after="40"/>
              <w:rPr>
                <w:sz w:val="24"/>
                <w:szCs w:val="24"/>
              </w:rPr>
            </w:pPr>
            <w:r w:rsidRPr="00074490">
              <w:rPr>
                <w:rFonts w:ascii="Calibri" w:hAnsi="Calibri"/>
                <w:b/>
                <w:sz w:val="24"/>
                <w:szCs w:val="24"/>
              </w:rPr>
              <w:t>Proje Yürütücüsü:</w:t>
            </w:r>
            <w:r w:rsidRPr="00074490">
              <w:rPr>
                <w:rFonts w:ascii="Calibri" w:hAnsi="Calibri"/>
                <w:sz w:val="24"/>
                <w:szCs w:val="24"/>
              </w:rPr>
              <w:t xml:space="preserve"> Doç. Dr. Nilgün Özbaş</w:t>
            </w:r>
          </w:p>
        </w:tc>
      </w:tr>
      <w:tr w:rsidR="00BB259E" w14:paraId="50DF1D90" w14:textId="77777777">
        <w:trPr>
          <w:jc w:val="center"/>
        </w:trPr>
        <w:tc>
          <w:tcPr>
            <w:tcW w:w="4896" w:type="dxa"/>
            <w:shd w:val="clear" w:color="auto" w:fill="F2F4F7"/>
            <w:tcMar>
              <w:top w:w="60" w:type="dxa"/>
              <w:left w:w="100" w:type="dxa"/>
              <w:bottom w:w="60" w:type="dxa"/>
              <w:right w:w="100" w:type="dxa"/>
            </w:tcMar>
          </w:tcPr>
          <w:p w14:paraId="30C080F9" w14:textId="77777777" w:rsidR="00BB259E" w:rsidRPr="00074490" w:rsidRDefault="00BA3948">
            <w:pPr>
              <w:spacing w:before="40" w:after="40"/>
              <w:rPr>
                <w:sz w:val="24"/>
                <w:szCs w:val="24"/>
              </w:rPr>
            </w:pPr>
            <w:r w:rsidRPr="00074490">
              <w:rPr>
                <w:rFonts w:ascii="Calibri" w:hAnsi="Calibri"/>
                <w:b/>
                <w:sz w:val="24"/>
                <w:szCs w:val="24"/>
              </w:rPr>
              <w:t>Proje Kapsamı:</w:t>
            </w:r>
            <w:r w:rsidRPr="00074490">
              <w:rPr>
                <w:rFonts w:ascii="Calibri" w:hAnsi="Calibri"/>
                <w:sz w:val="24"/>
                <w:szCs w:val="24"/>
              </w:rPr>
              <w:t xml:space="preserve"> TÜBİTAK 1002-A Hızlı Destek Projesi</w:t>
            </w:r>
          </w:p>
        </w:tc>
        <w:tc>
          <w:tcPr>
            <w:tcW w:w="4896" w:type="dxa"/>
            <w:shd w:val="clear" w:color="auto" w:fill="F2F4F7"/>
            <w:tcMar>
              <w:top w:w="60" w:type="dxa"/>
              <w:left w:w="100" w:type="dxa"/>
              <w:bottom w:w="60" w:type="dxa"/>
              <w:right w:w="100" w:type="dxa"/>
            </w:tcMar>
          </w:tcPr>
          <w:p w14:paraId="6420941E" w14:textId="77777777" w:rsidR="00BB259E" w:rsidRPr="00074490" w:rsidRDefault="00BA3948">
            <w:pPr>
              <w:spacing w:before="40" w:after="40"/>
              <w:rPr>
                <w:sz w:val="24"/>
                <w:szCs w:val="24"/>
              </w:rPr>
            </w:pPr>
            <w:r w:rsidRPr="00074490">
              <w:rPr>
                <w:rFonts w:ascii="Calibri" w:hAnsi="Calibri"/>
                <w:b/>
                <w:sz w:val="24"/>
                <w:szCs w:val="24"/>
              </w:rPr>
              <w:t>Çalışma Birimleri:</w:t>
            </w:r>
            <w:r w:rsidRPr="00074490">
              <w:rPr>
                <w:rFonts w:ascii="Calibri" w:hAnsi="Calibri"/>
                <w:sz w:val="24"/>
                <w:szCs w:val="24"/>
              </w:rPr>
              <w:t xml:space="preserve"> Bozok Araştırma Hastanesi &amp; Yozgat Şehir Hastanesi Ortopedi Servisleri</w:t>
            </w:r>
          </w:p>
        </w:tc>
      </w:tr>
      <w:tr w:rsidR="00BB259E" w14:paraId="690AE585" w14:textId="77777777">
        <w:trPr>
          <w:jc w:val="center"/>
        </w:trPr>
        <w:tc>
          <w:tcPr>
            <w:tcW w:w="4896" w:type="dxa"/>
            <w:shd w:val="clear" w:color="auto" w:fill="F2F4F7"/>
            <w:tcMar>
              <w:top w:w="60" w:type="dxa"/>
              <w:left w:w="100" w:type="dxa"/>
              <w:bottom w:w="60" w:type="dxa"/>
              <w:right w:w="100" w:type="dxa"/>
            </w:tcMar>
          </w:tcPr>
          <w:p w14:paraId="6E006CC0" w14:textId="77777777" w:rsidR="00AB7DC0" w:rsidRDefault="00BA3948">
            <w:pPr>
              <w:spacing w:before="40" w:after="40"/>
              <w:rPr>
                <w:rFonts w:ascii="Calibri" w:hAnsi="Calibri"/>
                <w:sz w:val="24"/>
                <w:szCs w:val="24"/>
              </w:rPr>
            </w:pPr>
            <w:proofErr w:type="spellStart"/>
            <w:r w:rsidRPr="00074490">
              <w:rPr>
                <w:rFonts w:ascii="Calibri" w:hAnsi="Calibri"/>
                <w:b/>
                <w:sz w:val="24"/>
                <w:szCs w:val="24"/>
              </w:rPr>
              <w:t>Staj</w:t>
            </w:r>
            <w:proofErr w:type="spellEnd"/>
            <w:r w:rsidRPr="00074490">
              <w:rPr>
                <w:rFonts w:ascii="Calibri" w:hAnsi="Calibri"/>
                <w:b/>
                <w:sz w:val="24"/>
                <w:szCs w:val="24"/>
              </w:rPr>
              <w:t xml:space="preserve"> </w:t>
            </w:r>
            <w:proofErr w:type="spellStart"/>
            <w:r w:rsidRPr="00074490">
              <w:rPr>
                <w:rFonts w:ascii="Calibri" w:hAnsi="Calibri"/>
                <w:b/>
                <w:sz w:val="24"/>
                <w:szCs w:val="24"/>
              </w:rPr>
              <w:t>Süresi</w:t>
            </w:r>
            <w:proofErr w:type="spellEnd"/>
            <w:r w:rsidRPr="00074490">
              <w:rPr>
                <w:rFonts w:ascii="Calibri" w:hAnsi="Calibri"/>
                <w:b/>
                <w:sz w:val="24"/>
                <w:szCs w:val="24"/>
              </w:rPr>
              <w:t xml:space="preserve"> / </w:t>
            </w:r>
            <w:proofErr w:type="spellStart"/>
            <w:r w:rsidRPr="00074490">
              <w:rPr>
                <w:rFonts w:ascii="Calibri" w:hAnsi="Calibri"/>
                <w:b/>
                <w:sz w:val="24"/>
                <w:szCs w:val="24"/>
              </w:rPr>
              <w:t>Dönem</w:t>
            </w:r>
            <w:proofErr w:type="spellEnd"/>
            <w:r w:rsidRPr="00074490">
              <w:rPr>
                <w:rFonts w:ascii="Calibri" w:hAnsi="Calibri"/>
                <w:b/>
                <w:sz w:val="24"/>
                <w:szCs w:val="24"/>
              </w:rPr>
              <w:t>:</w:t>
            </w:r>
            <w:r w:rsidRPr="00074490">
              <w:rPr>
                <w:rFonts w:ascii="Calibri" w:hAnsi="Calibri"/>
                <w:sz w:val="24"/>
                <w:szCs w:val="24"/>
              </w:rPr>
              <w:t xml:space="preserve"> 30 </w:t>
            </w:r>
            <w:proofErr w:type="spellStart"/>
            <w:r w:rsidRPr="00074490">
              <w:rPr>
                <w:rFonts w:ascii="Calibri" w:hAnsi="Calibri"/>
                <w:sz w:val="24"/>
                <w:szCs w:val="24"/>
              </w:rPr>
              <w:t>İş</w:t>
            </w:r>
            <w:proofErr w:type="spellEnd"/>
            <w:r w:rsidRPr="00074490">
              <w:rPr>
                <w:rFonts w:ascii="Calibri" w:hAnsi="Calibri"/>
                <w:sz w:val="24"/>
                <w:szCs w:val="24"/>
              </w:rPr>
              <w:t xml:space="preserve"> </w:t>
            </w:r>
            <w:proofErr w:type="spellStart"/>
            <w:r w:rsidRPr="00074490">
              <w:rPr>
                <w:rFonts w:ascii="Calibri" w:hAnsi="Calibri"/>
                <w:sz w:val="24"/>
                <w:szCs w:val="24"/>
              </w:rPr>
              <w:t>Günü</w:t>
            </w:r>
            <w:proofErr w:type="spellEnd"/>
          </w:p>
          <w:p w14:paraId="1A7DEEE9" w14:textId="3D0A0AFE" w:rsidR="00BB259E" w:rsidRPr="00074490" w:rsidRDefault="00BA3948">
            <w:pPr>
              <w:spacing w:before="40" w:after="40"/>
              <w:rPr>
                <w:sz w:val="24"/>
                <w:szCs w:val="24"/>
              </w:rPr>
            </w:pPr>
            <w:r w:rsidRPr="00074490">
              <w:rPr>
                <w:rFonts w:ascii="Calibri" w:hAnsi="Calibri"/>
                <w:sz w:val="24"/>
                <w:szCs w:val="24"/>
              </w:rPr>
              <w:t>(24.07.2026 – 03.09.2026)</w:t>
            </w:r>
          </w:p>
        </w:tc>
        <w:tc>
          <w:tcPr>
            <w:tcW w:w="4896" w:type="dxa"/>
            <w:shd w:val="clear" w:color="auto" w:fill="F2F4F7"/>
            <w:tcMar>
              <w:top w:w="60" w:type="dxa"/>
              <w:left w:w="100" w:type="dxa"/>
              <w:bottom w:w="60" w:type="dxa"/>
              <w:right w:w="100" w:type="dxa"/>
            </w:tcMar>
          </w:tcPr>
          <w:p w14:paraId="6C433310" w14:textId="77777777" w:rsidR="00BB259E" w:rsidRPr="00074490" w:rsidRDefault="00BA3948">
            <w:pPr>
              <w:spacing w:before="40" w:after="40"/>
              <w:rPr>
                <w:sz w:val="24"/>
                <w:szCs w:val="24"/>
              </w:rPr>
            </w:pPr>
            <w:r w:rsidRPr="00074490">
              <w:rPr>
                <w:rFonts w:ascii="Calibri" w:hAnsi="Calibri"/>
                <w:b/>
                <w:sz w:val="24"/>
                <w:szCs w:val="24"/>
              </w:rPr>
              <w:t>Rapor Tarihi:</w:t>
            </w:r>
            <w:r w:rsidRPr="00074490">
              <w:rPr>
                <w:rFonts w:ascii="Calibri" w:hAnsi="Calibri"/>
                <w:sz w:val="24"/>
                <w:szCs w:val="24"/>
              </w:rPr>
              <w:t xml:space="preserve"> Eylül 2026</w:t>
            </w:r>
          </w:p>
        </w:tc>
      </w:tr>
    </w:tbl>
    <w:p w14:paraId="62141121" w14:textId="77777777" w:rsidR="00BB259E" w:rsidRDefault="00BB259E">
      <w:pPr>
        <w:spacing w:after="120"/>
      </w:pPr>
    </w:p>
    <w:p w14:paraId="36E21BD2" w14:textId="75D9D375" w:rsidR="00BB259E" w:rsidRPr="00F85878" w:rsidRDefault="00BA3948">
      <w:pPr>
        <w:spacing w:before="240" w:after="80"/>
        <w:rPr>
          <w:sz w:val="24"/>
          <w:szCs w:val="24"/>
        </w:rPr>
      </w:pPr>
      <w:r w:rsidRPr="00F85878">
        <w:rPr>
          <w:rFonts w:ascii="Calibri" w:hAnsi="Calibri"/>
          <w:b/>
          <w:color w:val="1F4E79"/>
          <w:sz w:val="24"/>
          <w:szCs w:val="24"/>
        </w:rPr>
        <w:t>1. Klinik Arka Plan ve Patofizyoloji: Total Diz Protezi (TDP / TKA)</w:t>
      </w:r>
    </w:p>
    <w:p w14:paraId="1B52124B" w14:textId="77777777" w:rsidR="00BB259E" w:rsidRPr="00F85878" w:rsidRDefault="00BA3948">
      <w:pPr>
        <w:spacing w:after="100"/>
        <w:jc w:val="both"/>
        <w:rPr>
          <w:sz w:val="24"/>
          <w:szCs w:val="24"/>
        </w:rPr>
      </w:pPr>
      <w:r w:rsidRPr="00F85878">
        <w:rPr>
          <w:rFonts w:ascii="Calibri" w:hAnsi="Calibri"/>
          <w:sz w:val="24"/>
          <w:szCs w:val="24"/>
        </w:rPr>
        <w:t>Total Diz Protezi (TDP / Total Knee Arthroplasty - TKA), ileri derecede gonartroz (diz kireçlenmesi), romatoid artrit veya travmaya bağlı eklem harabiyeti yaşayan hastalarda ağrısız eklem fonksiyonunu yeniden tesis etmek amacıyla uygulanan altın standart cerrahi prosedürdür. Buna karşın ortopedik cerrahiler arasında post-operatif ağrı şiddetinin en yüksek seyrettiği operasyonlardan biri olarak kabul edilmektedir. Cerrahi sırasında femur ve tibia kemik uçlarının rezeksiyonu (kemik kesimi), intramedüller kanal manipülasyonu, geniş eklem kapsülü insizyonu ve çevre ligamentlerin gerilmesi, akut doku travmasına ve yoğun nosiseptif uyarıma yol açar.</w:t>
      </w:r>
    </w:p>
    <w:p w14:paraId="36949A44" w14:textId="77777777" w:rsidR="00BB259E" w:rsidRPr="00F85878" w:rsidRDefault="00BA3948">
      <w:pPr>
        <w:spacing w:after="100"/>
        <w:jc w:val="both"/>
        <w:rPr>
          <w:sz w:val="24"/>
          <w:szCs w:val="24"/>
        </w:rPr>
      </w:pPr>
      <w:r w:rsidRPr="00F85878">
        <w:rPr>
          <w:rFonts w:ascii="Calibri" w:hAnsi="Calibri"/>
          <w:sz w:val="24"/>
          <w:szCs w:val="24"/>
        </w:rPr>
        <w:t>Post-operatif ilk 72 saatlik dönemde (özellikle 1., 2. ve 3. günlerde) cerrahi sahada prostaglandin, bradikinin, histamin ve sitokinlerin salınımıyla derin bir primer hiperaljezi (enflamatuar aşırı duyarlılık) gelişir. TDP hastalarında erken mobilizasyon, cerrahi başarının en kritik gereksinimidir. Hastanın ameliyat sonrası serviste ilk kez ayağa kaldırılması ve yürütülmesi; derin ven trombozu (DVT) ve pulmoner emboli gibi hayati komplikasyonları engellemek, eklem kontraktürünü ve artrofibrozisi (eklem içi yapışıklık) önlemek için zorunludur. Ancak yürüyüş esnasında ekleme binen mekanik yük, eklem çevresi mekanoreseptörleri ve C-liflerini aniden tetikleyerek ağrıda şiddetli 'yürüyüş sıçramalarına' sebep olur. Ağrının doğru yönetilememesi hastada hareket korkusuna (kinezyofobi), rehabilitasyonun aksamasına ve akut nosiseptif ağrının merkezi duyarlılaşma (santral sensitizasyon) yoluyla kronik nöropatik ağrıya dönüşmesine neden olmaktadır.</w:t>
      </w:r>
    </w:p>
    <w:p w14:paraId="08823C42" w14:textId="77777777" w:rsidR="00074490" w:rsidRDefault="00074490">
      <w:pPr>
        <w:spacing w:before="240" w:after="80"/>
        <w:rPr>
          <w:rFonts w:ascii="Calibri" w:hAnsi="Calibri"/>
          <w:b/>
          <w:color w:val="1F4E79"/>
          <w:sz w:val="24"/>
          <w:szCs w:val="24"/>
        </w:rPr>
      </w:pPr>
    </w:p>
    <w:p w14:paraId="651F0CC0" w14:textId="77777777" w:rsidR="00074490" w:rsidRDefault="00074490">
      <w:pPr>
        <w:spacing w:before="240" w:after="80"/>
        <w:rPr>
          <w:rFonts w:ascii="Calibri" w:hAnsi="Calibri"/>
          <w:b/>
          <w:color w:val="1F4E79"/>
          <w:sz w:val="24"/>
          <w:szCs w:val="24"/>
        </w:rPr>
      </w:pPr>
    </w:p>
    <w:p w14:paraId="7DEF066E" w14:textId="074E6255" w:rsidR="00BB259E" w:rsidRPr="00F85878" w:rsidRDefault="00BA3948">
      <w:pPr>
        <w:spacing w:before="240" w:after="80"/>
        <w:rPr>
          <w:sz w:val="24"/>
          <w:szCs w:val="24"/>
        </w:rPr>
      </w:pPr>
      <w:r w:rsidRPr="00F85878">
        <w:rPr>
          <w:rFonts w:ascii="Calibri" w:hAnsi="Calibri"/>
          <w:b/>
          <w:color w:val="1F4E79"/>
          <w:sz w:val="24"/>
          <w:szCs w:val="24"/>
        </w:rPr>
        <w:lastRenderedPageBreak/>
        <w:t>2. Kapsamlı Literatür Taraması (Literature Review)</w:t>
      </w:r>
    </w:p>
    <w:p w14:paraId="02B31E69" w14:textId="530F6656" w:rsidR="0009402B" w:rsidRPr="0009402B" w:rsidRDefault="00BA3948">
      <w:pPr>
        <w:spacing w:after="100"/>
        <w:jc w:val="both"/>
        <w:rPr>
          <w:rFonts w:ascii="Calibri" w:hAnsi="Calibri"/>
          <w:sz w:val="24"/>
          <w:szCs w:val="24"/>
        </w:rPr>
      </w:pPr>
      <w:r w:rsidRPr="00F85878">
        <w:rPr>
          <w:rFonts w:ascii="Calibri" w:hAnsi="Calibri"/>
          <w:sz w:val="24"/>
          <w:szCs w:val="24"/>
        </w:rPr>
        <w:t xml:space="preserve">Geleneksel klinik takipte ağrı şiddetinin izlenmesi büyük ölçüde hastanın öz-bildirimine dayalı tek boyutlu ölçekler üzerinden yürütülmektedir. Ancak biyomedikal ve klinik literatürde bu ölçeklerin yetersizlikleri ve modern </w:t>
      </w:r>
      <w:proofErr w:type="spellStart"/>
      <w:r w:rsidRPr="00F85878">
        <w:rPr>
          <w:rFonts w:ascii="Calibri" w:hAnsi="Calibri"/>
          <w:sz w:val="24"/>
          <w:szCs w:val="24"/>
        </w:rPr>
        <w:t>yapay</w:t>
      </w:r>
      <w:proofErr w:type="spellEnd"/>
      <w:r w:rsidRPr="00F85878">
        <w:rPr>
          <w:rFonts w:ascii="Calibri" w:hAnsi="Calibri"/>
          <w:sz w:val="24"/>
          <w:szCs w:val="24"/>
        </w:rPr>
        <w:t xml:space="preserve"> </w:t>
      </w:r>
      <w:proofErr w:type="spellStart"/>
      <w:r w:rsidRPr="00F85878">
        <w:rPr>
          <w:rFonts w:ascii="Calibri" w:hAnsi="Calibri"/>
          <w:sz w:val="24"/>
          <w:szCs w:val="24"/>
        </w:rPr>
        <w:t>zekâ</w:t>
      </w:r>
      <w:proofErr w:type="spellEnd"/>
      <w:r w:rsidRPr="00F85878">
        <w:rPr>
          <w:rFonts w:ascii="Calibri" w:hAnsi="Calibri"/>
          <w:sz w:val="24"/>
          <w:szCs w:val="24"/>
        </w:rPr>
        <w:t xml:space="preserve"> </w:t>
      </w:r>
      <w:proofErr w:type="spellStart"/>
      <w:r w:rsidRPr="00F85878">
        <w:rPr>
          <w:rFonts w:ascii="Calibri" w:hAnsi="Calibri"/>
          <w:sz w:val="24"/>
          <w:szCs w:val="24"/>
        </w:rPr>
        <w:t>yaklaşımlarının</w:t>
      </w:r>
      <w:proofErr w:type="spellEnd"/>
      <w:r w:rsidRPr="00F85878">
        <w:rPr>
          <w:rFonts w:ascii="Calibri" w:hAnsi="Calibri"/>
          <w:sz w:val="24"/>
          <w:szCs w:val="24"/>
        </w:rPr>
        <w:t xml:space="preserve"> </w:t>
      </w:r>
      <w:proofErr w:type="spellStart"/>
      <w:r w:rsidRPr="00F85878">
        <w:rPr>
          <w:rFonts w:ascii="Calibri" w:hAnsi="Calibri"/>
          <w:sz w:val="24"/>
          <w:szCs w:val="24"/>
        </w:rPr>
        <w:t>üstünlüğü</w:t>
      </w:r>
      <w:proofErr w:type="spellEnd"/>
      <w:r w:rsidRPr="00F85878">
        <w:rPr>
          <w:rFonts w:ascii="Calibri" w:hAnsi="Calibri"/>
          <w:sz w:val="24"/>
          <w:szCs w:val="24"/>
        </w:rPr>
        <w:t xml:space="preserve"> </w:t>
      </w:r>
      <w:proofErr w:type="spellStart"/>
      <w:r w:rsidRPr="00F85878">
        <w:rPr>
          <w:rFonts w:ascii="Calibri" w:hAnsi="Calibri"/>
          <w:sz w:val="24"/>
          <w:szCs w:val="24"/>
        </w:rPr>
        <w:t>geniş</w:t>
      </w:r>
      <w:proofErr w:type="spellEnd"/>
      <w:r w:rsidRPr="00F85878">
        <w:rPr>
          <w:rFonts w:ascii="Calibri" w:hAnsi="Calibri"/>
          <w:sz w:val="24"/>
          <w:szCs w:val="24"/>
        </w:rPr>
        <w:t xml:space="preserve"> </w:t>
      </w:r>
      <w:proofErr w:type="spellStart"/>
      <w:r w:rsidRPr="00F85878">
        <w:rPr>
          <w:rFonts w:ascii="Calibri" w:hAnsi="Calibri"/>
          <w:sz w:val="24"/>
          <w:szCs w:val="24"/>
        </w:rPr>
        <w:t>biçimde</w:t>
      </w:r>
      <w:proofErr w:type="spellEnd"/>
      <w:r w:rsidRPr="00F85878">
        <w:rPr>
          <w:rFonts w:ascii="Calibri" w:hAnsi="Calibri"/>
          <w:sz w:val="24"/>
          <w:szCs w:val="24"/>
        </w:rPr>
        <w:t xml:space="preserve"> </w:t>
      </w:r>
      <w:proofErr w:type="spellStart"/>
      <w:r w:rsidRPr="00F85878">
        <w:rPr>
          <w:rFonts w:ascii="Calibri" w:hAnsi="Calibri"/>
          <w:sz w:val="24"/>
          <w:szCs w:val="24"/>
        </w:rPr>
        <w:t>belgelenmiştir</w:t>
      </w:r>
      <w:proofErr w:type="spellEnd"/>
      <w:r w:rsidRPr="00F85878">
        <w:rPr>
          <w:rFonts w:ascii="Calibri" w:hAnsi="Calibri"/>
          <w:sz w:val="24"/>
          <w:szCs w:val="24"/>
        </w:rPr>
        <w:t>:</w:t>
      </w:r>
    </w:p>
    <w:p w14:paraId="6B3720DF" w14:textId="19DF6E00" w:rsidR="0009402B" w:rsidRPr="0009402B" w:rsidRDefault="00BA3948" w:rsidP="0009402B">
      <w:pPr>
        <w:pStyle w:val="ListeMaddemi"/>
        <w:spacing w:before="20" w:after="40"/>
        <w:rPr>
          <w:sz w:val="24"/>
          <w:szCs w:val="24"/>
        </w:rPr>
      </w:pPr>
      <w:r w:rsidRPr="00F85878">
        <w:rPr>
          <w:rFonts w:ascii="Calibri" w:hAnsi="Calibri"/>
          <w:b/>
          <w:sz w:val="24"/>
          <w:szCs w:val="24"/>
        </w:rPr>
        <w:t>Öz-Bildirim Ölçeklerinin (NRS / VAS) Metodolojik Kısıtları:</w:t>
      </w:r>
      <w:r w:rsidRPr="00F85878">
        <w:rPr>
          <w:rFonts w:ascii="Calibri" w:hAnsi="Calibri"/>
          <w:sz w:val="24"/>
          <w:szCs w:val="24"/>
        </w:rPr>
        <w:t xml:space="preserve"> Sayısal Derecelendirme Ölçeği (NRS) ve Görsel Analog Skala (VAS), hastanın subjektif beyanına dayanır. Cerrahi sonrası sedasyon, opioid analjeziklerin yarattığı konfüzyon, ileri yaşa bağlı bilişsel kısıtlar veya anksiyete durumlarında hastalar doğru skorlama yapamamaktadır. Dahası, 0-10 arası tek bir skora indirgenen değerlendirme, ağrının duyusal kalitesini (</w:t>
      </w:r>
      <w:proofErr w:type="spellStart"/>
      <w:r w:rsidRPr="00F85878">
        <w:rPr>
          <w:rFonts w:ascii="Calibri" w:hAnsi="Calibri"/>
          <w:sz w:val="24"/>
          <w:szCs w:val="24"/>
        </w:rPr>
        <w:t>yanıcı</w:t>
      </w:r>
      <w:proofErr w:type="spellEnd"/>
      <w:r w:rsidRPr="00F85878">
        <w:rPr>
          <w:rFonts w:ascii="Calibri" w:hAnsi="Calibri"/>
          <w:sz w:val="24"/>
          <w:szCs w:val="24"/>
        </w:rPr>
        <w:t xml:space="preserve">, </w:t>
      </w:r>
      <w:proofErr w:type="spellStart"/>
      <w:r w:rsidRPr="00F85878">
        <w:rPr>
          <w:rFonts w:ascii="Calibri" w:hAnsi="Calibri"/>
          <w:sz w:val="24"/>
          <w:szCs w:val="24"/>
        </w:rPr>
        <w:t>batıcı</w:t>
      </w:r>
      <w:proofErr w:type="spellEnd"/>
      <w:r w:rsidRPr="00F85878">
        <w:rPr>
          <w:rFonts w:ascii="Calibri" w:hAnsi="Calibri"/>
          <w:sz w:val="24"/>
          <w:szCs w:val="24"/>
        </w:rPr>
        <w:t xml:space="preserve">, </w:t>
      </w:r>
      <w:proofErr w:type="spellStart"/>
      <w:r w:rsidRPr="00F85878">
        <w:rPr>
          <w:rFonts w:ascii="Calibri" w:hAnsi="Calibri"/>
          <w:sz w:val="24"/>
          <w:szCs w:val="24"/>
        </w:rPr>
        <w:t>zonklayıcı</w:t>
      </w:r>
      <w:proofErr w:type="spellEnd"/>
      <w:r w:rsidRPr="00F85878">
        <w:rPr>
          <w:rFonts w:ascii="Calibri" w:hAnsi="Calibri"/>
          <w:sz w:val="24"/>
          <w:szCs w:val="24"/>
        </w:rPr>
        <w:t xml:space="preserve">) </w:t>
      </w:r>
      <w:proofErr w:type="spellStart"/>
      <w:r w:rsidRPr="00F85878">
        <w:rPr>
          <w:rFonts w:ascii="Calibri" w:hAnsi="Calibri"/>
          <w:sz w:val="24"/>
          <w:szCs w:val="24"/>
        </w:rPr>
        <w:t>ve</w:t>
      </w:r>
      <w:proofErr w:type="spellEnd"/>
      <w:r w:rsidRPr="00F85878">
        <w:rPr>
          <w:rFonts w:ascii="Calibri" w:hAnsi="Calibri"/>
          <w:sz w:val="24"/>
          <w:szCs w:val="24"/>
        </w:rPr>
        <w:t xml:space="preserve"> </w:t>
      </w:r>
      <w:proofErr w:type="spellStart"/>
      <w:r w:rsidRPr="00F85878">
        <w:rPr>
          <w:rFonts w:ascii="Calibri" w:hAnsi="Calibri"/>
          <w:sz w:val="24"/>
          <w:szCs w:val="24"/>
        </w:rPr>
        <w:t>affektif</w:t>
      </w:r>
      <w:proofErr w:type="spellEnd"/>
      <w:r w:rsidRPr="00F85878">
        <w:rPr>
          <w:rFonts w:ascii="Calibri" w:hAnsi="Calibri"/>
          <w:sz w:val="24"/>
          <w:szCs w:val="24"/>
        </w:rPr>
        <w:t xml:space="preserve"> </w:t>
      </w:r>
      <w:proofErr w:type="spellStart"/>
      <w:r w:rsidRPr="00F85878">
        <w:rPr>
          <w:rFonts w:ascii="Calibri" w:hAnsi="Calibri"/>
          <w:sz w:val="24"/>
          <w:szCs w:val="24"/>
        </w:rPr>
        <w:t>yükünü</w:t>
      </w:r>
      <w:proofErr w:type="spellEnd"/>
      <w:r w:rsidRPr="00F85878">
        <w:rPr>
          <w:rFonts w:ascii="Calibri" w:hAnsi="Calibri"/>
          <w:sz w:val="24"/>
          <w:szCs w:val="24"/>
        </w:rPr>
        <w:t xml:space="preserve"> </w:t>
      </w:r>
      <w:proofErr w:type="spellStart"/>
      <w:r w:rsidRPr="00F85878">
        <w:rPr>
          <w:rFonts w:ascii="Calibri" w:hAnsi="Calibri"/>
          <w:sz w:val="24"/>
          <w:szCs w:val="24"/>
        </w:rPr>
        <w:t>dışlamaktadır</w:t>
      </w:r>
      <w:proofErr w:type="spellEnd"/>
      <w:r w:rsidRPr="00F85878">
        <w:rPr>
          <w:rFonts w:ascii="Calibri" w:hAnsi="Calibri"/>
          <w:sz w:val="24"/>
          <w:szCs w:val="24"/>
        </w:rPr>
        <w:t>.</w:t>
      </w:r>
    </w:p>
    <w:p w14:paraId="5F14DCD2" w14:textId="77777777" w:rsidR="00BB259E" w:rsidRPr="00F85878" w:rsidRDefault="00BA3948">
      <w:pPr>
        <w:pStyle w:val="ListeMaddemi"/>
        <w:spacing w:before="20" w:after="40"/>
        <w:rPr>
          <w:sz w:val="24"/>
          <w:szCs w:val="24"/>
        </w:rPr>
      </w:pPr>
      <w:r w:rsidRPr="00F85878">
        <w:rPr>
          <w:rFonts w:ascii="Calibri" w:hAnsi="Calibri"/>
          <w:b/>
          <w:sz w:val="24"/>
          <w:szCs w:val="24"/>
        </w:rPr>
        <w:t>Mikro-Mimik Analizi ve Yüz Eylem Kodlama Sistemi (FACS):</w:t>
      </w:r>
      <w:r w:rsidRPr="00F85878">
        <w:rPr>
          <w:rFonts w:ascii="Calibri" w:hAnsi="Calibri"/>
          <w:sz w:val="24"/>
          <w:szCs w:val="24"/>
        </w:rPr>
        <w:t xml:space="preserve"> İnsan yüzü, somatik ve otonom sinir sisteminin kontrolündeki mimik kaslarıyla ağrıyı en dürüst yansıtan organdır. Paul Ekman ve Wallace Friesen tarafından geliştirilen FACS (Facial Action Coding System), ağrı anında aktive olan anatomik eylem birimlerini (Action Units - AU) tanımlar. Literatürde göz kısma (AU6/AU7 - orbicularis oculi), kaş çatma (AU4 - corrugator supercilii) ve üst dudak kaldırma (AU9/AU10 - levator labii) hareketlerinin istemsiz ağrı reaksiyonlarıyla doğrudan ilişkili olduğu kanıtlanmıştır. UNBC-McMaster Omuz Ağrısı Arşivi gibi standart veri tabanları, bilgisayarlı görü ve derin öğrenme modellerinin yüz mimiklerinden objektif ağrı tespitinde %85-92 başarı sağladığını göstermiştir. Güncel klinik sahada kullanılan ve akıllı cihaz kameralarıyla mimik analizi yapan PainChek sistemi de bu yaklaşımın klinik geçerliliğini teyit etmiştir.</w:t>
      </w:r>
    </w:p>
    <w:p w14:paraId="3E6849AB" w14:textId="77777777" w:rsidR="00BB259E" w:rsidRPr="00F85878" w:rsidRDefault="00BA3948">
      <w:pPr>
        <w:pStyle w:val="ListeMaddemi"/>
        <w:spacing w:before="20" w:after="40"/>
        <w:rPr>
          <w:sz w:val="24"/>
          <w:szCs w:val="24"/>
        </w:rPr>
      </w:pPr>
      <w:r w:rsidRPr="00F85878">
        <w:rPr>
          <w:rFonts w:ascii="Calibri" w:hAnsi="Calibri"/>
          <w:b/>
          <w:sz w:val="24"/>
          <w:szCs w:val="24"/>
        </w:rPr>
        <w:t>Otonom Sinir Sistemi ve Hemodinamik Biyoişaretçiler:</w:t>
      </w:r>
      <w:r w:rsidRPr="00F85878">
        <w:rPr>
          <w:rFonts w:ascii="Calibri" w:hAnsi="Calibri"/>
          <w:sz w:val="24"/>
          <w:szCs w:val="24"/>
        </w:rPr>
        <w:t xml:space="preserve"> Nosiseptif ağrı impulsları, omurilikteki arka boynuzdan spinotalamik yolak ile beyin sapı ve talamusa iletilir. Bu süreçte sempatik sinir sistemi deşarjı tetiklenir; plazma katekolamin seviyeleri yükselir, periferik arteriyel direnç artar, kalp atım hızı ve sistolik/diyastolik kan basıncı yükselir. PPG (fotopletismografi) ve tek kanallı EKG sinyallerinden elde edilen biyofizyolojik göstergeler otonom uyarılmayı yansıtır. Ancak tansiyon veya nabız tek başına ağrıya özgül (spesifik) değildir; hastanın hipervolemi durumu, stres, hareket eforu ve kullandığı beta-bloker gibi antihipertansif ilaçlardan etkilenir.</w:t>
      </w:r>
    </w:p>
    <w:p w14:paraId="41DEF5BF" w14:textId="77777777" w:rsidR="00BB259E" w:rsidRPr="00F85878" w:rsidRDefault="00BA3948">
      <w:pPr>
        <w:pStyle w:val="ListeMaddemi"/>
        <w:spacing w:before="20" w:after="40"/>
        <w:rPr>
          <w:sz w:val="24"/>
          <w:szCs w:val="24"/>
        </w:rPr>
      </w:pPr>
      <w:r w:rsidRPr="00F85878">
        <w:rPr>
          <w:rFonts w:ascii="Calibri" w:hAnsi="Calibri"/>
          <w:b/>
          <w:sz w:val="24"/>
          <w:szCs w:val="24"/>
        </w:rPr>
        <w:t>Çok Modlu Sensör Füzyonunun (Multimodal Sensor Fusion) Gerekliliği:</w:t>
      </w:r>
      <w:r w:rsidRPr="00F85878">
        <w:rPr>
          <w:rFonts w:ascii="Calibri" w:hAnsi="Calibri"/>
          <w:sz w:val="24"/>
          <w:szCs w:val="24"/>
        </w:rPr>
        <w:t xml:space="preserve"> Biyomedikal mühendisliği literatüründeki en kritik mutabakat, hiçbir tekil modalitenin (yalnızca mimik, yalnızca tansiyon veya yalnızca anket) klinik doğruluk için yeterli olamayacağıdır. Subjektif anketlerin (SF-MPQ), psikolojik durumun (EMA), otonom kardiyovasküler tepkilerin (Omron kan basıncı ve nabız) ve görsel mikro-mimiklerin (FACS) makine öğrenmesi algoritmalarıyla birleştirildiği 'Multimodal Karar Modelleri', klinik sahada gürültüyü filtreleyerek %90'ın üzerinde güvenilirlik sağlamaktadır.</w:t>
      </w:r>
    </w:p>
    <w:p w14:paraId="6F8B19D2" w14:textId="77777777" w:rsidR="00074490" w:rsidRDefault="00074490">
      <w:pPr>
        <w:spacing w:before="240" w:after="80"/>
        <w:rPr>
          <w:rFonts w:ascii="Calibri" w:hAnsi="Calibri"/>
          <w:b/>
          <w:color w:val="1F4E79"/>
          <w:sz w:val="24"/>
          <w:szCs w:val="24"/>
        </w:rPr>
      </w:pPr>
    </w:p>
    <w:p w14:paraId="00D42BC0" w14:textId="77777777" w:rsidR="00074490" w:rsidRDefault="00074490">
      <w:pPr>
        <w:spacing w:before="240" w:after="80"/>
        <w:rPr>
          <w:rFonts w:ascii="Calibri" w:hAnsi="Calibri"/>
          <w:b/>
          <w:color w:val="1F4E79"/>
          <w:sz w:val="24"/>
          <w:szCs w:val="24"/>
        </w:rPr>
      </w:pPr>
    </w:p>
    <w:p w14:paraId="7DB6BA2B" w14:textId="77777777" w:rsidR="00074490" w:rsidRDefault="00074490">
      <w:pPr>
        <w:spacing w:before="240" w:after="80"/>
        <w:rPr>
          <w:rFonts w:ascii="Calibri" w:hAnsi="Calibri"/>
          <w:b/>
          <w:color w:val="1F4E79"/>
          <w:sz w:val="24"/>
          <w:szCs w:val="24"/>
        </w:rPr>
      </w:pPr>
    </w:p>
    <w:p w14:paraId="218664F3" w14:textId="669F0604" w:rsidR="00BB259E" w:rsidRPr="00F85878" w:rsidRDefault="00BA3948">
      <w:pPr>
        <w:spacing w:before="240" w:after="80"/>
        <w:rPr>
          <w:sz w:val="24"/>
          <w:szCs w:val="24"/>
        </w:rPr>
      </w:pPr>
      <w:r w:rsidRPr="00F85878">
        <w:rPr>
          <w:rFonts w:ascii="Calibri" w:hAnsi="Calibri"/>
          <w:b/>
          <w:color w:val="1F4E79"/>
          <w:sz w:val="24"/>
          <w:szCs w:val="24"/>
        </w:rPr>
        <w:lastRenderedPageBreak/>
        <w:t>3. TÜBİTAK 1002-A Prototip Sistem Mimarisi ve Öznitelik Mühendisliği</w:t>
      </w:r>
    </w:p>
    <w:p w14:paraId="3BDB7979" w14:textId="77777777" w:rsidR="00BB259E" w:rsidRPr="00F85878" w:rsidRDefault="00BA3948">
      <w:pPr>
        <w:spacing w:after="100"/>
        <w:jc w:val="both"/>
        <w:rPr>
          <w:sz w:val="24"/>
          <w:szCs w:val="24"/>
        </w:rPr>
      </w:pPr>
      <w:r w:rsidRPr="00F85878">
        <w:rPr>
          <w:rFonts w:ascii="Calibri" w:hAnsi="Calibri"/>
          <w:sz w:val="24"/>
          <w:szCs w:val="24"/>
        </w:rPr>
        <w:t>30 iş günü boyunca yürütülen klinik veri toplama sürecine paralel olarak, sahadaki protokolün dijital ikizini temsil eden 110 hasta ve hasta başına 14 ölçüm fazından oluşan 1.540 satırlık çok modlu sentetik veri seti kurgulanmıştır. Ölçüm fazları, cerrahi kabulden taburculuğa kadar olan 4 günlük kritik süreci birebir modellemektedir:</w:t>
      </w:r>
    </w:p>
    <w:p w14:paraId="6DCFDD76" w14:textId="77777777" w:rsidR="00BB259E" w:rsidRPr="00F85878" w:rsidRDefault="00BA3948">
      <w:pPr>
        <w:pStyle w:val="ListeMaddemi"/>
        <w:spacing w:before="20" w:after="40"/>
        <w:rPr>
          <w:sz w:val="24"/>
          <w:szCs w:val="24"/>
        </w:rPr>
      </w:pPr>
      <w:r w:rsidRPr="00F85878">
        <w:rPr>
          <w:rFonts w:ascii="Calibri" w:hAnsi="Calibri"/>
          <w:b/>
          <w:sz w:val="24"/>
          <w:szCs w:val="24"/>
        </w:rPr>
        <w:t>0. Gün (Kabul ve Ameliyat Akşamı):</w:t>
      </w:r>
      <w:r w:rsidRPr="00F85878">
        <w:rPr>
          <w:rFonts w:ascii="Calibri" w:hAnsi="Calibri"/>
          <w:sz w:val="24"/>
          <w:szCs w:val="24"/>
        </w:rPr>
        <w:t xml:space="preserve"> Kabul anı bazal ölçümü (14:00-15:30) ve cerrahi sonrası ilk akşam ölçümü (16:00-17:30).</w:t>
      </w:r>
    </w:p>
    <w:p w14:paraId="5A6FF525" w14:textId="77777777" w:rsidR="00BB259E" w:rsidRPr="00F85878" w:rsidRDefault="00BA3948">
      <w:pPr>
        <w:pStyle w:val="ListeMaddemi"/>
        <w:spacing w:before="20" w:after="40"/>
        <w:rPr>
          <w:sz w:val="24"/>
          <w:szCs w:val="24"/>
        </w:rPr>
      </w:pPr>
      <w:r w:rsidRPr="00F85878">
        <w:rPr>
          <w:rFonts w:ascii="Calibri" w:hAnsi="Calibri"/>
          <w:b/>
          <w:sz w:val="24"/>
          <w:szCs w:val="24"/>
        </w:rPr>
        <w:t>1., 2. ve 3. Günler (Dinlenme ve Yürüyüş Vizitleri):</w:t>
      </w:r>
      <w:r w:rsidRPr="00F85878">
        <w:rPr>
          <w:rFonts w:ascii="Calibri" w:hAnsi="Calibri"/>
          <w:sz w:val="24"/>
          <w:szCs w:val="24"/>
        </w:rPr>
        <w:t xml:space="preserve"> Sabah viziti (08:45-11:45) ve akşamüstü viziti (15:00-18:00). Her vizitte hasta yatakta iken statik dinlenme ölçümü, ardından fizyoterapist/hemşire eşliğinde koridorda yürütüldükten 15-35 dakika sonra dinamik yürüyüş ölçümü alınmıştır.</w:t>
      </w:r>
    </w:p>
    <w:p w14:paraId="141C8142" w14:textId="77777777" w:rsidR="00BB259E" w:rsidRPr="00F85878" w:rsidRDefault="00BA3948">
      <w:pPr>
        <w:spacing w:after="100"/>
        <w:jc w:val="both"/>
        <w:rPr>
          <w:sz w:val="24"/>
          <w:szCs w:val="24"/>
        </w:rPr>
      </w:pPr>
      <w:r w:rsidRPr="00F85878">
        <w:rPr>
          <w:rFonts w:ascii="Calibri" w:hAnsi="Calibri"/>
          <w:sz w:val="24"/>
          <w:szCs w:val="24"/>
        </w:rPr>
        <w:t>Şekil 1, sahadan toplanan çok modlu verilerin öznitelik mühendisliğinden geçirilerek yapay zekâ sınıflandırıcısına aktarıldığı genel sistem mimarisini özetlemektedir:</w:t>
      </w:r>
    </w:p>
    <w:p w14:paraId="24977B46" w14:textId="77777777" w:rsidR="00BB259E" w:rsidRPr="00F85878" w:rsidRDefault="00BB259E">
      <w:pPr>
        <w:spacing w:before="80" w:after="40"/>
        <w:jc w:val="center"/>
        <w:rPr>
          <w:sz w:val="24"/>
          <w:szCs w:val="24"/>
        </w:rPr>
      </w:pPr>
    </w:p>
    <w:p w14:paraId="6260EC0B" w14:textId="77777777" w:rsidR="00BB259E" w:rsidRPr="00F85878" w:rsidRDefault="00BA3948">
      <w:pPr>
        <w:rPr>
          <w:sz w:val="24"/>
          <w:szCs w:val="24"/>
        </w:rPr>
      </w:pPr>
      <w:r w:rsidRPr="00F85878">
        <w:rPr>
          <w:noProof/>
          <w:sz w:val="24"/>
          <w:szCs w:val="24"/>
        </w:rPr>
        <w:drawing>
          <wp:inline distT="0" distB="0" distL="0" distR="0" wp14:anchorId="3D1EF3CB" wp14:editId="17862CCF">
            <wp:extent cx="6256020" cy="2499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6"/>
                    <a:stretch>
                      <a:fillRect/>
                    </a:stretch>
                  </pic:blipFill>
                  <pic:spPr>
                    <a:xfrm>
                      <a:off x="0" y="0"/>
                      <a:ext cx="6256278" cy="2500098"/>
                    </a:xfrm>
                    <a:prstGeom prst="rect">
                      <a:avLst/>
                    </a:prstGeom>
                  </pic:spPr>
                </pic:pic>
              </a:graphicData>
            </a:graphic>
          </wp:inline>
        </w:drawing>
      </w:r>
    </w:p>
    <w:p w14:paraId="3B4C4401" w14:textId="77777777" w:rsidR="00BB259E" w:rsidRPr="00F85878" w:rsidRDefault="00BA3948">
      <w:pPr>
        <w:spacing w:after="120"/>
        <w:jc w:val="center"/>
        <w:rPr>
          <w:sz w:val="24"/>
          <w:szCs w:val="24"/>
        </w:rPr>
      </w:pPr>
      <w:r w:rsidRPr="00F85878">
        <w:rPr>
          <w:rFonts w:ascii="Calibri" w:hAnsi="Calibri"/>
          <w:i/>
          <w:sz w:val="24"/>
          <w:szCs w:val="24"/>
        </w:rPr>
        <w:t>Şekil 1: TÜBİTAK 1002-A Çok Modlu Ağrı Değerlendirme ve Karar Destek Boru Hattı Mimarisi.</w:t>
      </w:r>
    </w:p>
    <w:p w14:paraId="758BE211" w14:textId="77777777" w:rsidR="00021E7D" w:rsidRDefault="00021E7D">
      <w:pPr>
        <w:spacing w:after="100"/>
        <w:jc w:val="both"/>
        <w:rPr>
          <w:rFonts w:ascii="Calibri" w:hAnsi="Calibri"/>
          <w:sz w:val="24"/>
          <w:szCs w:val="24"/>
        </w:rPr>
      </w:pPr>
    </w:p>
    <w:p w14:paraId="6CAACF65" w14:textId="77777777" w:rsidR="00021E7D" w:rsidRDefault="00021E7D">
      <w:pPr>
        <w:spacing w:after="100"/>
        <w:jc w:val="both"/>
        <w:rPr>
          <w:rFonts w:ascii="Calibri" w:hAnsi="Calibri"/>
          <w:sz w:val="24"/>
          <w:szCs w:val="24"/>
        </w:rPr>
      </w:pPr>
    </w:p>
    <w:p w14:paraId="7D2CBD7D" w14:textId="77777777" w:rsidR="00021E7D" w:rsidRDefault="00021E7D">
      <w:pPr>
        <w:spacing w:after="100"/>
        <w:jc w:val="both"/>
        <w:rPr>
          <w:rFonts w:ascii="Calibri" w:hAnsi="Calibri"/>
          <w:sz w:val="24"/>
          <w:szCs w:val="24"/>
        </w:rPr>
      </w:pPr>
    </w:p>
    <w:p w14:paraId="7B4DCCDA" w14:textId="77777777" w:rsidR="00021E7D" w:rsidRDefault="00021E7D">
      <w:pPr>
        <w:spacing w:after="100"/>
        <w:jc w:val="both"/>
        <w:rPr>
          <w:rFonts w:ascii="Calibri" w:hAnsi="Calibri"/>
          <w:sz w:val="24"/>
          <w:szCs w:val="24"/>
        </w:rPr>
      </w:pPr>
    </w:p>
    <w:p w14:paraId="34AF926C" w14:textId="77777777" w:rsidR="00021E7D" w:rsidRDefault="00021E7D">
      <w:pPr>
        <w:spacing w:after="100"/>
        <w:jc w:val="both"/>
        <w:rPr>
          <w:rFonts w:ascii="Calibri" w:hAnsi="Calibri"/>
          <w:sz w:val="24"/>
          <w:szCs w:val="24"/>
        </w:rPr>
      </w:pPr>
    </w:p>
    <w:p w14:paraId="2D482094" w14:textId="77777777" w:rsidR="00021E7D" w:rsidRDefault="00021E7D">
      <w:pPr>
        <w:spacing w:after="100"/>
        <w:jc w:val="both"/>
        <w:rPr>
          <w:rFonts w:ascii="Calibri" w:hAnsi="Calibri"/>
          <w:sz w:val="24"/>
          <w:szCs w:val="24"/>
        </w:rPr>
      </w:pPr>
    </w:p>
    <w:p w14:paraId="4E7BF54B" w14:textId="77777777" w:rsidR="00021E7D" w:rsidRDefault="00021E7D">
      <w:pPr>
        <w:spacing w:after="100"/>
        <w:jc w:val="both"/>
        <w:rPr>
          <w:rFonts w:ascii="Calibri" w:hAnsi="Calibri"/>
          <w:sz w:val="24"/>
          <w:szCs w:val="24"/>
        </w:rPr>
      </w:pPr>
    </w:p>
    <w:p w14:paraId="77D9A450" w14:textId="7042D1EA" w:rsidR="00BB259E" w:rsidRPr="00F85878" w:rsidRDefault="00BA3948">
      <w:pPr>
        <w:spacing w:after="100"/>
        <w:jc w:val="both"/>
        <w:rPr>
          <w:sz w:val="24"/>
          <w:szCs w:val="24"/>
        </w:rPr>
      </w:pPr>
      <w:r w:rsidRPr="00F85878">
        <w:rPr>
          <w:rFonts w:ascii="Calibri" w:hAnsi="Calibri"/>
          <w:sz w:val="24"/>
          <w:szCs w:val="24"/>
        </w:rPr>
        <w:lastRenderedPageBreak/>
        <w:t xml:space="preserve">Ham </w:t>
      </w:r>
      <w:proofErr w:type="spellStart"/>
      <w:r w:rsidRPr="00F85878">
        <w:rPr>
          <w:rFonts w:ascii="Calibri" w:hAnsi="Calibri"/>
          <w:sz w:val="24"/>
          <w:szCs w:val="24"/>
        </w:rPr>
        <w:t>fizyolojik</w:t>
      </w:r>
      <w:proofErr w:type="spellEnd"/>
      <w:r w:rsidRPr="00F85878">
        <w:rPr>
          <w:rFonts w:ascii="Calibri" w:hAnsi="Calibri"/>
          <w:sz w:val="24"/>
          <w:szCs w:val="24"/>
        </w:rPr>
        <w:t xml:space="preserve"> </w:t>
      </w:r>
      <w:proofErr w:type="spellStart"/>
      <w:r w:rsidRPr="00F85878">
        <w:rPr>
          <w:rFonts w:ascii="Calibri" w:hAnsi="Calibri"/>
          <w:sz w:val="24"/>
          <w:szCs w:val="24"/>
        </w:rPr>
        <w:t>parametrelerin</w:t>
      </w:r>
      <w:proofErr w:type="spellEnd"/>
      <w:r w:rsidRPr="00F85878">
        <w:rPr>
          <w:rFonts w:ascii="Calibri" w:hAnsi="Calibri"/>
          <w:sz w:val="24"/>
          <w:szCs w:val="24"/>
        </w:rPr>
        <w:t xml:space="preserve"> </w:t>
      </w:r>
      <w:proofErr w:type="spellStart"/>
      <w:r w:rsidRPr="00F85878">
        <w:rPr>
          <w:rFonts w:ascii="Calibri" w:hAnsi="Calibri"/>
          <w:sz w:val="24"/>
          <w:szCs w:val="24"/>
        </w:rPr>
        <w:t>gürültüsünü</w:t>
      </w:r>
      <w:proofErr w:type="spellEnd"/>
      <w:r w:rsidRPr="00F85878">
        <w:rPr>
          <w:rFonts w:ascii="Calibri" w:hAnsi="Calibri"/>
          <w:sz w:val="24"/>
          <w:szCs w:val="24"/>
        </w:rPr>
        <w:t xml:space="preserve"> </w:t>
      </w:r>
      <w:proofErr w:type="spellStart"/>
      <w:r w:rsidRPr="00F85878">
        <w:rPr>
          <w:rFonts w:ascii="Calibri" w:hAnsi="Calibri"/>
          <w:sz w:val="24"/>
          <w:szCs w:val="24"/>
        </w:rPr>
        <w:t>aşmak</w:t>
      </w:r>
      <w:proofErr w:type="spellEnd"/>
      <w:r w:rsidRPr="00F85878">
        <w:rPr>
          <w:rFonts w:ascii="Calibri" w:hAnsi="Calibri"/>
          <w:sz w:val="24"/>
          <w:szCs w:val="24"/>
        </w:rPr>
        <w:t xml:space="preserve"> ve modele klinik fizyoloji bilgisi kazandırmak amacıyla şu öznitelikler türetilmiştir:</w:t>
      </w:r>
    </w:p>
    <w:p w14:paraId="73819BFA" w14:textId="77777777" w:rsidR="00BB259E" w:rsidRPr="00F85878" w:rsidRDefault="00BA3948">
      <w:pPr>
        <w:pStyle w:val="ListeMaddemi"/>
        <w:spacing w:before="20" w:after="40"/>
        <w:rPr>
          <w:sz w:val="24"/>
          <w:szCs w:val="24"/>
        </w:rPr>
      </w:pPr>
      <w:r w:rsidRPr="00F85878">
        <w:rPr>
          <w:rFonts w:ascii="Calibri" w:hAnsi="Calibri"/>
          <w:b/>
          <w:sz w:val="24"/>
          <w:szCs w:val="24"/>
        </w:rPr>
        <w:t>Rate Pressure Product (RPP - Miyokardiyal Stres İndeksi):</w:t>
      </w:r>
      <w:r w:rsidRPr="00F85878">
        <w:rPr>
          <w:rFonts w:ascii="Calibri" w:hAnsi="Calibri"/>
          <w:sz w:val="24"/>
          <w:szCs w:val="24"/>
        </w:rPr>
        <w:t xml:space="preserve"> RPP = (Sistolik KB x Kalp Hızı) / 100 formülüyle hesaplanmıştır. Kardiyolojide miyokardiyal oksijen tüketimi ve sol ventrikül iş yükünün doğrudan bir göstergesi olan RPP, ağrının ve mobilizasyon eforunun kardiyovasküler sisteme bindirdiği sempatik stresi tek bir bileşke göstergeye indirger.</w:t>
      </w:r>
    </w:p>
    <w:p w14:paraId="4E49BD08" w14:textId="77777777" w:rsidR="00BB259E" w:rsidRPr="00F85878" w:rsidRDefault="00BA3948">
      <w:pPr>
        <w:pStyle w:val="ListeMaddemi"/>
        <w:spacing w:before="20" w:after="40"/>
        <w:rPr>
          <w:sz w:val="24"/>
          <w:szCs w:val="24"/>
        </w:rPr>
      </w:pPr>
      <w:r w:rsidRPr="00F85878">
        <w:rPr>
          <w:rFonts w:ascii="Calibri" w:hAnsi="Calibri"/>
          <w:b/>
          <w:sz w:val="24"/>
          <w:szCs w:val="24"/>
        </w:rPr>
        <w:t>Nabız Basıncı (Pulse Pressure):</w:t>
      </w:r>
      <w:r w:rsidRPr="00F85878">
        <w:rPr>
          <w:rFonts w:ascii="Calibri" w:hAnsi="Calibri"/>
          <w:sz w:val="24"/>
          <w:szCs w:val="24"/>
        </w:rPr>
        <w:t xml:space="preserve"> Nabız Basıncı = Sistolik KB - Diyastolik KB formülüyle elde edilmiştir. Arteriyel kompliyansı (esneklik) ve vurum hacmini yansıtan bu parametre, sempatik vazokonstriksiyona bağlı pulsatif gerilimi modele aktarır.</w:t>
      </w:r>
    </w:p>
    <w:p w14:paraId="7DE5B571" w14:textId="77777777" w:rsidR="00BB259E" w:rsidRPr="00F85878" w:rsidRDefault="00BA3948">
      <w:pPr>
        <w:pStyle w:val="ListeMaddemi"/>
        <w:spacing w:before="20" w:after="40"/>
        <w:rPr>
          <w:sz w:val="24"/>
          <w:szCs w:val="24"/>
        </w:rPr>
      </w:pPr>
      <w:r w:rsidRPr="00F85878">
        <w:rPr>
          <w:rFonts w:ascii="Calibri" w:hAnsi="Calibri"/>
          <w:b/>
          <w:sz w:val="24"/>
          <w:szCs w:val="24"/>
        </w:rPr>
        <w:t>McGill Ağrı Anketi (SF-MPQ Skoru):</w:t>
      </w:r>
      <w:r w:rsidRPr="00F85878">
        <w:rPr>
          <w:rFonts w:ascii="Calibri" w:hAnsi="Calibri"/>
          <w:sz w:val="24"/>
          <w:szCs w:val="24"/>
        </w:rPr>
        <w:t xml:space="preserve"> 15 duyusal ve algısal niteleyiciden oluşan anketten elde edilen toplam skor (0-45). Ağrının yalnızca şiddetini değil, niteliksel dokusunu modele sunar.</w:t>
      </w:r>
    </w:p>
    <w:p w14:paraId="706EB293" w14:textId="77777777" w:rsidR="00BB259E" w:rsidRPr="00F85878" w:rsidRDefault="00BA3948">
      <w:pPr>
        <w:pStyle w:val="ListeMaddemi"/>
        <w:spacing w:before="20" w:after="40"/>
        <w:rPr>
          <w:sz w:val="24"/>
          <w:szCs w:val="24"/>
        </w:rPr>
      </w:pPr>
      <w:r w:rsidRPr="00F85878">
        <w:rPr>
          <w:rFonts w:ascii="Calibri" w:hAnsi="Calibri"/>
          <w:b/>
          <w:sz w:val="24"/>
          <w:szCs w:val="24"/>
        </w:rPr>
        <w:t>Yüz FACS Ağrı Skoru ve EMA Psikolojik Durum:</w:t>
      </w:r>
      <w:r w:rsidRPr="00F85878">
        <w:rPr>
          <w:rFonts w:ascii="Calibri" w:hAnsi="Calibri"/>
          <w:sz w:val="24"/>
          <w:szCs w:val="24"/>
        </w:rPr>
        <w:t xml:space="preserve"> Tripod kamera kayıtlarından çıkarılan 0.0-1.0 aralığındaki mikro-mimik skoru ile hastanın vizit anındaki anlık duygulanımı (Sakin, Yorgun, Tedirgin, Endişeli, Gergin, Ağrılı) girdi olarak işlenmiştir.</w:t>
      </w:r>
    </w:p>
    <w:p w14:paraId="61C59B6D" w14:textId="77777777" w:rsidR="00BB259E" w:rsidRPr="00F85878" w:rsidRDefault="00BA3948">
      <w:pPr>
        <w:spacing w:before="240" w:after="80"/>
        <w:rPr>
          <w:sz w:val="24"/>
          <w:szCs w:val="24"/>
        </w:rPr>
      </w:pPr>
      <w:r w:rsidRPr="00F85878">
        <w:rPr>
          <w:rFonts w:ascii="Calibri" w:hAnsi="Calibri"/>
          <w:b/>
          <w:color w:val="1F4E79"/>
          <w:sz w:val="24"/>
          <w:szCs w:val="24"/>
        </w:rPr>
        <w:t>4. Metodoloji: Veri Sızıntısının Önlenmesi ve Model Eğitimi</w:t>
      </w:r>
    </w:p>
    <w:p w14:paraId="74E87F55" w14:textId="77777777" w:rsidR="00BB259E" w:rsidRPr="00F85878" w:rsidRDefault="00BA3948">
      <w:pPr>
        <w:spacing w:after="100"/>
        <w:jc w:val="both"/>
        <w:rPr>
          <w:sz w:val="24"/>
          <w:szCs w:val="24"/>
        </w:rPr>
      </w:pPr>
      <w:r w:rsidRPr="00F85878">
        <w:rPr>
          <w:rFonts w:ascii="Calibri" w:hAnsi="Calibri"/>
          <w:sz w:val="24"/>
          <w:szCs w:val="24"/>
        </w:rPr>
        <w:t>Klinik yapay zekâ araştırmalarında literatürde en sık rastlanan metodolojik hata 'Veri Sızıntısı'dır (Data Leakage / Identity Confounding). Eğer aynı hastaya ait 14 ölçüm rastgele karıştırılarak (random split) eğitim ve test kümelerine dağıtılırsa, model hastanın genel tansiyon karakteristiğini veya yaşını ezberleyerek test kümesinde yapay biçimde %99 gibi sahte bir başarım sergiler. Ancak model kliniğe giren yeni ve yabancı bir hastada çöker.</w:t>
      </w:r>
    </w:p>
    <w:p w14:paraId="1669DECF" w14:textId="77777777" w:rsidR="00BB259E" w:rsidRPr="00F85878" w:rsidRDefault="00BA3948">
      <w:pPr>
        <w:spacing w:after="100"/>
        <w:jc w:val="both"/>
        <w:rPr>
          <w:sz w:val="24"/>
          <w:szCs w:val="24"/>
        </w:rPr>
      </w:pPr>
      <w:r w:rsidRPr="00F85878">
        <w:rPr>
          <w:rFonts w:ascii="Calibri" w:hAnsi="Calibri"/>
          <w:sz w:val="24"/>
          <w:szCs w:val="24"/>
        </w:rPr>
        <w:t>Çalışmamızda bu metodolojik hatanın önüne geçmek için kesin bir 'Patient-Level Group Split' (Hasta Bazlı Ayrım) kurgulanmıştır. 110 hasta kimliklerine göre gruplanmış; hastaların %80'i (88 hasta, 1.232 ölçüm) eğitim kümesine, tamamen bağımsız %20'si (22 hasta, 308 ölçüm) ise test kümesine ayrılmıştır. Model test kümesindeki 22 hastanın hiçbir ölçümünü eğitim esnasında görmemiştir.</w:t>
      </w:r>
    </w:p>
    <w:p w14:paraId="769579A5" w14:textId="77777777" w:rsidR="00BB259E" w:rsidRPr="00F85878" w:rsidRDefault="00BA3948">
      <w:pPr>
        <w:spacing w:after="100"/>
        <w:jc w:val="both"/>
        <w:rPr>
          <w:sz w:val="24"/>
          <w:szCs w:val="24"/>
        </w:rPr>
      </w:pPr>
      <w:r w:rsidRPr="00F85878">
        <w:rPr>
          <w:rFonts w:ascii="Calibri" w:hAnsi="Calibri"/>
          <w:sz w:val="24"/>
          <w:szCs w:val="24"/>
        </w:rPr>
        <w:t>Sınıflandırıcı mimarisi olarak, heterojen klinik tablolarda karar ağaçlarının ardışık hata düzeltme kabiliyetinden yararlanan Gradient Boosting Classifier tercih edilmiştir. Model hiperparametreleri (n_estimators=100, learning_rate=0.08, max_depth=3, subsample=0.85) grid-search ile optimize edilmiştir.</w:t>
      </w:r>
    </w:p>
    <w:p w14:paraId="756BCA48" w14:textId="77777777" w:rsidR="00021E7D" w:rsidRDefault="00021E7D">
      <w:pPr>
        <w:spacing w:before="240" w:after="80"/>
        <w:rPr>
          <w:rFonts w:ascii="Calibri" w:hAnsi="Calibri"/>
          <w:b/>
          <w:color w:val="1F4E79"/>
          <w:sz w:val="24"/>
          <w:szCs w:val="24"/>
        </w:rPr>
      </w:pPr>
    </w:p>
    <w:p w14:paraId="73D275F2" w14:textId="77777777" w:rsidR="00021E7D" w:rsidRDefault="00021E7D">
      <w:pPr>
        <w:spacing w:before="240" w:after="80"/>
        <w:rPr>
          <w:rFonts w:ascii="Calibri" w:hAnsi="Calibri"/>
          <w:b/>
          <w:color w:val="1F4E79"/>
          <w:sz w:val="24"/>
          <w:szCs w:val="24"/>
        </w:rPr>
      </w:pPr>
    </w:p>
    <w:p w14:paraId="6629D307" w14:textId="77777777" w:rsidR="00021E7D" w:rsidRDefault="00021E7D">
      <w:pPr>
        <w:spacing w:before="240" w:after="80"/>
        <w:rPr>
          <w:rFonts w:ascii="Calibri" w:hAnsi="Calibri"/>
          <w:b/>
          <w:color w:val="1F4E79"/>
          <w:sz w:val="24"/>
          <w:szCs w:val="24"/>
        </w:rPr>
      </w:pPr>
    </w:p>
    <w:p w14:paraId="42C712FD" w14:textId="77777777" w:rsidR="003C3883" w:rsidRDefault="003C3883">
      <w:pPr>
        <w:spacing w:before="240" w:after="80"/>
        <w:rPr>
          <w:rFonts w:ascii="Calibri" w:hAnsi="Calibri"/>
          <w:b/>
          <w:color w:val="1F4E79"/>
          <w:sz w:val="24"/>
          <w:szCs w:val="24"/>
        </w:rPr>
      </w:pPr>
    </w:p>
    <w:p w14:paraId="0F64415B" w14:textId="77777777" w:rsidR="00021E7D" w:rsidRDefault="00021E7D">
      <w:pPr>
        <w:spacing w:before="240" w:after="80"/>
        <w:rPr>
          <w:rFonts w:ascii="Calibri" w:hAnsi="Calibri"/>
          <w:b/>
          <w:color w:val="1F4E79"/>
          <w:sz w:val="24"/>
          <w:szCs w:val="24"/>
        </w:rPr>
      </w:pPr>
    </w:p>
    <w:p w14:paraId="5F68B5F6" w14:textId="45EC256B" w:rsidR="00BB259E" w:rsidRPr="00F85878" w:rsidRDefault="00BA3948">
      <w:pPr>
        <w:spacing w:before="240" w:after="80"/>
        <w:rPr>
          <w:sz w:val="24"/>
          <w:szCs w:val="24"/>
        </w:rPr>
      </w:pPr>
      <w:r w:rsidRPr="00F85878">
        <w:rPr>
          <w:rFonts w:ascii="Calibri" w:hAnsi="Calibri"/>
          <w:b/>
          <w:color w:val="1F4E79"/>
          <w:sz w:val="24"/>
          <w:szCs w:val="24"/>
        </w:rPr>
        <w:lastRenderedPageBreak/>
        <w:t>5. Deneysel Bulgular, Performans Metrikleri ve Tartışma</w:t>
      </w:r>
    </w:p>
    <w:p w14:paraId="4F19847E" w14:textId="77777777" w:rsidR="00BB259E" w:rsidRPr="00F85878" w:rsidRDefault="00BA3948">
      <w:pPr>
        <w:spacing w:after="100"/>
        <w:jc w:val="both"/>
        <w:rPr>
          <w:sz w:val="24"/>
          <w:szCs w:val="24"/>
        </w:rPr>
      </w:pPr>
      <w:r w:rsidRPr="00F85878">
        <w:rPr>
          <w:rFonts w:ascii="Calibri" w:hAnsi="Calibri"/>
          <w:sz w:val="24"/>
          <w:szCs w:val="24"/>
        </w:rPr>
        <w:t>Eğitilen modelin bağımsız 22 hastaya ait 308 test ölçümü üzerindeki sınıflandırma sonuçları Tablo 1'de sunulmuştur. Model 308 ölçümün 294'ünü doğru sınıflandırmış, yalnızca 14 ölçümde hata yapmış ve %95.45 Genel Doğruluk (Accuracy) oranına ulaşmıştır. TÜBİTAK 1002-A proje hedefi olan en az %90 başarım eşiği prototip seviyesinde başarıyla aşılmıştır.</w:t>
      </w:r>
    </w:p>
    <w:tbl>
      <w:tblPr>
        <w:tblW w:w="0" w:type="auto"/>
        <w:jc w:val="center"/>
        <w:tblBorders>
          <w:top w:val="single" w:sz="6" w:space="0" w:color="D3D3D3"/>
          <w:left w:val="single" w:sz="6" w:space="0" w:color="D3D3D3"/>
          <w:bottom w:val="single" w:sz="6" w:space="0" w:color="D3D3D3"/>
          <w:right w:val="single" w:sz="6" w:space="0" w:color="D3D3D3"/>
          <w:insideH w:val="single" w:sz="4" w:space="0" w:color="D3D3D3"/>
        </w:tblBorders>
        <w:tblLook w:val="04A0" w:firstRow="1" w:lastRow="0" w:firstColumn="1" w:lastColumn="0" w:noHBand="0" w:noVBand="1"/>
      </w:tblPr>
      <w:tblGrid>
        <w:gridCol w:w="1958"/>
        <w:gridCol w:w="1958"/>
        <w:gridCol w:w="1958"/>
        <w:gridCol w:w="1958"/>
        <w:gridCol w:w="1958"/>
      </w:tblGrid>
      <w:tr w:rsidR="00BB259E" w:rsidRPr="00F85878" w14:paraId="1FD1CEA0" w14:textId="77777777">
        <w:trPr>
          <w:jc w:val="center"/>
        </w:trPr>
        <w:tc>
          <w:tcPr>
            <w:tcW w:w="1958" w:type="dxa"/>
            <w:shd w:val="clear" w:color="auto" w:fill="1F4E79"/>
            <w:tcMar>
              <w:top w:w="60" w:type="dxa"/>
              <w:left w:w="70" w:type="dxa"/>
              <w:bottom w:w="60" w:type="dxa"/>
              <w:right w:w="70" w:type="dxa"/>
            </w:tcMar>
          </w:tcPr>
          <w:p w14:paraId="20FCC5B8" w14:textId="77777777" w:rsidR="00BB259E" w:rsidRPr="00F85878" w:rsidRDefault="00BA3948">
            <w:pPr>
              <w:jc w:val="center"/>
              <w:rPr>
                <w:sz w:val="24"/>
                <w:szCs w:val="24"/>
              </w:rPr>
            </w:pPr>
            <w:r w:rsidRPr="00F85878">
              <w:rPr>
                <w:rFonts w:ascii="Calibri" w:hAnsi="Calibri"/>
                <w:b/>
                <w:color w:val="FFFFFF"/>
                <w:sz w:val="24"/>
                <w:szCs w:val="24"/>
              </w:rPr>
              <w:t>Ağrı Sınıfı (DSÖ Standardı)</w:t>
            </w:r>
          </w:p>
        </w:tc>
        <w:tc>
          <w:tcPr>
            <w:tcW w:w="1958" w:type="dxa"/>
            <w:shd w:val="clear" w:color="auto" w:fill="1F4E79"/>
            <w:tcMar>
              <w:top w:w="60" w:type="dxa"/>
              <w:left w:w="70" w:type="dxa"/>
              <w:bottom w:w="60" w:type="dxa"/>
              <w:right w:w="70" w:type="dxa"/>
            </w:tcMar>
          </w:tcPr>
          <w:p w14:paraId="1C39E58F" w14:textId="77777777" w:rsidR="00BB259E" w:rsidRPr="00F85878" w:rsidRDefault="00BA3948">
            <w:pPr>
              <w:jc w:val="center"/>
              <w:rPr>
                <w:sz w:val="24"/>
                <w:szCs w:val="24"/>
              </w:rPr>
            </w:pPr>
            <w:r w:rsidRPr="00F85878">
              <w:rPr>
                <w:rFonts w:ascii="Calibri" w:hAnsi="Calibri"/>
                <w:b/>
                <w:color w:val="FFFFFF"/>
                <w:sz w:val="24"/>
                <w:szCs w:val="24"/>
              </w:rPr>
              <w:t>Test Örneği (Support)</w:t>
            </w:r>
          </w:p>
        </w:tc>
        <w:tc>
          <w:tcPr>
            <w:tcW w:w="1958" w:type="dxa"/>
            <w:shd w:val="clear" w:color="auto" w:fill="1F4E79"/>
            <w:tcMar>
              <w:top w:w="60" w:type="dxa"/>
              <w:left w:w="70" w:type="dxa"/>
              <w:bottom w:w="60" w:type="dxa"/>
              <w:right w:w="70" w:type="dxa"/>
            </w:tcMar>
          </w:tcPr>
          <w:p w14:paraId="74285DE3" w14:textId="77777777" w:rsidR="00BB259E" w:rsidRPr="00F85878" w:rsidRDefault="00BA3948">
            <w:pPr>
              <w:jc w:val="center"/>
              <w:rPr>
                <w:sz w:val="24"/>
                <w:szCs w:val="24"/>
              </w:rPr>
            </w:pPr>
            <w:r w:rsidRPr="00F85878">
              <w:rPr>
                <w:rFonts w:ascii="Calibri" w:hAnsi="Calibri"/>
                <w:b/>
                <w:color w:val="FFFFFF"/>
                <w:sz w:val="24"/>
                <w:szCs w:val="24"/>
              </w:rPr>
              <w:t>Precision (Kesinlik)</w:t>
            </w:r>
          </w:p>
        </w:tc>
        <w:tc>
          <w:tcPr>
            <w:tcW w:w="1958" w:type="dxa"/>
            <w:shd w:val="clear" w:color="auto" w:fill="1F4E79"/>
            <w:tcMar>
              <w:top w:w="60" w:type="dxa"/>
              <w:left w:w="70" w:type="dxa"/>
              <w:bottom w:w="60" w:type="dxa"/>
              <w:right w:w="70" w:type="dxa"/>
            </w:tcMar>
          </w:tcPr>
          <w:p w14:paraId="4BA6BD7B" w14:textId="77777777" w:rsidR="00BB259E" w:rsidRPr="00F85878" w:rsidRDefault="00BA3948">
            <w:pPr>
              <w:jc w:val="center"/>
              <w:rPr>
                <w:sz w:val="24"/>
                <w:szCs w:val="24"/>
              </w:rPr>
            </w:pPr>
            <w:r w:rsidRPr="00F85878">
              <w:rPr>
                <w:rFonts w:ascii="Calibri" w:hAnsi="Calibri"/>
                <w:b/>
                <w:color w:val="FFFFFF"/>
                <w:sz w:val="24"/>
                <w:szCs w:val="24"/>
              </w:rPr>
              <w:t>Recall (Duyarlılık)</w:t>
            </w:r>
          </w:p>
        </w:tc>
        <w:tc>
          <w:tcPr>
            <w:tcW w:w="1958" w:type="dxa"/>
            <w:shd w:val="clear" w:color="auto" w:fill="1F4E79"/>
            <w:tcMar>
              <w:top w:w="60" w:type="dxa"/>
              <w:left w:w="70" w:type="dxa"/>
              <w:bottom w:w="60" w:type="dxa"/>
              <w:right w:w="70" w:type="dxa"/>
            </w:tcMar>
          </w:tcPr>
          <w:p w14:paraId="56C006CD" w14:textId="77777777" w:rsidR="00BB259E" w:rsidRPr="00F85878" w:rsidRDefault="00BA3948">
            <w:pPr>
              <w:jc w:val="center"/>
              <w:rPr>
                <w:sz w:val="24"/>
                <w:szCs w:val="24"/>
              </w:rPr>
            </w:pPr>
            <w:r w:rsidRPr="00F85878">
              <w:rPr>
                <w:rFonts w:ascii="Calibri" w:hAnsi="Calibri"/>
                <w:b/>
                <w:color w:val="FFFFFF"/>
                <w:sz w:val="24"/>
                <w:szCs w:val="24"/>
              </w:rPr>
              <w:t>F1-Skoru</w:t>
            </w:r>
          </w:p>
        </w:tc>
      </w:tr>
      <w:tr w:rsidR="00BB259E" w:rsidRPr="00F85878" w14:paraId="1FE19774" w14:textId="77777777">
        <w:trPr>
          <w:jc w:val="center"/>
        </w:trPr>
        <w:tc>
          <w:tcPr>
            <w:tcW w:w="1958" w:type="dxa"/>
            <w:tcMar>
              <w:top w:w="50" w:type="dxa"/>
              <w:left w:w="70" w:type="dxa"/>
              <w:bottom w:w="50" w:type="dxa"/>
              <w:right w:w="70" w:type="dxa"/>
            </w:tcMar>
          </w:tcPr>
          <w:p w14:paraId="4EF09608" w14:textId="77777777" w:rsidR="00BB259E" w:rsidRPr="00F85878" w:rsidRDefault="00BA3948">
            <w:pPr>
              <w:jc w:val="center"/>
              <w:rPr>
                <w:sz w:val="24"/>
                <w:szCs w:val="24"/>
              </w:rPr>
            </w:pPr>
            <w:r w:rsidRPr="00F85878">
              <w:rPr>
                <w:rFonts w:ascii="Calibri" w:hAnsi="Calibri"/>
                <w:sz w:val="24"/>
                <w:szCs w:val="24"/>
              </w:rPr>
              <w:t>Hafif Ağrı (Sınıf 0 / NRS 0-3)</w:t>
            </w:r>
          </w:p>
        </w:tc>
        <w:tc>
          <w:tcPr>
            <w:tcW w:w="1958" w:type="dxa"/>
            <w:tcMar>
              <w:top w:w="50" w:type="dxa"/>
              <w:left w:w="70" w:type="dxa"/>
              <w:bottom w:w="50" w:type="dxa"/>
              <w:right w:w="70" w:type="dxa"/>
            </w:tcMar>
          </w:tcPr>
          <w:p w14:paraId="7EB89CCD" w14:textId="77777777" w:rsidR="00BB259E" w:rsidRPr="00F85878" w:rsidRDefault="00BA3948">
            <w:pPr>
              <w:jc w:val="center"/>
              <w:rPr>
                <w:sz w:val="24"/>
                <w:szCs w:val="24"/>
              </w:rPr>
            </w:pPr>
            <w:r w:rsidRPr="00F85878">
              <w:rPr>
                <w:rFonts w:ascii="Calibri" w:hAnsi="Calibri"/>
                <w:sz w:val="24"/>
                <w:szCs w:val="24"/>
              </w:rPr>
              <w:t>50</w:t>
            </w:r>
          </w:p>
        </w:tc>
        <w:tc>
          <w:tcPr>
            <w:tcW w:w="1958" w:type="dxa"/>
            <w:tcMar>
              <w:top w:w="50" w:type="dxa"/>
              <w:left w:w="70" w:type="dxa"/>
              <w:bottom w:w="50" w:type="dxa"/>
              <w:right w:w="70" w:type="dxa"/>
            </w:tcMar>
          </w:tcPr>
          <w:p w14:paraId="0B6453E5" w14:textId="77777777" w:rsidR="00BB259E" w:rsidRPr="00F85878" w:rsidRDefault="00BA3948">
            <w:pPr>
              <w:jc w:val="center"/>
              <w:rPr>
                <w:sz w:val="24"/>
                <w:szCs w:val="24"/>
              </w:rPr>
            </w:pPr>
            <w:r w:rsidRPr="00F85878">
              <w:rPr>
                <w:rFonts w:ascii="Calibri" w:hAnsi="Calibri"/>
                <w:sz w:val="24"/>
                <w:szCs w:val="24"/>
              </w:rPr>
              <w:t>0.94</w:t>
            </w:r>
          </w:p>
        </w:tc>
        <w:tc>
          <w:tcPr>
            <w:tcW w:w="1958" w:type="dxa"/>
            <w:tcMar>
              <w:top w:w="50" w:type="dxa"/>
              <w:left w:w="70" w:type="dxa"/>
              <w:bottom w:w="50" w:type="dxa"/>
              <w:right w:w="70" w:type="dxa"/>
            </w:tcMar>
          </w:tcPr>
          <w:p w14:paraId="22F32F91" w14:textId="77777777" w:rsidR="00BB259E" w:rsidRPr="00F85878" w:rsidRDefault="00BA3948">
            <w:pPr>
              <w:jc w:val="center"/>
              <w:rPr>
                <w:sz w:val="24"/>
                <w:szCs w:val="24"/>
              </w:rPr>
            </w:pPr>
            <w:r w:rsidRPr="00F85878">
              <w:rPr>
                <w:rFonts w:ascii="Calibri" w:hAnsi="Calibri"/>
                <w:sz w:val="24"/>
                <w:szCs w:val="24"/>
              </w:rPr>
              <w:t>0.94</w:t>
            </w:r>
          </w:p>
        </w:tc>
        <w:tc>
          <w:tcPr>
            <w:tcW w:w="1958" w:type="dxa"/>
            <w:tcMar>
              <w:top w:w="50" w:type="dxa"/>
              <w:left w:w="70" w:type="dxa"/>
              <w:bottom w:w="50" w:type="dxa"/>
              <w:right w:w="70" w:type="dxa"/>
            </w:tcMar>
          </w:tcPr>
          <w:p w14:paraId="66748A11" w14:textId="77777777" w:rsidR="00BB259E" w:rsidRPr="00F85878" w:rsidRDefault="00BA3948">
            <w:pPr>
              <w:jc w:val="center"/>
              <w:rPr>
                <w:sz w:val="24"/>
                <w:szCs w:val="24"/>
              </w:rPr>
            </w:pPr>
            <w:r w:rsidRPr="00F85878">
              <w:rPr>
                <w:rFonts w:ascii="Calibri" w:hAnsi="Calibri"/>
                <w:sz w:val="24"/>
                <w:szCs w:val="24"/>
              </w:rPr>
              <w:t>0.94</w:t>
            </w:r>
          </w:p>
        </w:tc>
      </w:tr>
      <w:tr w:rsidR="00BB259E" w:rsidRPr="00F85878" w14:paraId="6C233074" w14:textId="77777777">
        <w:trPr>
          <w:jc w:val="center"/>
        </w:trPr>
        <w:tc>
          <w:tcPr>
            <w:tcW w:w="1958" w:type="dxa"/>
            <w:shd w:val="clear" w:color="auto" w:fill="F9FAFB"/>
            <w:tcMar>
              <w:top w:w="50" w:type="dxa"/>
              <w:left w:w="70" w:type="dxa"/>
              <w:bottom w:w="50" w:type="dxa"/>
              <w:right w:w="70" w:type="dxa"/>
            </w:tcMar>
          </w:tcPr>
          <w:p w14:paraId="2C7BF87C" w14:textId="77777777" w:rsidR="00BB259E" w:rsidRPr="00F85878" w:rsidRDefault="00BA3948">
            <w:pPr>
              <w:jc w:val="center"/>
              <w:rPr>
                <w:sz w:val="24"/>
                <w:szCs w:val="24"/>
              </w:rPr>
            </w:pPr>
            <w:r w:rsidRPr="00F85878">
              <w:rPr>
                <w:rFonts w:ascii="Calibri" w:hAnsi="Calibri"/>
                <w:sz w:val="24"/>
                <w:szCs w:val="24"/>
              </w:rPr>
              <w:t>Orta Şiddetli Ağrı (Sınıf 1 / NRS 4-6)</w:t>
            </w:r>
          </w:p>
        </w:tc>
        <w:tc>
          <w:tcPr>
            <w:tcW w:w="1958" w:type="dxa"/>
            <w:shd w:val="clear" w:color="auto" w:fill="F9FAFB"/>
            <w:tcMar>
              <w:top w:w="50" w:type="dxa"/>
              <w:left w:w="70" w:type="dxa"/>
              <w:bottom w:w="50" w:type="dxa"/>
              <w:right w:w="70" w:type="dxa"/>
            </w:tcMar>
          </w:tcPr>
          <w:p w14:paraId="2AF8817E" w14:textId="77777777" w:rsidR="00BB259E" w:rsidRPr="00F85878" w:rsidRDefault="00BA3948">
            <w:pPr>
              <w:jc w:val="center"/>
              <w:rPr>
                <w:sz w:val="24"/>
                <w:szCs w:val="24"/>
              </w:rPr>
            </w:pPr>
            <w:r w:rsidRPr="00F85878">
              <w:rPr>
                <w:rFonts w:ascii="Calibri" w:hAnsi="Calibri"/>
                <w:sz w:val="24"/>
                <w:szCs w:val="24"/>
              </w:rPr>
              <w:t>163</w:t>
            </w:r>
          </w:p>
        </w:tc>
        <w:tc>
          <w:tcPr>
            <w:tcW w:w="1958" w:type="dxa"/>
            <w:shd w:val="clear" w:color="auto" w:fill="F9FAFB"/>
            <w:tcMar>
              <w:top w:w="50" w:type="dxa"/>
              <w:left w:w="70" w:type="dxa"/>
              <w:bottom w:w="50" w:type="dxa"/>
              <w:right w:w="70" w:type="dxa"/>
            </w:tcMar>
          </w:tcPr>
          <w:p w14:paraId="1A8C8D73" w14:textId="77777777" w:rsidR="00BB259E" w:rsidRPr="00F85878" w:rsidRDefault="00BA3948">
            <w:pPr>
              <w:jc w:val="center"/>
              <w:rPr>
                <w:sz w:val="24"/>
                <w:szCs w:val="24"/>
              </w:rPr>
            </w:pPr>
            <w:r w:rsidRPr="00F85878">
              <w:rPr>
                <w:rFonts w:ascii="Calibri" w:hAnsi="Calibri"/>
                <w:sz w:val="24"/>
                <w:szCs w:val="24"/>
              </w:rPr>
              <w:t>0.96</w:t>
            </w:r>
          </w:p>
        </w:tc>
        <w:tc>
          <w:tcPr>
            <w:tcW w:w="1958" w:type="dxa"/>
            <w:shd w:val="clear" w:color="auto" w:fill="F9FAFB"/>
            <w:tcMar>
              <w:top w:w="50" w:type="dxa"/>
              <w:left w:w="70" w:type="dxa"/>
              <w:bottom w:w="50" w:type="dxa"/>
              <w:right w:w="70" w:type="dxa"/>
            </w:tcMar>
          </w:tcPr>
          <w:p w14:paraId="1D1B43FB" w14:textId="77777777" w:rsidR="00BB259E" w:rsidRPr="00F85878" w:rsidRDefault="00BA3948">
            <w:pPr>
              <w:jc w:val="center"/>
              <w:rPr>
                <w:sz w:val="24"/>
                <w:szCs w:val="24"/>
              </w:rPr>
            </w:pPr>
            <w:r w:rsidRPr="00F85878">
              <w:rPr>
                <w:rFonts w:ascii="Calibri" w:hAnsi="Calibri"/>
                <w:sz w:val="24"/>
                <w:szCs w:val="24"/>
              </w:rPr>
              <w:t>0.96</w:t>
            </w:r>
          </w:p>
        </w:tc>
        <w:tc>
          <w:tcPr>
            <w:tcW w:w="1958" w:type="dxa"/>
            <w:shd w:val="clear" w:color="auto" w:fill="F9FAFB"/>
            <w:tcMar>
              <w:top w:w="50" w:type="dxa"/>
              <w:left w:w="70" w:type="dxa"/>
              <w:bottom w:w="50" w:type="dxa"/>
              <w:right w:w="70" w:type="dxa"/>
            </w:tcMar>
          </w:tcPr>
          <w:p w14:paraId="3A0BA76F" w14:textId="77777777" w:rsidR="00BB259E" w:rsidRPr="00F85878" w:rsidRDefault="00BA3948">
            <w:pPr>
              <w:jc w:val="center"/>
              <w:rPr>
                <w:sz w:val="24"/>
                <w:szCs w:val="24"/>
              </w:rPr>
            </w:pPr>
            <w:r w:rsidRPr="00F85878">
              <w:rPr>
                <w:rFonts w:ascii="Calibri" w:hAnsi="Calibri"/>
                <w:sz w:val="24"/>
                <w:szCs w:val="24"/>
              </w:rPr>
              <w:t>0.96</w:t>
            </w:r>
          </w:p>
        </w:tc>
      </w:tr>
      <w:tr w:rsidR="00BB259E" w:rsidRPr="00F85878" w14:paraId="4734BD3D" w14:textId="77777777">
        <w:trPr>
          <w:jc w:val="center"/>
        </w:trPr>
        <w:tc>
          <w:tcPr>
            <w:tcW w:w="1958" w:type="dxa"/>
            <w:tcMar>
              <w:top w:w="50" w:type="dxa"/>
              <w:left w:w="70" w:type="dxa"/>
              <w:bottom w:w="50" w:type="dxa"/>
              <w:right w:w="70" w:type="dxa"/>
            </w:tcMar>
          </w:tcPr>
          <w:p w14:paraId="1D06B7E5" w14:textId="77777777" w:rsidR="00BB259E" w:rsidRPr="00F85878" w:rsidRDefault="00BA3948">
            <w:pPr>
              <w:jc w:val="center"/>
              <w:rPr>
                <w:sz w:val="24"/>
                <w:szCs w:val="24"/>
              </w:rPr>
            </w:pPr>
            <w:r w:rsidRPr="00F85878">
              <w:rPr>
                <w:rFonts w:ascii="Calibri" w:hAnsi="Calibri"/>
                <w:sz w:val="24"/>
                <w:szCs w:val="24"/>
              </w:rPr>
              <w:t>Şiddetli Ağrı (Sınıf 2 / NRS 7-10)</w:t>
            </w:r>
          </w:p>
        </w:tc>
        <w:tc>
          <w:tcPr>
            <w:tcW w:w="1958" w:type="dxa"/>
            <w:tcMar>
              <w:top w:w="50" w:type="dxa"/>
              <w:left w:w="70" w:type="dxa"/>
              <w:bottom w:w="50" w:type="dxa"/>
              <w:right w:w="70" w:type="dxa"/>
            </w:tcMar>
          </w:tcPr>
          <w:p w14:paraId="25C99972" w14:textId="77777777" w:rsidR="00BB259E" w:rsidRPr="00F85878" w:rsidRDefault="00BA3948">
            <w:pPr>
              <w:jc w:val="center"/>
              <w:rPr>
                <w:sz w:val="24"/>
                <w:szCs w:val="24"/>
              </w:rPr>
            </w:pPr>
            <w:r w:rsidRPr="00F85878">
              <w:rPr>
                <w:rFonts w:ascii="Calibri" w:hAnsi="Calibri"/>
                <w:sz w:val="24"/>
                <w:szCs w:val="24"/>
              </w:rPr>
              <w:t>95</w:t>
            </w:r>
          </w:p>
        </w:tc>
        <w:tc>
          <w:tcPr>
            <w:tcW w:w="1958" w:type="dxa"/>
            <w:tcMar>
              <w:top w:w="50" w:type="dxa"/>
              <w:left w:w="70" w:type="dxa"/>
              <w:bottom w:w="50" w:type="dxa"/>
              <w:right w:w="70" w:type="dxa"/>
            </w:tcMar>
          </w:tcPr>
          <w:p w14:paraId="4210684E" w14:textId="77777777" w:rsidR="00BB259E" w:rsidRPr="00F85878" w:rsidRDefault="00BA3948">
            <w:pPr>
              <w:jc w:val="center"/>
              <w:rPr>
                <w:sz w:val="24"/>
                <w:szCs w:val="24"/>
              </w:rPr>
            </w:pPr>
            <w:r w:rsidRPr="00F85878">
              <w:rPr>
                <w:rFonts w:ascii="Calibri" w:hAnsi="Calibri"/>
                <w:sz w:val="24"/>
                <w:szCs w:val="24"/>
              </w:rPr>
              <w:t>0.96</w:t>
            </w:r>
          </w:p>
        </w:tc>
        <w:tc>
          <w:tcPr>
            <w:tcW w:w="1958" w:type="dxa"/>
            <w:tcMar>
              <w:top w:w="50" w:type="dxa"/>
              <w:left w:w="70" w:type="dxa"/>
              <w:bottom w:w="50" w:type="dxa"/>
              <w:right w:w="70" w:type="dxa"/>
            </w:tcMar>
          </w:tcPr>
          <w:p w14:paraId="0A7E5387" w14:textId="77777777" w:rsidR="00BB259E" w:rsidRPr="00F85878" w:rsidRDefault="00BA3948">
            <w:pPr>
              <w:jc w:val="center"/>
              <w:rPr>
                <w:sz w:val="24"/>
                <w:szCs w:val="24"/>
              </w:rPr>
            </w:pPr>
            <w:r w:rsidRPr="00F85878">
              <w:rPr>
                <w:rFonts w:ascii="Calibri" w:hAnsi="Calibri"/>
                <w:sz w:val="24"/>
                <w:szCs w:val="24"/>
              </w:rPr>
              <w:t>0.96</w:t>
            </w:r>
          </w:p>
        </w:tc>
        <w:tc>
          <w:tcPr>
            <w:tcW w:w="1958" w:type="dxa"/>
            <w:tcMar>
              <w:top w:w="50" w:type="dxa"/>
              <w:left w:w="70" w:type="dxa"/>
              <w:bottom w:w="50" w:type="dxa"/>
              <w:right w:w="70" w:type="dxa"/>
            </w:tcMar>
          </w:tcPr>
          <w:p w14:paraId="2B5717B1" w14:textId="77777777" w:rsidR="00BB259E" w:rsidRPr="00F85878" w:rsidRDefault="00BA3948">
            <w:pPr>
              <w:jc w:val="center"/>
              <w:rPr>
                <w:sz w:val="24"/>
                <w:szCs w:val="24"/>
              </w:rPr>
            </w:pPr>
            <w:r w:rsidRPr="00F85878">
              <w:rPr>
                <w:rFonts w:ascii="Calibri" w:hAnsi="Calibri"/>
                <w:sz w:val="24"/>
                <w:szCs w:val="24"/>
              </w:rPr>
              <w:t>0.96</w:t>
            </w:r>
          </w:p>
        </w:tc>
      </w:tr>
      <w:tr w:rsidR="00BB259E" w:rsidRPr="00F85878" w14:paraId="57FF9316" w14:textId="77777777">
        <w:trPr>
          <w:jc w:val="center"/>
        </w:trPr>
        <w:tc>
          <w:tcPr>
            <w:tcW w:w="1958" w:type="dxa"/>
            <w:shd w:val="clear" w:color="auto" w:fill="EAECEF"/>
            <w:tcMar>
              <w:top w:w="50" w:type="dxa"/>
              <w:left w:w="70" w:type="dxa"/>
              <w:bottom w:w="50" w:type="dxa"/>
              <w:right w:w="70" w:type="dxa"/>
            </w:tcMar>
          </w:tcPr>
          <w:p w14:paraId="4D4CA221" w14:textId="77777777" w:rsidR="00BB259E" w:rsidRPr="00F85878" w:rsidRDefault="00BA3948">
            <w:pPr>
              <w:jc w:val="center"/>
              <w:rPr>
                <w:sz w:val="24"/>
                <w:szCs w:val="24"/>
              </w:rPr>
            </w:pPr>
            <w:r w:rsidRPr="00F85878">
              <w:rPr>
                <w:rFonts w:ascii="Calibri" w:hAnsi="Calibri"/>
                <w:b/>
                <w:sz w:val="24"/>
                <w:szCs w:val="24"/>
              </w:rPr>
              <w:t>Genel Ortalama / Model Doğruluğu</w:t>
            </w:r>
          </w:p>
        </w:tc>
        <w:tc>
          <w:tcPr>
            <w:tcW w:w="1958" w:type="dxa"/>
            <w:shd w:val="clear" w:color="auto" w:fill="EAECEF"/>
            <w:tcMar>
              <w:top w:w="50" w:type="dxa"/>
              <w:left w:w="70" w:type="dxa"/>
              <w:bottom w:w="50" w:type="dxa"/>
              <w:right w:w="70" w:type="dxa"/>
            </w:tcMar>
          </w:tcPr>
          <w:p w14:paraId="0FF4A515" w14:textId="77777777" w:rsidR="00BB259E" w:rsidRPr="00F85878" w:rsidRDefault="00BA3948">
            <w:pPr>
              <w:jc w:val="center"/>
              <w:rPr>
                <w:sz w:val="24"/>
                <w:szCs w:val="24"/>
              </w:rPr>
            </w:pPr>
            <w:r w:rsidRPr="00F85878">
              <w:rPr>
                <w:rFonts w:ascii="Calibri" w:hAnsi="Calibri"/>
                <w:b/>
                <w:sz w:val="24"/>
                <w:szCs w:val="24"/>
              </w:rPr>
              <w:t>308</w:t>
            </w:r>
          </w:p>
        </w:tc>
        <w:tc>
          <w:tcPr>
            <w:tcW w:w="1958" w:type="dxa"/>
            <w:shd w:val="clear" w:color="auto" w:fill="EAECEF"/>
            <w:tcMar>
              <w:top w:w="50" w:type="dxa"/>
              <w:left w:w="70" w:type="dxa"/>
              <w:bottom w:w="50" w:type="dxa"/>
              <w:right w:w="70" w:type="dxa"/>
            </w:tcMar>
          </w:tcPr>
          <w:p w14:paraId="376DC8FB" w14:textId="77777777" w:rsidR="00BB259E" w:rsidRPr="00F85878" w:rsidRDefault="00BA3948">
            <w:pPr>
              <w:jc w:val="center"/>
              <w:rPr>
                <w:sz w:val="24"/>
                <w:szCs w:val="24"/>
              </w:rPr>
            </w:pPr>
            <w:r w:rsidRPr="00F85878">
              <w:rPr>
                <w:rFonts w:ascii="Calibri" w:hAnsi="Calibri"/>
                <w:b/>
                <w:sz w:val="24"/>
                <w:szCs w:val="24"/>
              </w:rPr>
              <w:t>0.95 (Macro)</w:t>
            </w:r>
          </w:p>
        </w:tc>
        <w:tc>
          <w:tcPr>
            <w:tcW w:w="1958" w:type="dxa"/>
            <w:shd w:val="clear" w:color="auto" w:fill="EAECEF"/>
            <w:tcMar>
              <w:top w:w="50" w:type="dxa"/>
              <w:left w:w="70" w:type="dxa"/>
              <w:bottom w:w="50" w:type="dxa"/>
              <w:right w:w="70" w:type="dxa"/>
            </w:tcMar>
          </w:tcPr>
          <w:p w14:paraId="09C4216D" w14:textId="77777777" w:rsidR="00BB259E" w:rsidRPr="00F85878" w:rsidRDefault="00BA3948">
            <w:pPr>
              <w:jc w:val="center"/>
              <w:rPr>
                <w:sz w:val="24"/>
                <w:szCs w:val="24"/>
              </w:rPr>
            </w:pPr>
            <w:r w:rsidRPr="00F85878">
              <w:rPr>
                <w:rFonts w:ascii="Calibri" w:hAnsi="Calibri"/>
                <w:b/>
                <w:sz w:val="24"/>
                <w:szCs w:val="24"/>
              </w:rPr>
              <w:t>0.95 (Macro)</w:t>
            </w:r>
          </w:p>
        </w:tc>
        <w:tc>
          <w:tcPr>
            <w:tcW w:w="1958" w:type="dxa"/>
            <w:shd w:val="clear" w:color="auto" w:fill="EAECEF"/>
            <w:tcMar>
              <w:top w:w="50" w:type="dxa"/>
              <w:left w:w="70" w:type="dxa"/>
              <w:bottom w:w="50" w:type="dxa"/>
              <w:right w:w="70" w:type="dxa"/>
            </w:tcMar>
          </w:tcPr>
          <w:p w14:paraId="4442F6B7" w14:textId="77777777" w:rsidR="00BB259E" w:rsidRPr="00F85878" w:rsidRDefault="00BA3948">
            <w:pPr>
              <w:jc w:val="center"/>
              <w:rPr>
                <w:sz w:val="24"/>
                <w:szCs w:val="24"/>
              </w:rPr>
            </w:pPr>
            <w:r w:rsidRPr="00F85878">
              <w:rPr>
                <w:rFonts w:ascii="Calibri" w:hAnsi="Calibri"/>
                <w:b/>
                <w:sz w:val="24"/>
                <w:szCs w:val="24"/>
              </w:rPr>
              <w:t>0.95 (Macro) / %95.45</w:t>
            </w:r>
          </w:p>
        </w:tc>
      </w:tr>
    </w:tbl>
    <w:p w14:paraId="02BA8D36" w14:textId="77777777" w:rsidR="00BB259E" w:rsidRPr="00F85878" w:rsidRDefault="00BB259E">
      <w:pPr>
        <w:spacing w:after="80"/>
        <w:rPr>
          <w:sz w:val="24"/>
          <w:szCs w:val="24"/>
        </w:rPr>
      </w:pPr>
    </w:p>
    <w:p w14:paraId="49C7F867" w14:textId="77777777" w:rsidR="00BB259E" w:rsidRPr="00F85878" w:rsidRDefault="00BB259E">
      <w:pPr>
        <w:spacing w:before="80" w:after="40"/>
        <w:jc w:val="center"/>
        <w:rPr>
          <w:sz w:val="24"/>
          <w:szCs w:val="24"/>
        </w:rPr>
      </w:pPr>
    </w:p>
    <w:p w14:paraId="17917292" w14:textId="77777777" w:rsidR="00BB259E" w:rsidRPr="00F85878" w:rsidRDefault="00BA3948">
      <w:pPr>
        <w:rPr>
          <w:sz w:val="24"/>
          <w:szCs w:val="24"/>
        </w:rPr>
      </w:pPr>
      <w:r w:rsidRPr="00F85878">
        <w:rPr>
          <w:noProof/>
          <w:sz w:val="24"/>
          <w:szCs w:val="24"/>
        </w:rPr>
        <w:drawing>
          <wp:inline distT="0" distB="0" distL="0" distR="0" wp14:anchorId="077A22F0" wp14:editId="50DFE764">
            <wp:extent cx="6179820" cy="29127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_bar.png"/>
                    <pic:cNvPicPr/>
                  </pic:nvPicPr>
                  <pic:blipFill>
                    <a:blip r:embed="rId7"/>
                    <a:stretch>
                      <a:fillRect/>
                    </a:stretch>
                  </pic:blipFill>
                  <pic:spPr>
                    <a:xfrm>
                      <a:off x="0" y="0"/>
                      <a:ext cx="6180450" cy="2913042"/>
                    </a:xfrm>
                    <a:prstGeom prst="rect">
                      <a:avLst/>
                    </a:prstGeom>
                  </pic:spPr>
                </pic:pic>
              </a:graphicData>
            </a:graphic>
          </wp:inline>
        </w:drawing>
      </w:r>
    </w:p>
    <w:p w14:paraId="41E50BC7" w14:textId="77777777" w:rsidR="00BB259E" w:rsidRPr="00F85878" w:rsidRDefault="00BA3948">
      <w:pPr>
        <w:spacing w:after="120"/>
        <w:jc w:val="center"/>
        <w:rPr>
          <w:sz w:val="24"/>
          <w:szCs w:val="24"/>
        </w:rPr>
      </w:pPr>
      <w:r w:rsidRPr="00F85878">
        <w:rPr>
          <w:rFonts w:ascii="Calibri" w:hAnsi="Calibri"/>
          <w:i/>
          <w:sz w:val="24"/>
          <w:szCs w:val="24"/>
        </w:rPr>
        <w:t>Şekil 2: Ağrı Sınıflarına Göre Model Başarım Metrikleri (Precision, Recall, F1).</w:t>
      </w:r>
    </w:p>
    <w:p w14:paraId="0B01A8BD" w14:textId="77777777" w:rsidR="00BB259E" w:rsidRPr="00F85878" w:rsidRDefault="00BA3948">
      <w:pPr>
        <w:spacing w:after="100"/>
        <w:jc w:val="both"/>
        <w:rPr>
          <w:sz w:val="24"/>
          <w:szCs w:val="24"/>
        </w:rPr>
      </w:pPr>
      <w:r w:rsidRPr="00F85878">
        <w:rPr>
          <w:rFonts w:ascii="Calibri" w:hAnsi="Calibri"/>
          <w:sz w:val="24"/>
          <w:szCs w:val="24"/>
        </w:rPr>
        <w:lastRenderedPageBreak/>
        <w:t>Modelin hata dağılımı ve klinik güvenlik sınırları Tablo 2 ve Şekil 3'te sunulan Karmaşıklık Matrisi (Confusion Matrix) üzerinden incelenmiştir:</w:t>
      </w:r>
    </w:p>
    <w:tbl>
      <w:tblPr>
        <w:tblW w:w="0" w:type="auto"/>
        <w:jc w:val="center"/>
        <w:tblBorders>
          <w:top w:val="single" w:sz="6" w:space="0" w:color="D3D3D3"/>
          <w:left w:val="single" w:sz="6" w:space="0" w:color="D3D3D3"/>
          <w:bottom w:val="single" w:sz="6" w:space="0" w:color="D3D3D3"/>
          <w:right w:val="single" w:sz="6" w:space="0" w:color="D3D3D3"/>
          <w:insideH w:val="single" w:sz="4" w:space="0" w:color="D3D3D3"/>
        </w:tblBorders>
        <w:tblLook w:val="04A0" w:firstRow="1" w:lastRow="0" w:firstColumn="1" w:lastColumn="0" w:noHBand="0" w:noVBand="1"/>
      </w:tblPr>
      <w:tblGrid>
        <w:gridCol w:w="2448"/>
        <w:gridCol w:w="2448"/>
        <w:gridCol w:w="2448"/>
        <w:gridCol w:w="2448"/>
      </w:tblGrid>
      <w:tr w:rsidR="00BB259E" w:rsidRPr="00F85878" w14:paraId="2DE7FE7A" w14:textId="77777777">
        <w:trPr>
          <w:jc w:val="center"/>
        </w:trPr>
        <w:tc>
          <w:tcPr>
            <w:tcW w:w="2448" w:type="dxa"/>
            <w:shd w:val="clear" w:color="auto" w:fill="333F48"/>
            <w:tcMar>
              <w:top w:w="45" w:type="dxa"/>
              <w:left w:w="70" w:type="dxa"/>
              <w:bottom w:w="45" w:type="dxa"/>
              <w:right w:w="70" w:type="dxa"/>
            </w:tcMar>
          </w:tcPr>
          <w:p w14:paraId="59B30D29" w14:textId="77777777" w:rsidR="00BB259E" w:rsidRPr="00F85878" w:rsidRDefault="00BA3948">
            <w:pPr>
              <w:jc w:val="center"/>
              <w:rPr>
                <w:sz w:val="24"/>
                <w:szCs w:val="24"/>
              </w:rPr>
            </w:pPr>
            <w:r w:rsidRPr="00F85878">
              <w:rPr>
                <w:rFonts w:ascii="Calibri" w:hAnsi="Calibri"/>
                <w:b/>
                <w:color w:val="FFFFFF"/>
                <w:sz w:val="24"/>
                <w:szCs w:val="24"/>
              </w:rPr>
              <w:t>Klinik Gerçeklik</w:t>
            </w:r>
          </w:p>
        </w:tc>
        <w:tc>
          <w:tcPr>
            <w:tcW w:w="2448" w:type="dxa"/>
            <w:shd w:val="clear" w:color="auto" w:fill="333F48"/>
            <w:tcMar>
              <w:top w:w="45" w:type="dxa"/>
              <w:left w:w="70" w:type="dxa"/>
              <w:bottom w:w="45" w:type="dxa"/>
              <w:right w:w="70" w:type="dxa"/>
            </w:tcMar>
          </w:tcPr>
          <w:p w14:paraId="450CC811" w14:textId="77777777" w:rsidR="00BB259E" w:rsidRPr="00F85878" w:rsidRDefault="00BA3948">
            <w:pPr>
              <w:jc w:val="center"/>
              <w:rPr>
                <w:sz w:val="24"/>
                <w:szCs w:val="24"/>
              </w:rPr>
            </w:pPr>
            <w:r w:rsidRPr="00F85878">
              <w:rPr>
                <w:rFonts w:ascii="Calibri" w:hAnsi="Calibri"/>
                <w:b/>
                <w:color w:val="FFFFFF"/>
                <w:sz w:val="24"/>
                <w:szCs w:val="24"/>
              </w:rPr>
              <w:t>Tahmin: Hafif (0)</w:t>
            </w:r>
          </w:p>
        </w:tc>
        <w:tc>
          <w:tcPr>
            <w:tcW w:w="2448" w:type="dxa"/>
            <w:shd w:val="clear" w:color="auto" w:fill="333F48"/>
            <w:tcMar>
              <w:top w:w="45" w:type="dxa"/>
              <w:left w:w="70" w:type="dxa"/>
              <w:bottom w:w="45" w:type="dxa"/>
              <w:right w:w="70" w:type="dxa"/>
            </w:tcMar>
          </w:tcPr>
          <w:p w14:paraId="16641CC7" w14:textId="77777777" w:rsidR="00BB259E" w:rsidRPr="00F85878" w:rsidRDefault="00BA3948">
            <w:pPr>
              <w:jc w:val="center"/>
              <w:rPr>
                <w:sz w:val="24"/>
                <w:szCs w:val="24"/>
              </w:rPr>
            </w:pPr>
            <w:r w:rsidRPr="00F85878">
              <w:rPr>
                <w:rFonts w:ascii="Calibri" w:hAnsi="Calibri"/>
                <w:b/>
                <w:color w:val="FFFFFF"/>
                <w:sz w:val="24"/>
                <w:szCs w:val="24"/>
              </w:rPr>
              <w:t>Tahmin: Orta (1)</w:t>
            </w:r>
          </w:p>
        </w:tc>
        <w:tc>
          <w:tcPr>
            <w:tcW w:w="2448" w:type="dxa"/>
            <w:shd w:val="clear" w:color="auto" w:fill="333F48"/>
            <w:tcMar>
              <w:top w:w="45" w:type="dxa"/>
              <w:left w:w="70" w:type="dxa"/>
              <w:bottom w:w="45" w:type="dxa"/>
              <w:right w:w="70" w:type="dxa"/>
            </w:tcMar>
          </w:tcPr>
          <w:p w14:paraId="19B0C7A7" w14:textId="77777777" w:rsidR="00BB259E" w:rsidRPr="00F85878" w:rsidRDefault="00BA3948">
            <w:pPr>
              <w:jc w:val="center"/>
              <w:rPr>
                <w:sz w:val="24"/>
                <w:szCs w:val="24"/>
              </w:rPr>
            </w:pPr>
            <w:r w:rsidRPr="00F85878">
              <w:rPr>
                <w:rFonts w:ascii="Calibri" w:hAnsi="Calibri"/>
                <w:b/>
                <w:color w:val="FFFFFF"/>
                <w:sz w:val="24"/>
                <w:szCs w:val="24"/>
              </w:rPr>
              <w:t>Tahmin: Şiddetli (2)</w:t>
            </w:r>
          </w:p>
        </w:tc>
      </w:tr>
      <w:tr w:rsidR="00BB259E" w:rsidRPr="00F85878" w14:paraId="7988A195" w14:textId="77777777">
        <w:trPr>
          <w:jc w:val="center"/>
        </w:trPr>
        <w:tc>
          <w:tcPr>
            <w:tcW w:w="2448" w:type="dxa"/>
            <w:shd w:val="clear" w:color="auto" w:fill="EAECEF"/>
            <w:tcMar>
              <w:top w:w="45" w:type="dxa"/>
              <w:left w:w="70" w:type="dxa"/>
              <w:bottom w:w="45" w:type="dxa"/>
              <w:right w:w="70" w:type="dxa"/>
            </w:tcMar>
          </w:tcPr>
          <w:p w14:paraId="381A59A0" w14:textId="77777777" w:rsidR="00BB259E" w:rsidRPr="00F85878" w:rsidRDefault="00BA3948">
            <w:pPr>
              <w:jc w:val="center"/>
              <w:rPr>
                <w:sz w:val="24"/>
                <w:szCs w:val="24"/>
              </w:rPr>
            </w:pPr>
            <w:r w:rsidRPr="00F85878">
              <w:rPr>
                <w:rFonts w:ascii="Calibri" w:hAnsi="Calibri"/>
                <w:b/>
                <w:sz w:val="24"/>
                <w:szCs w:val="24"/>
              </w:rPr>
              <w:t>Gerçek: Hafif (0)</w:t>
            </w:r>
          </w:p>
        </w:tc>
        <w:tc>
          <w:tcPr>
            <w:tcW w:w="2448" w:type="dxa"/>
            <w:shd w:val="clear" w:color="auto" w:fill="E8F5E9"/>
            <w:tcMar>
              <w:top w:w="45" w:type="dxa"/>
              <w:left w:w="70" w:type="dxa"/>
              <w:bottom w:w="45" w:type="dxa"/>
              <w:right w:w="70" w:type="dxa"/>
            </w:tcMar>
          </w:tcPr>
          <w:p w14:paraId="65ED17A7" w14:textId="77777777" w:rsidR="00BB259E" w:rsidRPr="00F85878" w:rsidRDefault="00BA3948">
            <w:pPr>
              <w:jc w:val="center"/>
              <w:rPr>
                <w:sz w:val="24"/>
                <w:szCs w:val="24"/>
              </w:rPr>
            </w:pPr>
            <w:r w:rsidRPr="00F85878">
              <w:rPr>
                <w:rFonts w:ascii="Calibri" w:hAnsi="Calibri"/>
                <w:b/>
                <w:color w:val="1B5E20"/>
                <w:sz w:val="24"/>
                <w:szCs w:val="24"/>
              </w:rPr>
              <w:t>47 (Doğru)</w:t>
            </w:r>
          </w:p>
        </w:tc>
        <w:tc>
          <w:tcPr>
            <w:tcW w:w="2448" w:type="dxa"/>
            <w:shd w:val="clear" w:color="auto" w:fill="FFEBEE"/>
            <w:tcMar>
              <w:top w:w="45" w:type="dxa"/>
              <w:left w:w="70" w:type="dxa"/>
              <w:bottom w:w="45" w:type="dxa"/>
              <w:right w:w="70" w:type="dxa"/>
            </w:tcMar>
          </w:tcPr>
          <w:p w14:paraId="53B15B47" w14:textId="77777777" w:rsidR="00BB259E" w:rsidRPr="00F85878" w:rsidRDefault="00BA3948">
            <w:pPr>
              <w:jc w:val="center"/>
              <w:rPr>
                <w:sz w:val="24"/>
                <w:szCs w:val="24"/>
              </w:rPr>
            </w:pPr>
            <w:r w:rsidRPr="00F85878">
              <w:rPr>
                <w:rFonts w:ascii="Calibri" w:hAnsi="Calibri"/>
                <w:color w:val="B71C1C"/>
                <w:sz w:val="24"/>
                <w:szCs w:val="24"/>
              </w:rPr>
              <w:t>3 (Yanılma)</w:t>
            </w:r>
          </w:p>
        </w:tc>
        <w:tc>
          <w:tcPr>
            <w:tcW w:w="2448" w:type="dxa"/>
            <w:shd w:val="clear" w:color="auto" w:fill="FAFAFA"/>
            <w:tcMar>
              <w:top w:w="45" w:type="dxa"/>
              <w:left w:w="70" w:type="dxa"/>
              <w:bottom w:w="45" w:type="dxa"/>
              <w:right w:w="70" w:type="dxa"/>
            </w:tcMar>
          </w:tcPr>
          <w:p w14:paraId="56078510" w14:textId="77777777" w:rsidR="00BB259E" w:rsidRPr="00F85878" w:rsidRDefault="00BA3948">
            <w:pPr>
              <w:jc w:val="center"/>
              <w:rPr>
                <w:sz w:val="24"/>
                <w:szCs w:val="24"/>
              </w:rPr>
            </w:pPr>
            <w:r w:rsidRPr="00F85878">
              <w:rPr>
                <w:rFonts w:ascii="Calibri" w:hAnsi="Calibri"/>
                <w:sz w:val="24"/>
                <w:szCs w:val="24"/>
              </w:rPr>
              <w:t>0 (Hata Yok)</w:t>
            </w:r>
          </w:p>
        </w:tc>
      </w:tr>
      <w:tr w:rsidR="00BB259E" w:rsidRPr="00F85878" w14:paraId="4DCD9477" w14:textId="77777777">
        <w:trPr>
          <w:jc w:val="center"/>
        </w:trPr>
        <w:tc>
          <w:tcPr>
            <w:tcW w:w="2448" w:type="dxa"/>
            <w:shd w:val="clear" w:color="auto" w:fill="EAECEF"/>
            <w:tcMar>
              <w:top w:w="45" w:type="dxa"/>
              <w:left w:w="70" w:type="dxa"/>
              <w:bottom w:w="45" w:type="dxa"/>
              <w:right w:w="70" w:type="dxa"/>
            </w:tcMar>
          </w:tcPr>
          <w:p w14:paraId="09ABCB1E" w14:textId="77777777" w:rsidR="00BB259E" w:rsidRPr="00F85878" w:rsidRDefault="00BA3948">
            <w:pPr>
              <w:jc w:val="center"/>
              <w:rPr>
                <w:sz w:val="24"/>
                <w:szCs w:val="24"/>
              </w:rPr>
            </w:pPr>
            <w:r w:rsidRPr="00F85878">
              <w:rPr>
                <w:rFonts w:ascii="Calibri" w:hAnsi="Calibri"/>
                <w:b/>
                <w:sz w:val="24"/>
                <w:szCs w:val="24"/>
              </w:rPr>
              <w:t>Gerçek: Orta (1)</w:t>
            </w:r>
          </w:p>
        </w:tc>
        <w:tc>
          <w:tcPr>
            <w:tcW w:w="2448" w:type="dxa"/>
            <w:shd w:val="clear" w:color="auto" w:fill="FFEBEE"/>
            <w:tcMar>
              <w:top w:w="45" w:type="dxa"/>
              <w:left w:w="70" w:type="dxa"/>
              <w:bottom w:w="45" w:type="dxa"/>
              <w:right w:w="70" w:type="dxa"/>
            </w:tcMar>
          </w:tcPr>
          <w:p w14:paraId="1E9BE64A" w14:textId="77777777" w:rsidR="00BB259E" w:rsidRPr="00F85878" w:rsidRDefault="00BA3948">
            <w:pPr>
              <w:jc w:val="center"/>
              <w:rPr>
                <w:sz w:val="24"/>
                <w:szCs w:val="24"/>
              </w:rPr>
            </w:pPr>
            <w:r w:rsidRPr="00F85878">
              <w:rPr>
                <w:rFonts w:ascii="Calibri" w:hAnsi="Calibri"/>
                <w:color w:val="B71C1C"/>
                <w:sz w:val="24"/>
                <w:szCs w:val="24"/>
              </w:rPr>
              <w:t>3 (Yanılma)</w:t>
            </w:r>
          </w:p>
        </w:tc>
        <w:tc>
          <w:tcPr>
            <w:tcW w:w="2448" w:type="dxa"/>
            <w:shd w:val="clear" w:color="auto" w:fill="E8F5E9"/>
            <w:tcMar>
              <w:top w:w="45" w:type="dxa"/>
              <w:left w:w="70" w:type="dxa"/>
              <w:bottom w:w="45" w:type="dxa"/>
              <w:right w:w="70" w:type="dxa"/>
            </w:tcMar>
          </w:tcPr>
          <w:p w14:paraId="5DDE54B0" w14:textId="77777777" w:rsidR="00BB259E" w:rsidRPr="00F85878" w:rsidRDefault="00BA3948">
            <w:pPr>
              <w:jc w:val="center"/>
              <w:rPr>
                <w:sz w:val="24"/>
                <w:szCs w:val="24"/>
              </w:rPr>
            </w:pPr>
            <w:r w:rsidRPr="00F85878">
              <w:rPr>
                <w:rFonts w:ascii="Calibri" w:hAnsi="Calibri"/>
                <w:b/>
                <w:color w:val="1B5E20"/>
                <w:sz w:val="24"/>
                <w:szCs w:val="24"/>
              </w:rPr>
              <w:t>156 (Doğru)</w:t>
            </w:r>
          </w:p>
        </w:tc>
        <w:tc>
          <w:tcPr>
            <w:tcW w:w="2448" w:type="dxa"/>
            <w:shd w:val="clear" w:color="auto" w:fill="FFEBEE"/>
            <w:tcMar>
              <w:top w:w="45" w:type="dxa"/>
              <w:left w:w="70" w:type="dxa"/>
              <w:bottom w:w="45" w:type="dxa"/>
              <w:right w:w="70" w:type="dxa"/>
            </w:tcMar>
          </w:tcPr>
          <w:p w14:paraId="3563B96F" w14:textId="77777777" w:rsidR="00BB259E" w:rsidRPr="00F85878" w:rsidRDefault="00BA3948">
            <w:pPr>
              <w:jc w:val="center"/>
              <w:rPr>
                <w:sz w:val="24"/>
                <w:szCs w:val="24"/>
              </w:rPr>
            </w:pPr>
            <w:r w:rsidRPr="00F85878">
              <w:rPr>
                <w:rFonts w:ascii="Calibri" w:hAnsi="Calibri"/>
                <w:color w:val="B71C1C"/>
                <w:sz w:val="24"/>
                <w:szCs w:val="24"/>
              </w:rPr>
              <w:t>4 (Yanılma)</w:t>
            </w:r>
          </w:p>
        </w:tc>
      </w:tr>
      <w:tr w:rsidR="00BB259E" w:rsidRPr="00F85878" w14:paraId="3671B7B9" w14:textId="77777777">
        <w:trPr>
          <w:jc w:val="center"/>
        </w:trPr>
        <w:tc>
          <w:tcPr>
            <w:tcW w:w="2448" w:type="dxa"/>
            <w:shd w:val="clear" w:color="auto" w:fill="EAECEF"/>
            <w:tcMar>
              <w:top w:w="45" w:type="dxa"/>
              <w:left w:w="70" w:type="dxa"/>
              <w:bottom w:w="45" w:type="dxa"/>
              <w:right w:w="70" w:type="dxa"/>
            </w:tcMar>
          </w:tcPr>
          <w:p w14:paraId="62C57B76" w14:textId="77777777" w:rsidR="00BB259E" w:rsidRPr="00F85878" w:rsidRDefault="00BA3948">
            <w:pPr>
              <w:jc w:val="center"/>
              <w:rPr>
                <w:sz w:val="24"/>
                <w:szCs w:val="24"/>
              </w:rPr>
            </w:pPr>
            <w:r w:rsidRPr="00F85878">
              <w:rPr>
                <w:rFonts w:ascii="Calibri" w:hAnsi="Calibri"/>
                <w:b/>
                <w:sz w:val="24"/>
                <w:szCs w:val="24"/>
              </w:rPr>
              <w:t>Gerçek: Şiddetli (2)</w:t>
            </w:r>
          </w:p>
        </w:tc>
        <w:tc>
          <w:tcPr>
            <w:tcW w:w="2448" w:type="dxa"/>
            <w:shd w:val="clear" w:color="auto" w:fill="FAFAFA"/>
            <w:tcMar>
              <w:top w:w="45" w:type="dxa"/>
              <w:left w:w="70" w:type="dxa"/>
              <w:bottom w:w="45" w:type="dxa"/>
              <w:right w:w="70" w:type="dxa"/>
            </w:tcMar>
          </w:tcPr>
          <w:p w14:paraId="4D1E3CBA" w14:textId="77777777" w:rsidR="00BB259E" w:rsidRPr="00F85878" w:rsidRDefault="00BA3948">
            <w:pPr>
              <w:jc w:val="center"/>
              <w:rPr>
                <w:sz w:val="24"/>
                <w:szCs w:val="24"/>
              </w:rPr>
            </w:pPr>
            <w:r w:rsidRPr="00F85878">
              <w:rPr>
                <w:rFonts w:ascii="Calibri" w:hAnsi="Calibri"/>
                <w:sz w:val="24"/>
                <w:szCs w:val="24"/>
              </w:rPr>
              <w:t>0 (Hata Yok)</w:t>
            </w:r>
          </w:p>
        </w:tc>
        <w:tc>
          <w:tcPr>
            <w:tcW w:w="2448" w:type="dxa"/>
            <w:shd w:val="clear" w:color="auto" w:fill="FFEBEE"/>
            <w:tcMar>
              <w:top w:w="45" w:type="dxa"/>
              <w:left w:w="70" w:type="dxa"/>
              <w:bottom w:w="45" w:type="dxa"/>
              <w:right w:w="70" w:type="dxa"/>
            </w:tcMar>
          </w:tcPr>
          <w:p w14:paraId="1C0C83C3" w14:textId="77777777" w:rsidR="00BB259E" w:rsidRPr="00F85878" w:rsidRDefault="00BA3948">
            <w:pPr>
              <w:jc w:val="center"/>
              <w:rPr>
                <w:sz w:val="24"/>
                <w:szCs w:val="24"/>
              </w:rPr>
            </w:pPr>
            <w:r w:rsidRPr="00F85878">
              <w:rPr>
                <w:rFonts w:ascii="Calibri" w:hAnsi="Calibri"/>
                <w:color w:val="B71C1C"/>
                <w:sz w:val="24"/>
                <w:szCs w:val="24"/>
              </w:rPr>
              <w:t>4 (Yanılma)</w:t>
            </w:r>
          </w:p>
        </w:tc>
        <w:tc>
          <w:tcPr>
            <w:tcW w:w="2448" w:type="dxa"/>
            <w:shd w:val="clear" w:color="auto" w:fill="E8F5E9"/>
            <w:tcMar>
              <w:top w:w="45" w:type="dxa"/>
              <w:left w:w="70" w:type="dxa"/>
              <w:bottom w:w="45" w:type="dxa"/>
              <w:right w:w="70" w:type="dxa"/>
            </w:tcMar>
          </w:tcPr>
          <w:p w14:paraId="2727A1AA" w14:textId="77777777" w:rsidR="00BB259E" w:rsidRPr="00F85878" w:rsidRDefault="00BA3948">
            <w:pPr>
              <w:jc w:val="center"/>
              <w:rPr>
                <w:sz w:val="24"/>
                <w:szCs w:val="24"/>
              </w:rPr>
            </w:pPr>
            <w:r w:rsidRPr="00F85878">
              <w:rPr>
                <w:rFonts w:ascii="Calibri" w:hAnsi="Calibri"/>
                <w:b/>
                <w:color w:val="1B5E20"/>
                <w:sz w:val="24"/>
                <w:szCs w:val="24"/>
              </w:rPr>
              <w:t>91 (Doğru)</w:t>
            </w:r>
          </w:p>
        </w:tc>
      </w:tr>
    </w:tbl>
    <w:p w14:paraId="43A1FA31" w14:textId="77777777" w:rsidR="00BB259E" w:rsidRPr="00F85878" w:rsidRDefault="00BB259E">
      <w:pPr>
        <w:spacing w:after="80"/>
        <w:rPr>
          <w:sz w:val="24"/>
          <w:szCs w:val="24"/>
        </w:rPr>
      </w:pPr>
    </w:p>
    <w:p w14:paraId="3807F64E" w14:textId="77777777" w:rsidR="00BB259E" w:rsidRPr="00F85878" w:rsidRDefault="00BB259E">
      <w:pPr>
        <w:spacing w:before="80" w:after="40"/>
        <w:jc w:val="center"/>
        <w:rPr>
          <w:sz w:val="24"/>
          <w:szCs w:val="24"/>
        </w:rPr>
      </w:pPr>
    </w:p>
    <w:p w14:paraId="2480D346" w14:textId="77777777" w:rsidR="00BB259E" w:rsidRPr="00F85878" w:rsidRDefault="00BA3948">
      <w:pPr>
        <w:rPr>
          <w:sz w:val="24"/>
          <w:szCs w:val="24"/>
        </w:rPr>
      </w:pPr>
      <w:r w:rsidRPr="00F85878">
        <w:rPr>
          <w:noProof/>
          <w:sz w:val="24"/>
          <w:szCs w:val="24"/>
        </w:rPr>
        <w:drawing>
          <wp:inline distT="0" distB="0" distL="0" distR="0" wp14:anchorId="1E59508F" wp14:editId="78CC6BF1">
            <wp:extent cx="6217920" cy="2811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x.png"/>
                    <pic:cNvPicPr/>
                  </pic:nvPicPr>
                  <pic:blipFill>
                    <a:blip r:embed="rId8"/>
                    <a:stretch>
                      <a:fillRect/>
                    </a:stretch>
                  </pic:blipFill>
                  <pic:spPr>
                    <a:xfrm>
                      <a:off x="0" y="0"/>
                      <a:ext cx="6217920" cy="2811780"/>
                    </a:xfrm>
                    <a:prstGeom prst="rect">
                      <a:avLst/>
                    </a:prstGeom>
                  </pic:spPr>
                </pic:pic>
              </a:graphicData>
            </a:graphic>
          </wp:inline>
        </w:drawing>
      </w:r>
    </w:p>
    <w:p w14:paraId="7D35DC19" w14:textId="77777777" w:rsidR="00BB259E" w:rsidRPr="00F85878" w:rsidRDefault="00BA3948">
      <w:pPr>
        <w:spacing w:after="120"/>
        <w:jc w:val="center"/>
        <w:rPr>
          <w:sz w:val="24"/>
          <w:szCs w:val="24"/>
        </w:rPr>
      </w:pPr>
      <w:r w:rsidRPr="00F85878">
        <w:rPr>
          <w:rFonts w:ascii="Calibri" w:hAnsi="Calibri"/>
          <w:i/>
          <w:sz w:val="24"/>
          <w:szCs w:val="24"/>
        </w:rPr>
        <w:t>Şekil 3: Test Kümesi Karmaşıklık Matrisi Isı Haritası (Confusion Matrix Heatmap).</w:t>
      </w:r>
    </w:p>
    <w:p w14:paraId="1649A9B7" w14:textId="77777777" w:rsidR="00BB259E" w:rsidRPr="00F85878" w:rsidRDefault="00BA3948">
      <w:pPr>
        <w:spacing w:after="100"/>
        <w:jc w:val="both"/>
        <w:rPr>
          <w:sz w:val="24"/>
          <w:szCs w:val="24"/>
        </w:rPr>
      </w:pPr>
      <w:r w:rsidRPr="00F85878">
        <w:rPr>
          <w:rFonts w:ascii="Calibri" w:hAnsi="Calibri"/>
          <w:sz w:val="24"/>
          <w:szCs w:val="24"/>
        </w:rPr>
        <w:t>Karmaşıklık matrisinin klinik güvenlik açısından analizi hayati bulgular ortaya koymaktadır: 1) Sıfır Çapraz Hata Güvencesi: Model, 95 adet 'Şiddetli Ağrı' vakasının hiçbirini 'Hafif Ağrı' olarak sınıflandırmamıştır (Hücre: 0). Klinik uygulamada en tehlikeli senaryo, şiddetli ağrı çeken bir hastaya sistemin 'ağrısı yok' diyerek analjezik tedavisini geciktirmesidir. Aynı şekilde hiçbir hafif ağrı vakası da 'şiddetli' olarak etiketlenmemiştir (Hücre: 0). 2) Komşu Sınıf Geçişleri: Yaşanan 14 yanılgının tamamı, klinik pratikte de ayrımı en zor olan sınır bölgelerde (NRS 3-4 geçişi ve NRS 6-7 geçişi) meydana gelmiştir. Bu durum, modelin otonom ve mimik verilerinde keskin yapay sınırlar yerine fizyolojik sürekliliği öğrendiğini ispatlamaktadır.</w:t>
      </w:r>
    </w:p>
    <w:p w14:paraId="66F52FFA" w14:textId="77777777" w:rsidR="00CF22A4" w:rsidRDefault="00CF22A4">
      <w:pPr>
        <w:spacing w:before="240" w:after="80"/>
        <w:rPr>
          <w:rFonts w:ascii="Calibri" w:hAnsi="Calibri"/>
          <w:b/>
          <w:color w:val="1F4E79"/>
          <w:sz w:val="24"/>
          <w:szCs w:val="24"/>
        </w:rPr>
      </w:pPr>
    </w:p>
    <w:p w14:paraId="67DCD2C9" w14:textId="77777777" w:rsidR="00CF22A4" w:rsidRDefault="00CF22A4">
      <w:pPr>
        <w:spacing w:before="240" w:after="80"/>
        <w:rPr>
          <w:rFonts w:ascii="Calibri" w:hAnsi="Calibri"/>
          <w:b/>
          <w:color w:val="1F4E79"/>
          <w:sz w:val="24"/>
          <w:szCs w:val="24"/>
        </w:rPr>
      </w:pPr>
    </w:p>
    <w:p w14:paraId="2300840F" w14:textId="3456252C" w:rsidR="00BB259E" w:rsidRPr="00F85878" w:rsidRDefault="00BA3948">
      <w:pPr>
        <w:spacing w:before="240" w:after="80"/>
        <w:rPr>
          <w:sz w:val="24"/>
          <w:szCs w:val="24"/>
        </w:rPr>
      </w:pPr>
      <w:r w:rsidRPr="00F85878">
        <w:rPr>
          <w:rFonts w:ascii="Calibri" w:hAnsi="Calibri"/>
          <w:b/>
          <w:color w:val="1F4E79"/>
          <w:sz w:val="24"/>
          <w:szCs w:val="24"/>
        </w:rPr>
        <w:lastRenderedPageBreak/>
        <w:t>6. Gelecek Çalışmalar ve Gerçek Klinik Veri Entegrasyonu</w:t>
      </w:r>
    </w:p>
    <w:p w14:paraId="65D6FE3A" w14:textId="77777777" w:rsidR="00BB259E" w:rsidRPr="00F85878" w:rsidRDefault="00BA3948">
      <w:pPr>
        <w:spacing w:after="100"/>
        <w:jc w:val="both"/>
        <w:rPr>
          <w:sz w:val="24"/>
          <w:szCs w:val="24"/>
        </w:rPr>
      </w:pPr>
      <w:r w:rsidRPr="00F85878">
        <w:rPr>
          <w:rFonts w:ascii="Calibri" w:hAnsi="Calibri"/>
          <w:sz w:val="24"/>
          <w:szCs w:val="24"/>
        </w:rPr>
        <w:t>Prototip veri hattında doğruluğu kanıtlanan bu çok modlu mimari, hastanede toplanan ham verilere şu adımlarla entegre edilecektir: 1) Kamera Kayıtları: Serviste tripod ile kaydedilen 30 saniyelik ham yüz videoları OpenCV ve MediaPipe / OpenFace modelleriyle işlenecek; göz kısma (AU6/7) ve kaş çatma (AU4) mimik genlikleri zaman serisi olarak çıkarılacaktır. 2) EKG Sinyalleri: Omron Complete cihazından aktarılan tek kanallı EKG ham sinyallerine Wavelet Denoising ve Pan-Tompkins R-pik tespit algoritması uygulanarak SDNN, RMSSD ve LF/HF gibi sempatovagal dengeyi gösteren Kalp Hızı Değişkenliği (HRV) öznitelikleri türetilecektir. Böylece sistem, cerrahi sonrası yatak başında hekim ve hemşireye gerçek zamanlı nesnel ağrı uyarısı veren bir karar destek sistemine dönüştürülecektir.</w:t>
      </w:r>
    </w:p>
    <w:p w14:paraId="03E3DB8E" w14:textId="77777777" w:rsidR="00BB259E" w:rsidRPr="00F85878" w:rsidRDefault="00BA3948">
      <w:pPr>
        <w:spacing w:before="240" w:after="80"/>
        <w:rPr>
          <w:sz w:val="24"/>
          <w:szCs w:val="24"/>
        </w:rPr>
      </w:pPr>
      <w:r w:rsidRPr="00F85878">
        <w:rPr>
          <w:rFonts w:ascii="Calibri" w:hAnsi="Calibri"/>
          <w:b/>
          <w:color w:val="1F4E79"/>
          <w:sz w:val="24"/>
          <w:szCs w:val="24"/>
        </w:rPr>
        <w:t>7. Seçilmiş Akademik Kaynakça (References)</w:t>
      </w:r>
    </w:p>
    <w:p w14:paraId="576A79F3" w14:textId="77777777" w:rsidR="00BB259E" w:rsidRPr="00F85878" w:rsidRDefault="00BA3948">
      <w:pPr>
        <w:spacing w:after="40"/>
        <w:rPr>
          <w:sz w:val="24"/>
          <w:szCs w:val="24"/>
        </w:rPr>
      </w:pPr>
      <w:r w:rsidRPr="00F85878">
        <w:rPr>
          <w:rFonts w:ascii="Calibri" w:hAnsi="Calibri"/>
          <w:color w:val="3C3C3C"/>
          <w:sz w:val="24"/>
          <w:szCs w:val="24"/>
        </w:rPr>
        <w:t>[1] Ekman, P., &amp; Friesen, W. V. (1978). Facial Action Coding System: A Technique for the Measurement of Facial Movement. Consulting Psychologists Press.</w:t>
      </w:r>
    </w:p>
    <w:p w14:paraId="2AD5554B" w14:textId="77777777" w:rsidR="00BB259E" w:rsidRPr="00F85878" w:rsidRDefault="00BA3948">
      <w:pPr>
        <w:spacing w:after="40"/>
        <w:rPr>
          <w:sz w:val="24"/>
          <w:szCs w:val="24"/>
        </w:rPr>
      </w:pPr>
      <w:r w:rsidRPr="00F85878">
        <w:rPr>
          <w:rFonts w:ascii="Calibri" w:hAnsi="Calibri"/>
          <w:color w:val="3C3C3C"/>
          <w:sz w:val="24"/>
          <w:szCs w:val="24"/>
        </w:rPr>
        <w:t>[2] Lucey, P., Cohn, J. F., Prkachin, K. M., Solomon, P. E., &amp; Matthews, I. (2011). Painful data: The UNBC-McMaster shoulder pain expression archive database. IEEE International Conference on Automatic Face &amp; Gesture Recognition (FG), 57-64.</w:t>
      </w:r>
    </w:p>
    <w:p w14:paraId="5535D4F1" w14:textId="77777777" w:rsidR="00BB259E" w:rsidRPr="00F85878" w:rsidRDefault="00BA3948">
      <w:pPr>
        <w:spacing w:after="40"/>
        <w:rPr>
          <w:sz w:val="24"/>
          <w:szCs w:val="24"/>
        </w:rPr>
      </w:pPr>
      <w:r w:rsidRPr="00F85878">
        <w:rPr>
          <w:rFonts w:ascii="Calibri" w:hAnsi="Calibri"/>
          <w:color w:val="3C3C3C"/>
          <w:sz w:val="24"/>
          <w:szCs w:val="24"/>
        </w:rPr>
        <w:t>[3] Melzack, R. (1987). The short-form McGill pain questionnaire. Pain, 30(2), 191-197.</w:t>
      </w:r>
    </w:p>
    <w:p w14:paraId="0D371252" w14:textId="77777777" w:rsidR="00BB259E" w:rsidRPr="00F85878" w:rsidRDefault="00BA3948">
      <w:pPr>
        <w:spacing w:after="40"/>
        <w:rPr>
          <w:sz w:val="24"/>
          <w:szCs w:val="24"/>
        </w:rPr>
      </w:pPr>
      <w:r w:rsidRPr="00F85878">
        <w:rPr>
          <w:rFonts w:ascii="Calibri" w:hAnsi="Calibri"/>
          <w:color w:val="3C3C3C"/>
          <w:sz w:val="24"/>
          <w:szCs w:val="24"/>
        </w:rPr>
        <w:t>[4] Gobbi, A., et al. (2021). Postoperative Pain Management and Functional Recovery after Total Knee Arthroplasty. Journal of Clinical Medicine, 10(14), 3120.</w:t>
      </w:r>
    </w:p>
    <w:p w14:paraId="14C6956E" w14:textId="77777777" w:rsidR="00BB259E" w:rsidRPr="00F85878" w:rsidRDefault="00BA3948">
      <w:pPr>
        <w:spacing w:after="40"/>
        <w:rPr>
          <w:sz w:val="24"/>
          <w:szCs w:val="24"/>
        </w:rPr>
      </w:pPr>
      <w:r w:rsidRPr="00F85878">
        <w:rPr>
          <w:rFonts w:ascii="Calibri" w:hAnsi="Calibri"/>
          <w:color w:val="3C3C3C"/>
          <w:sz w:val="24"/>
          <w:szCs w:val="24"/>
        </w:rPr>
        <w:t>[5] Hoti, K., et al. (2018). Clinical validation of PainChek: A smartphone-based pain assessment tool for patients with dementia. Journal of Alzheimer's Disease, 62(1), 1-12.</w:t>
      </w:r>
    </w:p>
    <w:p w14:paraId="215F54EF" w14:textId="77777777" w:rsidR="00BB259E" w:rsidRPr="00F85878" w:rsidRDefault="00BA3948">
      <w:pPr>
        <w:spacing w:after="40"/>
        <w:rPr>
          <w:sz w:val="24"/>
          <w:szCs w:val="24"/>
        </w:rPr>
      </w:pPr>
      <w:r w:rsidRPr="00F85878">
        <w:rPr>
          <w:rFonts w:ascii="Calibri" w:hAnsi="Calibri"/>
          <w:color w:val="3C3C3C"/>
          <w:sz w:val="24"/>
          <w:szCs w:val="24"/>
        </w:rPr>
        <w:t>[6] Werner, P., et al. (2019). Machine Learning for Pain Assessment: A Review of Clinical and Technical Challenges. IEEE Reviews in Biomedical Engineering, 15, 237-253.</w:t>
      </w:r>
    </w:p>
    <w:p w14:paraId="614A2299" w14:textId="77777777" w:rsidR="00BB259E" w:rsidRPr="00F85878" w:rsidRDefault="00BA3948">
      <w:pPr>
        <w:spacing w:after="40"/>
        <w:rPr>
          <w:sz w:val="24"/>
          <w:szCs w:val="24"/>
        </w:rPr>
      </w:pPr>
      <w:r w:rsidRPr="00F85878">
        <w:rPr>
          <w:rFonts w:ascii="Calibri" w:hAnsi="Calibri"/>
          <w:color w:val="3C3C3C"/>
          <w:sz w:val="24"/>
          <w:szCs w:val="24"/>
        </w:rPr>
        <w:t>[7] Cowen, R., et al. (2015). Assessing pain objectively: the use of physiological markers. British Journal of Anaesthesia, 115(5), 657-666.</w:t>
      </w:r>
    </w:p>
    <w:p w14:paraId="741E3640" w14:textId="77777777" w:rsidR="00BB259E" w:rsidRPr="00F85878" w:rsidRDefault="00BA3948">
      <w:pPr>
        <w:spacing w:after="40"/>
        <w:rPr>
          <w:sz w:val="24"/>
          <w:szCs w:val="24"/>
        </w:rPr>
      </w:pPr>
      <w:r w:rsidRPr="00F85878">
        <w:rPr>
          <w:rFonts w:ascii="Calibri" w:hAnsi="Calibri"/>
          <w:color w:val="3C3C3C"/>
          <w:sz w:val="24"/>
          <w:szCs w:val="24"/>
        </w:rPr>
        <w:t>[8] Kehlet, H., &amp; Dahl, J. B. (2003). Anaesthesia, surgery, and challenges in postoperative recovery. The Lancet, 362(9399), 1921-1928.</w:t>
      </w:r>
    </w:p>
    <w:sectPr w:rsidR="00BB259E" w:rsidRPr="00F85878"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04824819">
    <w:abstractNumId w:val="8"/>
  </w:num>
  <w:num w:numId="2" w16cid:durableId="1651057467">
    <w:abstractNumId w:val="6"/>
  </w:num>
  <w:num w:numId="3" w16cid:durableId="1053890297">
    <w:abstractNumId w:val="5"/>
  </w:num>
  <w:num w:numId="4" w16cid:durableId="1663268542">
    <w:abstractNumId w:val="4"/>
  </w:num>
  <w:num w:numId="5" w16cid:durableId="1225943629">
    <w:abstractNumId w:val="7"/>
  </w:num>
  <w:num w:numId="6" w16cid:durableId="1622691830">
    <w:abstractNumId w:val="3"/>
  </w:num>
  <w:num w:numId="7" w16cid:durableId="58066959">
    <w:abstractNumId w:val="2"/>
  </w:num>
  <w:num w:numId="8" w16cid:durableId="1581719357">
    <w:abstractNumId w:val="1"/>
  </w:num>
  <w:num w:numId="9" w16cid:durableId="824787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E7D"/>
    <w:rsid w:val="00025E36"/>
    <w:rsid w:val="00034616"/>
    <w:rsid w:val="0006063C"/>
    <w:rsid w:val="00074490"/>
    <w:rsid w:val="0009402B"/>
    <w:rsid w:val="00130C34"/>
    <w:rsid w:val="0015074B"/>
    <w:rsid w:val="0029639D"/>
    <w:rsid w:val="00326F90"/>
    <w:rsid w:val="003C3883"/>
    <w:rsid w:val="005B7CC6"/>
    <w:rsid w:val="006E4F14"/>
    <w:rsid w:val="00795E7D"/>
    <w:rsid w:val="00976FE7"/>
    <w:rsid w:val="00986131"/>
    <w:rsid w:val="00AA1D8D"/>
    <w:rsid w:val="00AB7DC0"/>
    <w:rsid w:val="00B003FB"/>
    <w:rsid w:val="00B47730"/>
    <w:rsid w:val="00BA3948"/>
    <w:rsid w:val="00BB259E"/>
    <w:rsid w:val="00CB0664"/>
    <w:rsid w:val="00CF0549"/>
    <w:rsid w:val="00CF22A4"/>
    <w:rsid w:val="00E7259D"/>
    <w:rsid w:val="00F85878"/>
    <w:rsid w:val="00FA1F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712AD0-2A0B-488C-A09E-19D07ED9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1925</Words>
  <Characters>10975</Characters>
  <Application>Microsoft Office Word</Application>
  <DocSecurity>0</DocSecurity>
  <Lines>91</Lines>
  <Paragraphs>25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MURATHAN ORMAN</cp:lastModifiedBy>
  <cp:revision>16</cp:revision>
  <dcterms:created xsi:type="dcterms:W3CDTF">2013-12-23T23:15:00Z</dcterms:created>
  <dcterms:modified xsi:type="dcterms:W3CDTF">2026-09-24T19:44:00Z</dcterms:modified>
  <cp:category/>
</cp:coreProperties>
</file>