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0"/>
        </w:rPr>
        <w:t>OPTIMUS PORTFOLIO MANAGER</w:t>
      </w:r>
    </w:p>
    <w:p>
      <w:pPr>
        <w:jc w:val="center"/>
      </w:pPr>
      <w:r>
        <w:rPr>
          <w:b/>
          <w:sz w:val="36"/>
        </w:rPr>
        <w:t>BUILD-1 — Opus Implementation Handoff</w:t>
      </w:r>
    </w:p>
    <w:p>
      <w:pPr>
        <w:jc w:val="center"/>
      </w:pPr>
      <w:r>
        <w:rPr>
          <w:i/>
          <w:sz w:val="22"/>
        </w:rPr>
        <w:t>Retail-first portfolio management pivot for the $45,000 reference account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customer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Murat — attended retail investor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Reference account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$45,000 current capital; stretch goal $100,000 in 12 months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Build priority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Portfolio Manager &gt; Opportunity Engine &gt; Research Lab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Non-negotiable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Goals are probabilities, never forecasts; downside is shown beside upside</w:t>
            </w:r>
          </w:p>
        </w:tc>
      </w:tr>
    </w:tbl>
    <w:p>
      <w:pPr>
        <w:jc w:val="center"/>
      </w:pPr>
      <w:r>
        <w:rPr>
          <w:color w:val="646464"/>
          <w:sz w:val="18"/>
        </w:rPr>
        <w:t>Status: build specification. No live trade is authorized by this document.</w:t>
      </w:r>
    </w:p>
    <w:p>
      <w:r>
        <w:br w:type="page"/>
      </w:r>
    </w:p>
    <w:p>
      <w:pPr>
        <w:pStyle w:val="Heading1"/>
      </w:pPr>
      <w:r>
        <w:t>1. Binding mandate</w:t>
      </w:r>
    </w:p>
    <w:p>
      <w:r>
        <w:rPr>
          <w:b/>
        </w:rPr>
        <w:t>Aegis Research determines what evidence can be trusted. Optimus Portfolio Manager exists to compound Murat's real capital. Neither is subordinate.</w:t>
      </w:r>
    </w:p>
    <w:p>
      <w:r>
        <w:t>The immediate product target is not another research campaign. It is a daily decision system that can ingest the real $45k account and answer, before the market opens: what is owned, what changed, what to buy/add/hold/trim/sell, how many dollars to move, what new opportunities dominate existing holdings, what catalysts are imminent, and what the resulting wealth/downside distribution looks like.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144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Effort target</w:t>
            </w:r>
          </w:p>
        </w:tc>
        <w:tc>
          <w:tcPr>
            <w:tcW w:type="dxa" w:w="34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question</w:t>
            </w:r>
          </w:p>
        </w:tc>
        <w:tc>
          <w:tcPr>
            <w:tcW w:type="dxa" w:w="38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Aegis Research Lab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~25%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What evidence can be trusted?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Receipts, validation status, reliability weights, failure analysis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Optimus Portfolio Manager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~55%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What should the real account do today?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Book state, actions, sizing, replacement decisions, wealth/risk distribution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Opportunity / Intelligence Engine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~20%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Where has the opportunity set changed most?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Universe scan, analyst revisions, catalysts, event posteriors, candidates</w:t>
            </w:r>
          </w:p>
        </w:tc>
      </w:tr>
    </w:tbl>
    <w:p>
      <w:r>
        <w:rPr>
          <w:b/>
        </w:rPr>
        <w:t xml:space="preserve">Stretch target policy. </w:t>
      </w:r>
      <w:r>
        <w:t>$45k → $100k in 12 months is a user goal, not an engine forecast. Any screen that shows P(wealth ≥ target) must show severe-downside probabilities beside it with equal visual prominence. Modes alter risk/sizing only; they never alter evidence quality.</w:t>
      </w:r>
    </w:p>
    <w:p>
      <w:pPr>
        <w:pStyle w:val="Heading1"/>
      </w:pPr>
      <w:r>
        <w:t>2. Product principles that are binding</w:t>
      </w:r>
    </w:p>
    <w:p>
      <w:pPr>
        <w:pStyle w:val="ListBullet"/>
      </w:pPr>
      <w:r>
        <w:t>LLM reads, extracts, reconciles and explains. Deterministic code sizes positions and produces portfolio actions. The LLM never sets a weight.</w:t>
      </w:r>
    </w:p>
    <w:p>
      <w:pPr>
        <w:pStyle w:val="ListBullet"/>
      </w:pPr>
      <w:r>
        <w:t>The engine never auto-trades. Every real-dollar action is attended and executed by Murat.</w:t>
      </w:r>
    </w:p>
    <w:p>
      <w:pPr>
        <w:pStyle w:val="ListBullet"/>
      </w:pPr>
      <w:r>
        <w:t>Every recommendation carries an evidence tag: VALIDATED or OBSERVATIONAL. Observational signals may flow immediately, but their reliability weight and provenance must be explicit.</w:t>
      </w:r>
    </w:p>
    <w:p>
      <w:pPr>
        <w:pStyle w:val="ListBullet"/>
      </w:pPr>
      <w:r>
        <w:t>No missing-data hallucinations. A missing/stale analyst target, catalyst date, price, or position field must be shown as missing/stale and must reduce confidence.</w:t>
      </w:r>
    </w:p>
    <w:p>
      <w:pPr>
        <w:pStyle w:val="ListBullet"/>
      </w:pPr>
      <w:r>
        <w:t>Every position competes against its replacement. The PM does not ask only “is this stock good?”; it asks “is this the best use of this dollar versus current alternatives?”</w:t>
      </w:r>
    </w:p>
    <w:p>
      <w:pPr>
        <w:pStyle w:val="ListBullet"/>
      </w:pPr>
      <w:r>
        <w:t>Every trade recommendation is reconstructible later: thesis, expected distribution, catalyst, kill condition, evidence snapshot, sizing inputs and timestamp are persisted.</w:t>
      </w:r>
    </w:p>
    <w:p>
      <w:pPr>
        <w:pStyle w:val="ListBullet"/>
      </w:pPr>
      <w:r>
        <w:t>Personal execution is the scope. Institutional-capacity research is background until the account size makes it relevant. For the live PM, the question is whether roughly $500–$10,000 can be transacted without spread/slippage/liquidity invalidating the thesis.</w:t>
      </w:r>
    </w:p>
    <w:p>
      <w:pPr>
        <w:pStyle w:val="ListBullet"/>
      </w:pPr>
      <w:r>
        <w:t>Research gates modify reliability; they do not silence plausibly informative, explicitly labelled observational information.</w:t>
      </w:r>
    </w:p>
    <w:p>
      <w:pPr>
        <w:pStyle w:val="Heading1"/>
      </w:pPr>
      <w:r>
        <w:t>3. Architecture and information flow</w:t>
      </w:r>
    </w:p>
    <w:p>
      <w:r>
        <w:t>The build should preserve the existing firewall and connect the current Aegis services into a retail PM path. The intended flow is:</w:t>
      </w:r>
    </w:p>
    <w:p>
      <w:pPr>
        <w:pStyle w:val="IntenseQuote"/>
      </w:pPr>
      <w:r>
        <w:t>Sources → PIT-normalized observations → evidence labels/reliability → stock/event posterior → portfolio comparison → deterministic sizing → attended recommendation → portfolio memory → later scoring.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75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374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Must not do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Data / MCP-like tool bus</w:t>
            </w:r>
          </w:p>
        </w:tc>
        <w:tc>
          <w:tcPr>
            <w:tcW w:type="dxa" w:w="47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Prices, analyst observations, estimates, EDGAR, FDA, earnings, events, portfolio state; timestamps + provenance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Infer missing values or rewrite history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LLM perception layer</w:t>
            </w:r>
          </w:p>
        </w:tc>
        <w:tc>
          <w:tcPr>
            <w:tcW w:type="dxa" w:w="47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Structured extraction, contradiction detection, catalyst interpretation, thesis explanation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Position sizing, direct trading, untraceable “sentiment score”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Signal / posterior layer</w:t>
            </w:r>
          </w:p>
        </w:tc>
        <w:tc>
          <w:tcPr>
            <w:tcW w:type="dxa" w:w="47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Analyst revisions, event surprise, fundamentals, validated research signals, uncertainty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Hide observational status or source staleness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Portfolio layer</w:t>
            </w:r>
          </w:p>
        </w:tc>
        <w:tc>
          <w:tcPr>
            <w:tcW w:type="dxa" w:w="47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Replacement edge, covariance, concentration, drawdown, target-probability optimization, trade dollars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Change evidence confidence to reach a target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Audit / memory</w:t>
            </w:r>
          </w:p>
        </w:tc>
        <w:tc>
          <w:tcPr>
            <w:tcW w:type="dxa" w:w="47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Daily snapshot, recommendation reasons, source hashes, later outcome scoring</w:t>
            </w:r>
          </w:p>
        </w:tc>
        <w:tc>
          <w:tcPr>
            <w:tcW w:type="dxa" w:w="37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Delete failed calls or silently overwrite thesis history</w:t>
            </w:r>
          </w:p>
        </w:tc>
      </w:tr>
    </w:tbl>
    <w:p>
      <w:pPr>
        <w:pStyle w:val="Heading1"/>
      </w:pPr>
      <w:r>
        <w:t>4. BUILD-1 work order</w:t>
      </w:r>
    </w:p>
    <w:p>
      <w:r>
        <w:rPr>
          <w:b/>
        </w:rPr>
        <w:t xml:space="preserve">Stop rule: </w:t>
      </w:r>
      <w:r>
        <w:t>B1–B3 are mandatory. A real or realistic dummy morning report must run end-to-end before secondary components are polished. If time is limited, stop after a robust B3 rather than leaving five half-built subsystems.</w:t>
      </w:r>
    </w:p>
    <w:p>
      <w:pPr>
        <w:pStyle w:val="Heading2"/>
      </w:pPr>
      <w:r>
        <w:t>B0 — Roadmap and scope reset</w:t>
      </w:r>
    </w:p>
    <w:p>
      <w:pPr>
        <w:pStyle w:val="ListBullet"/>
      </w:pPr>
      <w:r>
        <w:t>Write the mandate at the top of ROADMAP.md and update STATUS.md language so the PM is the primary product.</w:t>
      </w:r>
    </w:p>
    <w:p>
      <w:pPr>
        <w:pStyle w:val="ListBullet"/>
      </w:pPr>
      <w:r>
        <w:t>Mark institutional G7/G8 capacity as BACKGROUND for the personal account. Keep personal execution checks: bid/ask spread, dollar volume, ADV participation, slippage assumption, microcap warning.</w:t>
      </w:r>
    </w:p>
    <w:p>
      <w:pPr>
        <w:pStyle w:val="ListBullet"/>
      </w:pPr>
      <w:r>
        <w:t>Do not delete or weaken the Research Lab. It becomes the PM’s validation and failure-detection layer.</w:t>
      </w:r>
    </w:p>
    <w:p>
      <w:pPr>
        <w:pStyle w:val="Heading2"/>
      </w:pPr>
      <w:r>
        <w:t>B1 — Analyst and market-data spine (gates B2/B3)</w:t>
      </w:r>
    </w:p>
    <w:p>
      <w:pPr>
        <w:pStyle w:val="ListBullet"/>
      </w:pPr>
      <w:r>
        <w:t>Inventory every reachable source already configured or realistically available for analyst targets, ratings, revisions, earnings estimates, coverage, prices, EDGAR events and FDA events.</w:t>
      </w:r>
    </w:p>
    <w:p>
      <w:pPr>
        <w:pStyle w:val="ListBullet"/>
      </w:pPr>
      <w:r>
        <w:t>For each endpoint, perform an actual probe and store status, sample shape, required entitlement, freshness, universe coverage, history depth, rate limit/cost and licensing/product-use constraint. No “unavailable” claim without a probe receipt.</w:t>
      </w:r>
    </w:p>
    <w:p>
      <w:pPr>
        <w:pStyle w:val="ListBullet"/>
      </w:pPr>
      <w:r>
        <w:t>Create a normalized AnalystObservation object with: symbol, analyst, firm, action, rating, old/new target, currency, published_at, first_seen_at, source_id, source_url/locator, retrieved_at, raw_hash, stale flag.</w:t>
      </w:r>
    </w:p>
    <w:p>
      <w:pPr>
        <w:pStyle w:val="ListBullet"/>
      </w:pPr>
      <w:r>
        <w:t>Target-history availability is the critical unknown. If historical analyst identity/target revisions cannot be backfilled honestly, v0 uses firm-level/current consensus features and records analyst reliability as UNAVAILABLE rather than fabricating it.</w:t>
      </w:r>
    </w:p>
    <w:p>
      <w:pPr>
        <w:pStyle w:val="Heading2"/>
      </w:pPr>
      <w:r>
        <w:t>B2 — Position objects and private book persistence</w:t>
      </w:r>
    </w:p>
    <w:p>
      <w:pPr>
        <w:pStyle w:val="ListBullet"/>
      </w:pPr>
      <w:r>
        <w:t>Implement the position schema in the helper pack. At minimum: ticker, shares, cost basis, market value, weight, original thesis, current thesis, street target and revision features, next catalyst, bull/base/bear scenario, kill conditions, recommended action, recommended dollar change, evidence labels.</w:t>
      </w:r>
    </w:p>
    <w:p>
      <w:pPr>
        <w:pStyle w:val="ListBullet"/>
      </w:pPr>
      <w:r>
        <w:t>Use a private local portfolio file that is gitignored. Public product behavior should store user book data locally/client-side unless the user explicitly opts into server persistence.</w:t>
      </w:r>
    </w:p>
    <w:p>
      <w:pPr>
        <w:pStyle w:val="ListBullet"/>
      </w:pPr>
      <w:r>
        <w:t>Add a portfolio-level record: cash, total NAV, target wealth, mode, drawdown limits/warnings, last update, stale-data status.</w:t>
      </w:r>
    </w:p>
    <w:p>
      <w:pPr>
        <w:pStyle w:val="ListBullet"/>
      </w:pPr>
      <w:r>
        <w:t>Every executed/manual trade may be recorded through the TradeMemory schema; recommended trades and executed trades are distinct states.</w:t>
      </w:r>
    </w:p>
    <w:p>
      <w:pPr>
        <w:pStyle w:val="Heading2"/>
      </w:pPr>
      <w:r>
        <w:t>B3 — Optimus Daily Portfolio v1 (mandatory milestone)</w:t>
      </w:r>
    </w:p>
    <w:p>
      <w:pPr>
        <w:pStyle w:val="ListBullet"/>
      </w:pPr>
      <w:r>
        <w:t>One command generates a morning report from the book and current data.</w:t>
      </w:r>
    </w:p>
    <w:p>
      <w:pPr>
        <w:pStyle w:val="ListBullet"/>
      </w:pPr>
      <w:r>
        <w:t>Header: NAV, cash, day/MTD/YTD/inception P&amp;L when available, high-water mark, drawdown, target wealth, required return, simulated median/25th/75th wealth, P(target), P(&lt;$30k), P(&lt;$20k), expected max drawdown and P(50% drawdown).</w:t>
      </w:r>
    </w:p>
    <w:p>
      <w:pPr>
        <w:pStyle w:val="ListBullet"/>
      </w:pPr>
      <w:r>
        <w:t>For every holding: BUY / ADD / HOLD / TRIM / SELL, recommended dollar change, evidence tag, reason codes, target/upside, revisions, catalyst, bear/base/bull, confidence, stale-data warnings.</w:t>
      </w:r>
    </w:p>
    <w:p>
      <w:pPr>
        <w:pStyle w:val="ListBullet"/>
      </w:pPr>
      <w:r>
        <w:t>Opportunity radar: top new candidates with enough data to compare to the book.</w:t>
      </w:r>
    </w:p>
    <w:p>
      <w:pPr>
        <w:pStyle w:val="ListBullet"/>
      </w:pPr>
      <w:r>
        <w:t>Portfolio threats: upcoming catalysts, thesis violations, downgrade clusters, liquidity/concentration/correlation warnings.</w:t>
      </w:r>
    </w:p>
    <w:p>
      <w:pPr>
        <w:pStyle w:val="ListBullet"/>
      </w:pPr>
      <w:r>
        <w:t>Replacement engine: identify the weakest capital allocation and show which candidate, if any, has a positive net replacement edge after risk and execution friction.</w:t>
      </w:r>
    </w:p>
    <w:p>
      <w:pPr>
        <w:pStyle w:val="ListBullet"/>
      </w:pPr>
      <w:r>
        <w:t>The report must be reproducible: machine-readable JSON plus human-readable Markdown/HTML. The referee/claim checker audits the human report against the JSON receipts.</w:t>
      </w:r>
    </w:p>
    <w:p>
      <w:pPr>
        <w:pStyle w:val="Heading2"/>
      </w:pPr>
      <w:r>
        <w:t>B4 — Analyst Alpha Engine v0</w:t>
      </w:r>
    </w:p>
    <w:p>
      <w:pPr>
        <w:pStyle w:val="ListBullet"/>
      </w:pPr>
      <w:r>
        <w:t>Prioritize revisions over static levels: ΔTarget 7/30/90d, rating changes, breadth of raisers vs cutters, estimate revisions, dispersion, freshness and staleness.</w:t>
      </w:r>
    </w:p>
    <w:p>
      <w:pPr>
        <w:pStyle w:val="ListBullet"/>
      </w:pPr>
      <w:r>
        <w:t>Apply penalties for binary-event risk, dilution/financing risk, stale coverage, low analyst breadth, severe disagreement and poor liquidity.</w:t>
      </w:r>
    </w:p>
    <w:p>
      <w:pPr>
        <w:pStyle w:val="ListBullet"/>
      </w:pPr>
      <w:r>
        <w:t>Analyst/firm reliability is a separate factor only where history exists. Do not assign prestige weights to a bank name.</w:t>
      </w:r>
    </w:p>
    <w:p>
      <w:pPr>
        <w:pStyle w:val="ListBullet"/>
      </w:pPr>
      <w:r>
        <w:t>Register a forward ledger validation design, but allow the signal to flow immediately as OBSERVATIONAL with explicit reliability.</w:t>
      </w:r>
    </w:p>
    <w:p>
      <w:pPr>
        <w:pStyle w:val="Heading2"/>
      </w:pPr>
      <w:r>
        <w:t>B5 — Catalyst calendar v0</w:t>
      </w:r>
    </w:p>
    <w:p>
      <w:pPr>
        <w:pStyle w:val="ListBullet"/>
      </w:pPr>
      <w:r>
        <w:t>Ingest earnings dates, FDA/PDUFA/readouts when available, EDGAR offerings/financings/13D-G changes, investor days and other parseable high-impact events.</w:t>
      </w:r>
    </w:p>
    <w:p>
      <w:pPr>
        <w:pStyle w:val="ListBullet"/>
      </w:pPr>
      <w:r>
        <w:t>Each event has event_time, first_public_time, source, entity, event_type, expectedness, affected metric, next observable, uncertainty and provenance.</w:t>
      </w:r>
    </w:p>
    <w:p>
      <w:pPr>
        <w:pStyle w:val="ListBullet"/>
      </w:pPr>
      <w:r>
        <w:t>Build the recomputation hook now: an event can invalidate or update a thesis/posterior; the LLM extracts structured information, deterministic code recomputes decisions.</w:t>
      </w:r>
    </w:p>
    <w:p>
      <w:pPr>
        <w:pStyle w:val="Heading2"/>
      </w:pPr>
      <w:r>
        <w:t>B6 — Goal-seek Monte Carlo and sizing modes</w:t>
      </w:r>
    </w:p>
    <w:p>
      <w:pPr>
        <w:pStyle w:val="ListBullet"/>
      </w:pPr>
      <w:r>
        <w:t>Expose Growth, High Growth and Moonshot modes. All use the same evidence; only constraints/risk budgets change.</w:t>
      </w:r>
    </w:p>
    <w:p>
      <w:pPr>
        <w:pStyle w:val="ListBullet"/>
      </w:pPr>
      <w:r>
        <w:t>Primary stretch objective may be maximize P(W12m ≥ user target), but always print downside metrics beside it. Do not optimize a single target probability without ruin/concentration constraints.</w:t>
      </w:r>
    </w:p>
    <w:p>
      <w:pPr>
        <w:pStyle w:val="ListBullet"/>
      </w:pPr>
      <w:r>
        <w:t>Reuse the existing Monte Carlo/risk infrastructure where sound. Record all assumptions and make them inspectable.</w:t>
      </w:r>
    </w:p>
    <w:p>
      <w:pPr>
        <w:pStyle w:val="ListBullet"/>
      </w:pPr>
      <w:r>
        <w:t>Sizing must respect position caps, sector/biotech/crypto concentration, correlation, liquidity and event-risk limits. Missing covariance data must not be treated as zero correlation.</w:t>
      </w:r>
    </w:p>
    <w:p>
      <w:pPr>
        <w:pStyle w:val="Heading2"/>
      </w:pPr>
      <w:r>
        <w:t>B7 — Bloomberg-era reconstruction dataset</w:t>
      </w:r>
    </w:p>
    <w:p>
      <w:pPr>
        <w:pStyle w:val="ListBullet"/>
      </w:pPr>
      <w:r>
        <w:t>Create intake for every stock considered from the user’s Bloomberg-era workflow: date, ticker, price, consensus/firm targets available at the time, rating, revision direction, catalyst, bought/rejected, size if bought, exit, realized outcome and reason.</w:t>
      </w:r>
    </w:p>
    <w:p>
      <w:pPr>
        <w:pStyle w:val="ListBullet"/>
      </w:pPr>
      <w:r>
        <w:t>The attached portfolio/watchlist PDF is a seed snapshot, not proof of skill. Preserve its as-of dates and do not rewrite the historical inputs with current data.</w:t>
      </w:r>
    </w:p>
    <w:p>
      <w:pPr>
        <w:pStyle w:val="ListBullet"/>
      </w:pPr>
      <w:r>
        <w:t>When trade history is supplied, link decisions to subsequent 30/90/180/365-day returns and to the actual portfolio result. Separate selection skill, sizing skill and market-regime benefit.</w:t>
      </w:r>
    </w:p>
    <w:p>
      <w:pPr>
        <w:pStyle w:val="ListBullet"/>
      </w:pPr>
      <w:r>
        <w:t>This dataset should ultimately train/validate the personalized analyst-and-catalyst workflow rather than assuming the one-year result generalizes.</w:t>
      </w:r>
    </w:p>
    <w:p>
      <w:pPr>
        <w:pStyle w:val="Heading1"/>
      </w:pPr>
      <w:r>
        <w:t>5. Portfolio decision contract</w:t>
      </w:r>
    </w:p>
    <w:p>
      <w:r>
        <w:t>A stock recommendation should be an auditable portfolio decision, not a generic rating. The deterministic portfolio layer may implement a score or optimizer, but the report must expose the components.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6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4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Expected opportunity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Street target/upside, revisions, estimate changes, event posterior, validated research signals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Expected return/scenario distribution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VALIDATED/OBSERVATIONAL, source count, freshness, receipt, historical reliability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Reliability weight / confidence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Risk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Volatility, event/binary risk, drawdown, balance sheet, dilution, concentration, correlation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Risk penalty / limits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Spread, dollar volume, order size/ADV, microcap warning, stale quote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Execution friction / block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Portfolio opportunity cost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Expected utility of candidate vs weakest/current holding after cost and covariance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ReplacementEdge and funding source</w:t>
            </w:r>
          </w:p>
        </w:tc>
      </w:tr>
    </w:tbl>
    <w:p>
      <w:r>
        <w:rPr>
          <w:b/>
        </w:rPr>
        <w:t xml:space="preserve">Required replacement concept: </w:t>
      </w:r>
      <w:r>
        <w:t>ReplacementEdge(A→B) = portfolio utility after replacing A with B − current portfolio utility − estimated transaction friction. A new candidate is not an action unless it is better than an actual use of capital in the current book.</w:t>
      </w:r>
    </w:p>
    <w:p>
      <w:pPr>
        <w:pStyle w:val="Heading1"/>
      </w:pPr>
      <w:r>
        <w:t>6. Evidence labels and claim discipline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44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403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PM use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Backed by the research process/receipt at the relevant scope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May receive empirically calibrated reliability weight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OBSERVATIONAL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Plausibly informative live feature but not independently validated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May be used with a visible label and conservative reliability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STALE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Source exceeds freshness policy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Downweight or suppress action depending on field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Required field unavailable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No fabrication; lower confidence or block affected calculation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CONFLICTED</w:t>
            </w:r>
          </w:p>
        </w:tc>
        <w:tc>
          <w:tcPr>
            <w:tcW w:type="dxa" w:w="4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Material source disagreement not resolved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Expose conflict and widen uncertainty</w:t>
            </w:r>
          </w:p>
        </w:tc>
      </w:tr>
    </w:tbl>
    <w:p>
      <w:r>
        <w:t>Numerical claims in the daily report should bind deterministically to receipt fields/JSON pointers wherever possible. The LLM referee should focus on qualifier stripping, causal overreach, gross-vs-net framing and unsupported prose—not on guessing whether a number is supported.</w:t>
      </w:r>
    </w:p>
    <w:p>
      <w:pPr>
        <w:pStyle w:val="Heading1"/>
      </w:pPr>
      <w:r>
        <w:t>7. Core object schemas</w:t>
      </w:r>
    </w:p>
    <w:p>
      <w:r>
        <w:t>Machine-readable JSON schemas are included in the helper pack. Opus should use them as starting contracts and version them rather than silently changing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792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minimum fields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PortfolioState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as_of, nav, cash, positions, high_water_mark, drawdown, target_wealth, mode, stale_flags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PositionState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ticker, shares, cost_basis, price, market_value, weight, original_thesis, current_thesis, kill_conditions, evidence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AnalystObservation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ticker, firm, analyst?, rating/action, target_old?, target_new?, published_at, first_seen_at, source, raw_hash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CatalystEvent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ticker/entity, event_type, event_time, first_public_time, expectedness, affected_metric, source, confidence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Recommendation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ticker, action, dollar_change, target_weight, funding_source?, reasons, evidence_tags, scenarios, risk_flags, as_of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TradeMemory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recommended_at, executed_at?, ticker, side, dollars/shares, thesis_snapshot, evidence_snapshot, kill_condition, later_outcome</w:t>
            </w:r>
          </w:p>
        </w:tc>
      </w:tr>
    </w:tbl>
    <w:p>
      <w:pPr>
        <w:pStyle w:val="Heading1"/>
      </w:pPr>
      <w:r>
        <w:t>8. Daily report acceptance criteria</w:t>
      </w:r>
    </w:p>
    <w:p>
      <w:pPr>
        <w:pStyle w:val="ListBullet"/>
      </w:pPr>
      <w:r>
        <w:t>Runs from one documented command on a realistic dummy book even before Murat supplies the real holdings.</w:t>
      </w:r>
    </w:p>
    <w:p>
      <w:pPr>
        <w:pStyle w:val="ListBullet"/>
      </w:pPr>
      <w:r>
        <w:t>Produces both JSON and readable report artifacts with the same as-of timestamp.</w:t>
      </w:r>
    </w:p>
    <w:p>
      <w:pPr>
        <w:pStyle w:val="ListBullet"/>
      </w:pPr>
      <w:r>
        <w:t>No recommendation lacks an evidence label and reason code.</w:t>
      </w:r>
    </w:p>
    <w:p>
      <w:pPr>
        <w:pStyle w:val="ListBullet"/>
      </w:pPr>
      <w:r>
        <w:t>No live action is emitted with a missing/stale price without an explicit block/warning.</w:t>
      </w:r>
    </w:p>
    <w:p>
      <w:pPr>
        <w:pStyle w:val="ListBullet"/>
      </w:pPr>
      <w:r>
        <w:t>Every holding receives an action, including HOLD.</w:t>
      </w:r>
    </w:p>
    <w:p>
      <w:pPr>
        <w:pStyle w:val="ListBullet"/>
      </w:pPr>
      <w:r>
        <w:t>At least one replacement analysis is shown when candidates exist; otherwise report “no positive replacement edge found.”</w:t>
      </w:r>
    </w:p>
    <w:p>
      <w:pPr>
        <w:pStyle w:val="ListBullet"/>
      </w:pPr>
      <w:r>
        <w:t>Wealth target and severe downside probabilities appear together.</w:t>
      </w:r>
    </w:p>
    <w:p>
      <w:pPr>
        <w:pStyle w:val="ListBullet"/>
      </w:pPr>
      <w:r>
        <w:t>Position sizing is code-owned and testable; LLM output cannot set target_weight/dollar_change directly.</w:t>
      </w:r>
    </w:p>
    <w:p>
      <w:pPr>
        <w:pStyle w:val="ListBullet"/>
      </w:pPr>
      <w:r>
        <w:t>No personal portfolio file is committed to Git.</w:t>
      </w:r>
    </w:p>
    <w:p>
      <w:pPr>
        <w:pStyle w:val="ListBullet"/>
      </w:pPr>
      <w:r>
        <w:t>Claim checker/referee can trace every numeric statement in the report to a machine field or mark it unsupported.</w:t>
      </w:r>
    </w:p>
    <w:p>
      <w:pPr>
        <w:pStyle w:val="ListBullet"/>
      </w:pPr>
      <w:r>
        <w:t>Unit tests include stale-data behavior, missing target history, conflicting analyst observations, microcap execution warning, target-mode invariance of evidence scores, and no-auto-trade firewall.</w:t>
      </w:r>
    </w:p>
    <w:p>
      <w:pPr>
        <w:pStyle w:val="Heading1"/>
      </w:pPr>
      <w:r>
        <w:t>9. Minimum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734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No analyst history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Engine runs with OBSERVATIONAL current consensus/revisions; analyst reliability explicitly unavailable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Stale target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Freshness penalty; no fake revision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Two firms disagree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Dispersion/conflict rises; uncertainty widens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Moonshot vs Growth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Evidence scores identical; only sizing/risk constraints differ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Missing price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No executable dollar recommendation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Microcap wide spread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Execution warning and replacement edge reduced or blocked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Candidate better standalone but worsens concentration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Portfolio layer can reject despite high stock score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LLM attempts to set weight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Firewall raises/ignores; code remains authoritative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Report number changed manually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Deterministic claim audit fails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Private holdings file in staged Git diff</w:t>
            </w:r>
          </w:p>
        </w:tc>
        <w:tc>
          <w:tcPr>
            <w:tcW w:type="dxa" w:w="73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CI/pre-commit privacy check fails</w:t>
            </w:r>
          </w:p>
        </w:tc>
      </w:tr>
    </w:tbl>
    <w:p>
      <w:pPr>
        <w:pStyle w:val="Heading1"/>
      </w:pPr>
      <w:r>
        <w:t>10. Attended inputs required from Murat</w:t>
      </w:r>
    </w:p>
    <w:p>
      <w:r>
        <w:t>BUILD-1 should not block on these inputs; use dummy data until supplied. When available, they convert the prototype into the live manager:</w:t>
      </w:r>
    </w:p>
    <w:p>
      <w:pPr>
        <w:pStyle w:val="ListBullet"/>
      </w:pPr>
      <w:r>
        <w:t>Current holdings: ticker, shares, cost basis per share (or total cost), account if more than one.</w:t>
      </w:r>
    </w:p>
    <w:p>
      <w:pPr>
        <w:pStyle w:val="ListBullet"/>
      </w:pPr>
      <w:r>
        <w:t>Current cash balance.</w:t>
      </w:r>
    </w:p>
    <w:p>
      <w:pPr>
        <w:pStyle w:val="ListBullet"/>
      </w:pPr>
      <w:r>
        <w:t>Any non-negotiable constraints: stocks that cannot be sold, maximum position size, sectors to avoid, leverage/options permissions.</w:t>
      </w:r>
    </w:p>
    <w:p>
      <w:pPr>
        <w:pStyle w:val="ListBullet"/>
      </w:pPr>
      <w:r>
        <w:t>Trade history from the Bloomberg-era period, ideally executions with date, ticker, side, quantity/amount and price.</w:t>
      </w:r>
    </w:p>
    <w:p>
      <w:pPr>
        <w:pStyle w:val="ListBullet"/>
      </w:pPr>
      <w:r>
        <w:t>The existing portfolio/watchlist PDF as a historical source snapshot. Preserve the dates in the source; do not overwrite with today’s targets.</w:t>
      </w:r>
    </w:p>
    <w:p>
      <w:pPr>
        <w:pStyle w:val="Heading1"/>
      </w:pPr>
      <w:r>
        <w:t>11. End-of-session STATUS contract</w:t>
      </w:r>
    </w:p>
    <w:p>
      <w:r>
        <w:t>Opus should finish BUILD-1 with a concise status block that answers:</w:t>
      </w:r>
    </w:p>
    <w:p>
      <w:pPr>
        <w:pStyle w:val="ListBullet"/>
      </w:pPr>
      <w:r>
        <w:t>What command produces the morning report?</w:t>
      </w:r>
    </w:p>
    <w:p>
      <w:pPr>
        <w:pStyle w:val="ListBullet"/>
      </w:pPr>
      <w:r>
        <w:t>What fields are live, stale, stubbed or missing?</w:t>
      </w:r>
    </w:p>
    <w:p>
      <w:pPr>
        <w:pStyle w:val="ListBullet"/>
      </w:pPr>
      <w:r>
        <w:t>Which analyst/data sources were actually probed and what coverage was proven?</w:t>
      </w:r>
    </w:p>
    <w:p>
      <w:pPr>
        <w:pStyle w:val="ListBullet"/>
      </w:pPr>
      <w:r>
        <w:t>What recommendation logic is deterministic today?</w:t>
      </w:r>
    </w:p>
    <w:p>
      <w:pPr>
        <w:pStyle w:val="ListBullet"/>
      </w:pPr>
      <w:r>
        <w:t>Which features are VALIDATED versus OBSERVATIONAL?</w:t>
      </w:r>
    </w:p>
    <w:p>
      <w:pPr>
        <w:pStyle w:val="ListBullet"/>
      </w:pPr>
      <w:r>
        <w:t>Can the system ingest the real book without code changes?</w:t>
      </w:r>
    </w:p>
    <w:p>
      <w:pPr>
        <w:pStyle w:val="ListBullet"/>
      </w:pPr>
      <w:r>
        <w:t>What failed and what was preserved?</w:t>
      </w:r>
    </w:p>
    <w:p>
      <w:pPr>
        <w:pStyle w:val="ListBullet"/>
      </w:pPr>
      <w:r>
        <w:t>Which files/receipts were created, what tests pass, and what commits were pushed?</w:t>
      </w:r>
    </w:p>
    <w:p>
      <w:pPr>
        <w:pStyle w:val="ListBullet"/>
      </w:pPr>
      <w:r>
        <w:t>What is the single highest-value next build item?</w:t>
      </w:r>
    </w:p>
    <w:p>
      <w:pPr>
        <w:pStyle w:val="Heading1"/>
      </w:pPr>
      <w:r>
        <w:t>12. Clean copy-paste prompt for Opus</w:t>
      </w:r>
    </w:p>
    <w:p>
      <w:r>
        <w:t>A Markdown version is supplied separately in the helper pack. The short launch instruction is:</w:t>
      </w:r>
    </w:p>
    <w:p>
      <w:pPr>
        <w:pStyle w:val="IntenseQuote"/>
      </w:pPr>
      <w:r>
        <w:t>Run BUILD-1 as a product build, not a research night. B1–B3 are mandatory. Produce an end-to-end morning report for a dummy or real $45k book before polishing secondary features. Preserve the firewall, evidence labels, attended execution, and downside-next-to-upside rule. Reuse existing Aegis services rather than rebuilding them. Do not claim source coverage without endpoint probes. Do not fabricate analyst history. Do not commit private holdings.</w:t>
      </w:r>
    </w:p>
    <w:p>
      <w:pPr>
        <w:pStyle w:val="Heading1"/>
      </w:pPr>
      <w:r>
        <w:t>13. Source note for the reconstruction project</w:t>
      </w:r>
    </w:p>
    <w:p>
      <w:r>
        <w:t>The user-provided 12-page portfolio/watchlist PDF contains dated snapshots of holdings/watchlist ideas, analyst 12-month targets/ratings, and narrative catalyst/risk notes. It should be ingested as a historical evidence source with its original dates retained. It does not contain enough information by itself to reconstruct exact position sizes, cash flows or all executions; those require the trade history/current holdings intake.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Optimus BUILD-1 — Opus Handoff | Retail portfolio manager pivot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