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B07E" w14:textId="77777777" w:rsidR="008C491F" w:rsidRPr="008C491F" w:rsidRDefault="008C491F" w:rsidP="008C49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491F">
        <w:rPr>
          <w:rFonts w:ascii="Times New Roman" w:eastAsia="Times New Roman" w:hAnsi="Times New Roman" w:cs="Times New Roman"/>
          <w:b/>
          <w:bCs/>
          <w:kern w:val="36"/>
          <w:sz w:val="48"/>
          <w:szCs w:val="48"/>
          <w:lang w:eastAsia="en-GB"/>
          <w14:ligatures w14:val="none"/>
        </w:rPr>
        <w:t>Chapter 3: Methodology</w:t>
      </w:r>
    </w:p>
    <w:p w14:paraId="4AE99416" w14:textId="77777777" w:rsidR="008C491F" w:rsidRPr="008C491F" w:rsidRDefault="008C491F" w:rsidP="008C49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C491F">
        <w:rPr>
          <w:rFonts w:ascii="Times New Roman" w:eastAsia="Times New Roman" w:hAnsi="Times New Roman" w:cs="Times New Roman"/>
          <w:b/>
          <w:bCs/>
          <w:kern w:val="0"/>
          <w:sz w:val="36"/>
          <w:szCs w:val="36"/>
          <w:lang w:eastAsia="en-GB"/>
          <w14:ligatures w14:val="none"/>
        </w:rPr>
        <w:t>3.1. Research Framework and Scenario Design</w:t>
      </w:r>
    </w:p>
    <w:p w14:paraId="7DE2E050"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This study employs a quantitative simulation programmed in Python to evaluate the short-term cost-effectiveness of maintenance strategies for offshore wind farms operating under severe metocean constraints. The simulation loop operates on 3-hours temporal resolution to accurately track evolving weather windows.</w:t>
      </w:r>
    </w:p>
    <w:p w14:paraId="03C45DF1"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The core architecture builds upon the framework established by Frederiksen et al. (2024), which evaluated the economic viability of predictive maintenance using an optimal routing model. However, their reference model inherently simplified offshore logistics by assuming continuous, perfect weather conditions (a flat sea state). In reality, maintenance operators require strict meteorological windows to safely deploy technicians. To address this limitation and reflect true offshore operations, this research introduces a dynamic "weather gate" framework.</w:t>
      </w:r>
    </w:p>
    <w:p w14:paraId="1F54AA37"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To comprehensively assess the impact of these metocean constraints, the simulation evaluates a matrix of four distinct scenarios, combining two maintenance strategies with two vessel types:</w:t>
      </w:r>
    </w:p>
    <w:p w14:paraId="0E12B449" w14:textId="77777777" w:rsidR="008C491F" w:rsidRPr="008C491F" w:rsidRDefault="008C491F" w:rsidP="008C491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Preventive Maintenance executed by a Crew Transfer Vessel (CTV).</w:t>
      </w:r>
    </w:p>
    <w:p w14:paraId="7E9AFFC0" w14:textId="77777777" w:rsidR="008C491F" w:rsidRPr="008C491F" w:rsidRDefault="008C491F" w:rsidP="008C491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Predictive Maintenance executed by a CTV.</w:t>
      </w:r>
    </w:p>
    <w:p w14:paraId="1B526189" w14:textId="77777777" w:rsidR="008C491F" w:rsidRPr="008C491F" w:rsidRDefault="008C491F" w:rsidP="008C491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Preventive Maintenance executed by a Service Operation Vessel (SOV).</w:t>
      </w:r>
    </w:p>
    <w:p w14:paraId="4274971E" w14:textId="77777777" w:rsidR="008C491F" w:rsidRPr="008C491F" w:rsidRDefault="008C491F" w:rsidP="008C491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Predictive Maintenance executed by a SOV.</w:t>
      </w:r>
    </w:p>
    <w:p w14:paraId="0DD62548" w14:textId="77777777" w:rsidR="008C491F" w:rsidRPr="008C491F" w:rsidRDefault="008C491F" w:rsidP="008C49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C491F">
        <w:rPr>
          <w:rFonts w:ascii="Times New Roman" w:eastAsia="Times New Roman" w:hAnsi="Times New Roman" w:cs="Times New Roman"/>
          <w:b/>
          <w:bCs/>
          <w:kern w:val="0"/>
          <w:sz w:val="36"/>
          <w:szCs w:val="36"/>
          <w:lang w:eastAsia="en-GB"/>
          <w14:ligatures w14:val="none"/>
        </w:rPr>
        <w:t>3.2. Data Acquisition and Baseline Parameters</w:t>
      </w:r>
    </w:p>
    <w:p w14:paraId="6B60E44A" w14:textId="77777777" w:rsidR="008C491F" w:rsidRPr="008C491F" w:rsidRDefault="008C491F" w:rsidP="008C49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491F">
        <w:rPr>
          <w:rFonts w:ascii="Times New Roman" w:eastAsia="Times New Roman" w:hAnsi="Times New Roman" w:cs="Times New Roman"/>
          <w:b/>
          <w:bCs/>
          <w:kern w:val="0"/>
          <w:sz w:val="27"/>
          <w:szCs w:val="27"/>
          <w:lang w:eastAsia="en-GB"/>
          <w14:ligatures w14:val="none"/>
        </w:rPr>
        <w:t>3.2.1. Wind Farm Location and Foundational Dataset</w:t>
      </w:r>
    </w:p>
    <w:p w14:paraId="1CFFB3A9" w14:textId="77777777" w:rsidR="008C491F" w:rsidRDefault="008C491F" w:rsidP="008C491F">
      <w:pPr>
        <w:spacing w:before="100" w:beforeAutospacing="1" w:after="100" w:afterAutospacing="1" w:line="240" w:lineRule="auto"/>
        <w:rPr>
          <w:noProof/>
        </w:rPr>
      </w:pPr>
      <w:r w:rsidRPr="008C491F">
        <w:rPr>
          <w:rFonts w:ascii="Times New Roman" w:eastAsia="Times New Roman" w:hAnsi="Times New Roman" w:cs="Times New Roman"/>
          <w:kern w:val="0"/>
          <w:lang w:eastAsia="en-GB"/>
          <w14:ligatures w14:val="none"/>
        </w:rPr>
        <w:t>The spatial configuration of the hypothetical wind farm is directly derived from the dataset provided in Frederiksen et al.'s (2024) study on cost-effectiveness. As illustrated in Figure 3.1, the simulation considers a subset of 20 Wind Turbines (WTs) distributed across a 20 km by 15 km area, with specific Cartesian coordinates (X, Y) assigned to each asset to calculate Euclidean routing distances.</w:t>
      </w:r>
      <w:r w:rsidRPr="008C491F">
        <w:rPr>
          <w:noProof/>
        </w:rPr>
        <w:t xml:space="preserve"> </w:t>
      </w:r>
    </w:p>
    <w:p w14:paraId="7F22E05E" w14:textId="1AF0A53C"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Pr>
          <w:noProof/>
        </w:rPr>
        <w:lastRenderedPageBreak/>
        <w:drawing>
          <wp:inline distT="0" distB="0" distL="0" distR="0" wp14:anchorId="250011EA" wp14:editId="08183228">
            <wp:extent cx="4381020" cy="2604052"/>
            <wp:effectExtent l="0" t="0" r="635" b="0"/>
            <wp:docPr id="2117428709" name="Picture 1" descr="A chart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28709" name="Picture 1" descr="A chart with red and green squar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14416" cy="2623902"/>
                    </a:xfrm>
                    <a:prstGeom prst="rect">
                      <a:avLst/>
                    </a:prstGeom>
                  </pic:spPr>
                </pic:pic>
              </a:graphicData>
            </a:graphic>
          </wp:inline>
        </w:drawing>
      </w:r>
    </w:p>
    <w:p w14:paraId="46338855" w14:textId="5B91D6A2" w:rsid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Furthermore, to accurately simulate the predictive maintenance scenario, the daily downtime probabilities ($Pr_{Di}$) for each specific turbine over the 7-day campaign were extracted from Frederiksen et al.'s complementary research on integrated maintenance planning</w:t>
      </w:r>
      <w:r w:rsidR="0051687B">
        <w:rPr>
          <w:rFonts w:ascii="Times New Roman" w:eastAsia="Times New Roman" w:hAnsi="Times New Roman" w:cs="Times New Roman"/>
          <w:kern w:val="0"/>
          <w:lang w:eastAsia="en-GB"/>
          <w14:ligatures w14:val="none"/>
        </w:rPr>
        <w:t xml:space="preserve"> as shown in the Figure 3.2</w:t>
      </w:r>
      <w:r w:rsidRPr="008C491F">
        <w:rPr>
          <w:rFonts w:ascii="Times New Roman" w:eastAsia="Times New Roman" w:hAnsi="Times New Roman" w:cs="Times New Roman"/>
          <w:kern w:val="0"/>
          <w:lang w:eastAsia="en-GB"/>
          <w14:ligatures w14:val="none"/>
        </w:rPr>
        <w:t>. Utilizing this peer-reviewed baseline dataset ensures the foundational inputs of the simulation remain academically rigorous.</w:t>
      </w:r>
    </w:p>
    <w:p w14:paraId="35629A78" w14:textId="4A7DE860"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1400DD08" wp14:editId="5B4884B6">
            <wp:extent cx="4350213" cy="3445565"/>
            <wp:effectExtent l="0" t="0" r="6350" b="0"/>
            <wp:docPr id="68819268" name="Picture 1" descr="A chart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9268" name="Picture 1" descr="A chart with numbers and numb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90087" cy="3477147"/>
                    </a:xfrm>
                    <a:prstGeom prst="rect">
                      <a:avLst/>
                    </a:prstGeom>
                  </pic:spPr>
                </pic:pic>
              </a:graphicData>
            </a:graphic>
          </wp:inline>
        </w:drawing>
      </w:r>
    </w:p>
    <w:p w14:paraId="0D0915FC" w14:textId="6C8255D9"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To provide a realistic metocean context for this layout, the farm was situated off the coast of Aberdeen, in close proximity to the actual European Offshore Wind Deployment Centre (EOWDC). The chosen barycenter coordinates are Latitude: 57.2139, Longitude: -1.9223. Historical hourly Significant Wave Height (H_s) data for this location was extracted from the Copernicus Marine Service (NetCDF files) using a custom Python script (</w:t>
      </w:r>
      <w:r w:rsidRPr="008C491F">
        <w:rPr>
          <w:rFonts w:ascii="Courier New" w:eastAsia="Times New Roman" w:hAnsi="Courier New" w:cs="Courier New"/>
          <w:kern w:val="0"/>
          <w:sz w:val="20"/>
          <w:szCs w:val="20"/>
          <w:lang w:eastAsia="en-GB"/>
          <w14:ligatures w14:val="none"/>
        </w:rPr>
        <w:t>Hs.py</w:t>
      </w:r>
      <w:r w:rsidRPr="008C491F">
        <w:rPr>
          <w:rFonts w:ascii="Times New Roman" w:eastAsia="Times New Roman" w:hAnsi="Times New Roman" w:cs="Times New Roman"/>
          <w:kern w:val="0"/>
          <w:lang w:eastAsia="en-GB"/>
          <w14:ligatures w14:val="none"/>
        </w:rPr>
        <w:t>) with a 3-hour temporal step.</w:t>
      </w:r>
    </w:p>
    <w:p w14:paraId="309D11A8" w14:textId="1090EE49"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lastRenderedPageBreak/>
        <w:t>Crucially, a sensitivity analysis was conducted to evaluate the spatial resolution of the metocean data by extracting H_s values not only for the farm's center but also for its four corners. As shown in Figure 3.</w:t>
      </w:r>
      <w:r w:rsidR="0051687B">
        <w:rPr>
          <w:rFonts w:ascii="Times New Roman" w:eastAsia="Times New Roman" w:hAnsi="Times New Roman" w:cs="Times New Roman"/>
          <w:kern w:val="0"/>
          <w:lang w:eastAsia="en-GB"/>
          <w14:ligatures w14:val="none"/>
        </w:rPr>
        <w:t>3</w:t>
      </w:r>
      <w:r w:rsidRPr="008C491F">
        <w:rPr>
          <w:rFonts w:ascii="Times New Roman" w:eastAsia="Times New Roman" w:hAnsi="Times New Roman" w:cs="Times New Roman"/>
          <w:kern w:val="0"/>
          <w:lang w:eastAsia="en-GB"/>
          <w14:ligatures w14:val="none"/>
        </w:rPr>
        <w:t>, a distinct East-West gradient was observed during low-pressure passages, where the Western edge occasionally dropped below the vessel operational limit while the Eastern edge remained inaccessible. While a highly complex routing algorithm could theoretically exploit these micro-windows, this study maintains the assumption of a single reference point at the farm's center to prevent an explosion of algorithmic complexity, which would shift the project into a dynamic spatio-temporal routing problem beyond the intended scope.</w:t>
      </w:r>
    </w:p>
    <w:p w14:paraId="356EB75E" w14:textId="77777777" w:rsidR="003F6D10" w:rsidRDefault="008C491F" w:rsidP="008C49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Pr>
          <w:noProof/>
        </w:rPr>
        <w:drawing>
          <wp:inline distT="0" distB="0" distL="0" distR="0" wp14:anchorId="1F2733FA" wp14:editId="737D5DDF">
            <wp:extent cx="4903235" cy="2422826"/>
            <wp:effectExtent l="0" t="0" r="0" b="3175"/>
            <wp:docPr id="558708929" name="Picture 2" descr="A graph showing different colo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08929" name="Picture 2" descr="A graph showing different colors and numb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96585" cy="2468953"/>
                    </a:xfrm>
                    <a:prstGeom prst="rect">
                      <a:avLst/>
                    </a:prstGeom>
                  </pic:spPr>
                </pic:pic>
              </a:graphicData>
            </a:graphic>
          </wp:inline>
        </w:drawing>
      </w:r>
    </w:p>
    <w:p w14:paraId="6901AEE0" w14:textId="23BD6F97" w:rsidR="008C491F" w:rsidRPr="008C491F" w:rsidRDefault="008C491F" w:rsidP="008C49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491F">
        <w:rPr>
          <w:rFonts w:ascii="Times New Roman" w:eastAsia="Times New Roman" w:hAnsi="Times New Roman" w:cs="Times New Roman"/>
          <w:b/>
          <w:bCs/>
          <w:kern w:val="0"/>
          <w:sz w:val="27"/>
          <w:szCs w:val="27"/>
          <w:lang w:eastAsia="en-GB"/>
          <w14:ligatures w14:val="none"/>
        </w:rPr>
        <w:t>3.2.2. Vessel Specifications and Logistical Constraints</w:t>
      </w:r>
    </w:p>
    <w:p w14:paraId="009EC27D"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The logistical model contrasts two primary offshore access vessels, parameterized using current industry standards and primary data gathered from Fraser Dobbie (Chief Financial Officer at North Star) during the Global Offshore Wind 2026 conference in Manchester.</w:t>
      </w:r>
    </w:p>
    <w:p w14:paraId="6597D33B" w14:textId="77777777" w:rsidR="008C491F" w:rsidRPr="008C491F" w:rsidRDefault="008C491F" w:rsidP="008C491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b/>
          <w:bCs/>
          <w:kern w:val="0"/>
          <w:lang w:eastAsia="en-GB"/>
          <w14:ligatures w14:val="none"/>
        </w:rPr>
        <w:t>CTV:</w:t>
      </w:r>
      <w:r w:rsidRPr="008C491F">
        <w:rPr>
          <w:rFonts w:ascii="Times New Roman" w:eastAsia="Times New Roman" w:hAnsi="Times New Roman" w:cs="Times New Roman"/>
          <w:kern w:val="0"/>
          <w:lang w:eastAsia="en-GB"/>
          <w14:ligatures w14:val="none"/>
        </w:rPr>
        <w:t xml:space="preserve"> While theoretical specifications often suggest a 1.5m wave limit, industry practice dictates a stricter operational limit of 1.3m $H_s$ to ensure safe technician transfer (Dobbie, 2026). The CTV operates with a transit speed ($V_s$) of 8.0 m/s, a fixed daily charter cost ($FCV$) of €3,400, an active hourly fuel cost ($COF$) of €400, and a daily crew cost ($COL$) of €1,440. CTVs consume fuel primarily during active daily shifts (transit and idling at the turbine).</w:t>
      </w:r>
    </w:p>
    <w:p w14:paraId="0C8F6384" w14:textId="77777777" w:rsidR="008C491F" w:rsidRPr="008C491F" w:rsidRDefault="008C491F" w:rsidP="008C491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b/>
          <w:bCs/>
          <w:kern w:val="0"/>
          <w:lang w:eastAsia="en-GB"/>
          <w14:ligatures w14:val="none"/>
        </w:rPr>
        <w:t>SOV:</w:t>
      </w:r>
      <w:r w:rsidRPr="008C491F">
        <w:rPr>
          <w:rFonts w:ascii="Times New Roman" w:eastAsia="Times New Roman" w:hAnsi="Times New Roman" w:cs="Times New Roman"/>
          <w:kern w:val="0"/>
          <w:lang w:eastAsia="en-GB"/>
          <w14:ligatures w14:val="none"/>
        </w:rPr>
        <w:t xml:space="preserve"> Designed for harsher environments, the SOV can theoretically operate in up to 3.5m $H_s$. However, operations are practically restricted by wind speeds exceeding 40 knots, which prevents safe technician transfer. The SOV operates with a transit speed of 6.2 m/s, a daily $FCV$ of €35,000, and a $COL$ of €4,500. Regarding fuel, the SOV consumes approximately 3.5 tonnes of Marine Gas Oil (MGO) per day. Based on the Rotterdam MGO market price (June 2026) of $875/t (€767/t), the raw fuel cost is approximately €2,686 per day. To account for port bunkering and logistical fees, this is rounded to a fixed rate of €3,000 per day. Unlike CTVs, SOVs inherently consume fuel continuously over a 24-hour cycle to maintain offshore dynamic positioning and hotel loads.</w:t>
      </w:r>
    </w:p>
    <w:p w14:paraId="73E97F2A" w14:textId="77777777" w:rsidR="008C491F" w:rsidRPr="008C491F" w:rsidRDefault="008C491F" w:rsidP="008C49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491F">
        <w:rPr>
          <w:rFonts w:ascii="Times New Roman" w:eastAsia="Times New Roman" w:hAnsi="Times New Roman" w:cs="Times New Roman"/>
          <w:b/>
          <w:bCs/>
          <w:kern w:val="0"/>
          <w:sz w:val="27"/>
          <w:szCs w:val="27"/>
          <w:lang w:eastAsia="en-GB"/>
          <w14:ligatures w14:val="none"/>
        </w:rPr>
        <w:t>3.2.3. Economic and Wind Farm Baselines</w:t>
      </w:r>
    </w:p>
    <w:p w14:paraId="5FC061A5"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lastRenderedPageBreak/>
        <w:t>Aligning with the parameters from Frederiksen et al., the WTs have a nominal power of 3.6 MW. Revenue losses are calculated using a wind efficiency factor ($W_{factor}$) of 0.9 and an assumed energy market price ($Price_{MWh}$) of €168/MWh. The mean duration of an unprevented downtime event ($h_{downtime}$) is 3.5 hours. Standard maintenance tasks require a service time ($TS$) of 120 minutes and a mobilization time ($TI$) of 15 minutes per turbine, constrained within a maximum 12-hour working day limit ($H$).</w:t>
      </w:r>
    </w:p>
    <w:p w14:paraId="726EECA7" w14:textId="77777777" w:rsidR="008C491F" w:rsidRDefault="008C491F" w:rsidP="008C49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C491F">
        <w:rPr>
          <w:rFonts w:ascii="Times New Roman" w:eastAsia="Times New Roman" w:hAnsi="Times New Roman" w:cs="Times New Roman"/>
          <w:b/>
          <w:bCs/>
          <w:kern w:val="0"/>
          <w:sz w:val="36"/>
          <w:szCs w:val="36"/>
          <w:lang w:eastAsia="en-GB"/>
          <w14:ligatures w14:val="none"/>
        </w:rPr>
        <w:t>3.3. Simulation Architecture and Algorithmic Logic</w:t>
      </w:r>
    </w:p>
    <w:p w14:paraId="11BC07F0" w14:textId="5DC3A298" w:rsidR="00383FE5" w:rsidRDefault="00383FE5" w:rsidP="008C491F">
      <w:pPr>
        <w:spacing w:before="100" w:beforeAutospacing="1" w:after="100" w:afterAutospacing="1" w:line="240" w:lineRule="auto"/>
        <w:outlineLvl w:val="1"/>
      </w:pPr>
      <w:r>
        <w:t>Figure 3.X details the comprehensive architectural logic and decision trees driving the simulation loop.</w:t>
      </w:r>
    </w:p>
    <w:p w14:paraId="79377B5E" w14:textId="4328BCCB" w:rsidR="00383FE5" w:rsidRPr="008C491F" w:rsidRDefault="00383FE5" w:rsidP="008C49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noProof/>
          <w:kern w:val="0"/>
          <w:sz w:val="36"/>
          <w:szCs w:val="36"/>
          <w:lang w:eastAsia="en-GB"/>
        </w:rPr>
        <w:lastRenderedPageBreak/>
        <w:drawing>
          <wp:inline distT="0" distB="0" distL="0" distR="0" wp14:anchorId="0CDF87B3" wp14:editId="4B795BB5">
            <wp:extent cx="2637790" cy="8863330"/>
            <wp:effectExtent l="0" t="0" r="3810" b="1270"/>
            <wp:docPr id="1772004297"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04297" name="Picture 2" descr="A diagram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7790" cy="8863330"/>
                    </a:xfrm>
                    <a:prstGeom prst="rect">
                      <a:avLst/>
                    </a:prstGeom>
                  </pic:spPr>
                </pic:pic>
              </a:graphicData>
            </a:graphic>
          </wp:inline>
        </w:drawing>
      </w:r>
    </w:p>
    <w:p w14:paraId="2479AA39" w14:textId="77777777" w:rsidR="008C491F" w:rsidRPr="008C491F" w:rsidRDefault="008C491F" w:rsidP="008C49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491F">
        <w:rPr>
          <w:rFonts w:ascii="Times New Roman" w:eastAsia="Times New Roman" w:hAnsi="Times New Roman" w:cs="Times New Roman"/>
          <w:b/>
          <w:bCs/>
          <w:kern w:val="0"/>
          <w:sz w:val="27"/>
          <w:szCs w:val="27"/>
          <w:lang w:eastAsia="en-GB"/>
          <w14:ligatures w14:val="none"/>
        </w:rPr>
        <w:lastRenderedPageBreak/>
        <w:t>3.3.1. Simulation Loop and Rolling Horizon Planning</w:t>
      </w:r>
    </w:p>
    <w:p w14:paraId="6A84013B"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The simulation operates on a Rolling Horizon Planning logic. Rather than generating a static, rigid maintenance queue at the beginning of a campaign, the algorithm performs a global re-prioritization at the start of every operational day. This ensures that the dispatch logic dynamically adapts to weather-induced delays and evolving turbine risks.</w:t>
      </w:r>
    </w:p>
    <w:p w14:paraId="65301AEF"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This programming logic deliberately diverges from the constraint optimization approach utilized by Frederiksen et al. While literature often relies on commercial Mixed-Integer Linear Programming (MILP) solvers like IBM ILOG CPLEX for maintenance scheduling, the combinatorial explosion associated with integrating severe hourly metocean constraints rendered free-tier solver limits (typically capped at 1,000 constraints) unviable. Therefore, a custom Python-based heuristic combining daily risk-prioritization with an exact combinatorial routing algorithm was developed, ensuring computational independence and total adaptability to dynamic weather windows.</w:t>
      </w:r>
    </w:p>
    <w:p w14:paraId="01862F40" w14:textId="77777777" w:rsidR="008C491F" w:rsidRPr="008C491F" w:rsidRDefault="008C491F" w:rsidP="008C49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491F">
        <w:rPr>
          <w:rFonts w:ascii="Times New Roman" w:eastAsia="Times New Roman" w:hAnsi="Times New Roman" w:cs="Times New Roman"/>
          <w:b/>
          <w:bCs/>
          <w:kern w:val="0"/>
          <w:sz w:val="27"/>
          <w:szCs w:val="27"/>
          <w:lang w:eastAsia="en-GB"/>
          <w14:ligatures w14:val="none"/>
        </w:rPr>
        <w:t>3.3.2. Target Selection</w:t>
      </w:r>
    </w:p>
    <w:p w14:paraId="13CF575C"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Target prioritization varies fundamentally between the two maintenance strategies:</w:t>
      </w:r>
    </w:p>
    <w:p w14:paraId="1457253D" w14:textId="77777777" w:rsidR="008C491F" w:rsidRPr="008C491F" w:rsidRDefault="008C491F" w:rsidP="008C491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b/>
          <w:bCs/>
          <w:kern w:val="0"/>
          <w:lang w:eastAsia="en-GB"/>
          <w14:ligatures w14:val="none"/>
        </w:rPr>
        <w:t>Preventive Strategy:</w:t>
      </w:r>
      <w:r w:rsidRPr="008C491F">
        <w:rPr>
          <w:rFonts w:ascii="Times New Roman" w:eastAsia="Times New Roman" w:hAnsi="Times New Roman" w:cs="Times New Roman"/>
          <w:kern w:val="0"/>
          <w:lang w:eastAsia="en-GB"/>
          <w14:ligatures w14:val="none"/>
        </w:rPr>
        <w:t xml:space="preserve"> Turbines are prioritized iteratively based on direct geographic proximity (Euclidean distance) to either the logistical base or the most recently serviced turbine.</w:t>
      </w:r>
    </w:p>
    <w:p w14:paraId="6E3C58B5" w14:textId="77777777" w:rsidR="008C491F" w:rsidRPr="008C491F" w:rsidRDefault="008C491F" w:rsidP="008C491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b/>
          <w:bCs/>
          <w:kern w:val="0"/>
          <w:lang w:eastAsia="en-GB"/>
          <w14:ligatures w14:val="none"/>
        </w:rPr>
        <w:t>Predictive Strategy:</w:t>
      </w:r>
      <w:r w:rsidRPr="008C491F">
        <w:rPr>
          <w:rFonts w:ascii="Times New Roman" w:eastAsia="Times New Roman" w:hAnsi="Times New Roman" w:cs="Times New Roman"/>
          <w:kern w:val="0"/>
          <w:lang w:eastAsia="en-GB"/>
          <w14:ligatures w14:val="none"/>
        </w:rPr>
        <w:t xml:space="preserve"> Turbines are ranked strictly by their Predictive Risk Score ($Pr_{Di}$), prioritizing assets with the highest probability of imminent failure. Each day, a subgroup of maximum 6 turbines is selected to form the primary target list. Crucially, because these high-risk assets are geographically scattered across the wind farm, the logistics cannot simply default to visiting the "nearest" turbine. Instead, the simulation computes a globally optimized route.</w:t>
      </w:r>
    </w:p>
    <w:p w14:paraId="1C23FB26" w14:textId="77777777" w:rsidR="008C491F" w:rsidRPr="008C491F" w:rsidRDefault="008C491F" w:rsidP="008C49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491F">
        <w:rPr>
          <w:rFonts w:ascii="Times New Roman" w:eastAsia="Times New Roman" w:hAnsi="Times New Roman" w:cs="Times New Roman"/>
          <w:b/>
          <w:bCs/>
          <w:kern w:val="0"/>
          <w:sz w:val="27"/>
          <w:szCs w:val="27"/>
          <w:lang w:eastAsia="en-GB"/>
          <w14:ligatures w14:val="none"/>
        </w:rPr>
        <w:t>3.3.3. Routing Algorithm and Time Window Constraints</w:t>
      </w:r>
    </w:p>
    <w:p w14:paraId="2B66A55E"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To minimize transit time and fuel consumption when servicing the scattered targets, the daily vessel route is optimized using a custom Traveling Salesperson Problem (TSP) solver. For any given subgroup, the algorithm utilizes combinatorial logic (</w:t>
      </w:r>
      <w:r w:rsidRPr="008C491F">
        <w:rPr>
          <w:rFonts w:ascii="Courier New" w:eastAsia="Times New Roman" w:hAnsi="Courier New" w:cs="Courier New"/>
          <w:kern w:val="0"/>
          <w:sz w:val="20"/>
          <w:szCs w:val="20"/>
          <w:lang w:eastAsia="en-GB"/>
          <w14:ligatures w14:val="none"/>
        </w:rPr>
        <w:t>itertools.permutations</w:t>
      </w:r>
      <w:r w:rsidRPr="008C491F">
        <w:rPr>
          <w:rFonts w:ascii="Times New Roman" w:eastAsia="Times New Roman" w:hAnsi="Times New Roman" w:cs="Times New Roman"/>
          <w:kern w:val="0"/>
          <w:lang w:eastAsia="en-GB"/>
          <w14:ligatures w14:val="none"/>
        </w:rPr>
        <w:t xml:space="preserve"> in Python) to generate all possible visiting orders.</w:t>
      </w:r>
    </w:p>
    <w:p w14:paraId="1BE2C258"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For each permutation, the solver calculates the cumulative Euclidean distance ($d$), starting from the base coordinates, travelling through each turbine, and returning to the base:</w:t>
      </w:r>
    </w:p>
    <w:p w14:paraId="65467079" w14:textId="77777777" w:rsidR="008C491F" w:rsidRPr="008C491F" w:rsidRDefault="008C491F" w:rsidP="008C491F">
      <w:pPr>
        <w:spacing w:after="0"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$$d = \sqrt{(X_2 - X_1)^2 + (Y_2 - Y_1)^2}$$</w:t>
      </w:r>
    </w:p>
    <w:p w14:paraId="5A55CF3C"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The sequence yielding the absolute minimum total distance ($D_{total}$) is recorded as the optimal route. The total duration of the daily mission ($Shift\_Time$, in hours) for this $N$-turbine route is computed as the sum of transit time and operational time:</w:t>
      </w:r>
    </w:p>
    <w:p w14:paraId="28FC259D" w14:textId="77777777" w:rsidR="008C491F" w:rsidRPr="008C491F" w:rsidRDefault="008C491F" w:rsidP="008C491F">
      <w:pPr>
        <w:spacing w:after="0"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$$Shift\_Time = \left( \frac{D_{total}}{V_s \times 3.6} \right) + \frac{N \times (TS + 2 \times TI)}{60}$$</w:t>
      </w:r>
    </w:p>
    <w:p w14:paraId="6C3BB254"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lastRenderedPageBreak/>
        <w:t>To enforce the 12-hour operational limit ($H$), a "Fallback Queue" mechanism is implemented. If the optimized $Shift\_Time$ exceeds $H$, the algorithm iteratively removes the furthest turbine from the day's subgroup and recalculates the TSP route until a compliant schedule is achieved.</w:t>
      </w:r>
    </w:p>
    <w:p w14:paraId="4935267E" w14:textId="77777777" w:rsidR="008C491F" w:rsidRPr="008C491F" w:rsidRDefault="008C491F" w:rsidP="008C49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C491F">
        <w:rPr>
          <w:rFonts w:ascii="Times New Roman" w:eastAsia="Times New Roman" w:hAnsi="Times New Roman" w:cs="Times New Roman"/>
          <w:b/>
          <w:bCs/>
          <w:kern w:val="0"/>
          <w:sz w:val="36"/>
          <w:szCs w:val="36"/>
          <w:lang w:eastAsia="en-GB"/>
          <w14:ligatures w14:val="none"/>
        </w:rPr>
        <w:t>3.4. The Weather Gate: Metocean Operational Constraints</w:t>
      </w:r>
    </w:p>
    <w:p w14:paraId="171291DB"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A defining, novel feature of this methodology is the integration of high-resolution weather constraints. Once a compliant route is generated, a dynamic weather check evaluates the $H_s$ along the required continuous working hours. Since the metocean data operates on a 3-hour temporal resolution, the required number of clear weather blocks is calculated as:</w:t>
      </w:r>
    </w:p>
    <w:p w14:paraId="3E724F7B" w14:textId="77777777" w:rsidR="008C491F" w:rsidRPr="008C491F" w:rsidRDefault="008C491F" w:rsidP="008C491F">
      <w:pPr>
        <w:spacing w:after="0"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$$Blocks = \lceil \frac{Shift\_Time}{3} \rceil$$</w:t>
      </w:r>
    </w:p>
    <w:p w14:paraId="4260021E" w14:textId="77777777" w:rsid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If the maximum significant wave height during these required blocks exceeds the vessel's specific operational limit ($\max(H_s) &gt; Vessel\_Limit$), an Abort &amp; Push protocol is triggered. The mission for that specific group size is aborted, and the algorithm attempts to route a smaller subgroup. If even a single turbine cannot be safely accessed, a "No-Go" day is declared, all targets are pushed to the following day, and downtime penalties continue to accrue.</w:t>
      </w:r>
    </w:p>
    <w:p w14:paraId="457311BB" w14:textId="2B6D4071" w:rsidR="00383FE5" w:rsidRPr="008C491F" w:rsidRDefault="00383FE5" w:rsidP="00383FE5">
      <w:pPr>
        <w:pStyle w:val="NormalWeb"/>
      </w:pPr>
      <w:r>
        <w:t>Conversely, if the weather check is successful, the mission is executed. Crucially, the simulation is stateful: serviced turbines are explicitly marked as "repaired" and permanently filtered out of the target list for the remainder of the campaign. Furthermore, an "Early Demobilization" protocol evaluates the global state of the wind farm at the end of each day. If all targeted turbines are successfully repaired before the 7-day campaign concludes, the simulation terminates early, halting the accumulation of daily fixed vessel and crew costs ($FCV$ and $COL$) for the unused days.</w:t>
      </w:r>
    </w:p>
    <w:p w14:paraId="783E09F8" w14:textId="77777777" w:rsidR="008C491F" w:rsidRPr="008C491F" w:rsidRDefault="008C491F" w:rsidP="008C49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C491F">
        <w:rPr>
          <w:rFonts w:ascii="Times New Roman" w:eastAsia="Times New Roman" w:hAnsi="Times New Roman" w:cs="Times New Roman"/>
          <w:b/>
          <w:bCs/>
          <w:kern w:val="0"/>
          <w:sz w:val="36"/>
          <w:szCs w:val="36"/>
          <w:lang w:eastAsia="en-GB"/>
          <w14:ligatures w14:val="none"/>
        </w:rPr>
        <w:t>3.5. Financial and Campaign Performance Evaluation</w:t>
      </w:r>
    </w:p>
    <w:p w14:paraId="7F115D76"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The core objective is to financially evaluate the impact of the operational logistics. The performance of the campaign is measured by the operational profit equation proposed by Frederiksen et al. (2024):</w:t>
      </w:r>
    </w:p>
    <w:p w14:paraId="583B6722" w14:textId="77777777" w:rsidR="008C491F" w:rsidRPr="008C491F" w:rsidRDefault="008C491F" w:rsidP="008C491F">
      <w:pPr>
        <w:spacing w:after="0"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$$P_T = Rev_T - CoD_T - CS_T - CPS_T$$</w:t>
      </w:r>
    </w:p>
    <w:p w14:paraId="79F07983"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In their model, the total net profit ($P_T$) is defined as the actual revenue generated minus the logistical costs ($CS_T$) and the AI implementation costs ($CPS_T$). The actual revenue itself is calculated by subtracting the Cost of Downtime ($CoD_T$) from the potential maximum revenue ($Rev_T$).</w:t>
      </w:r>
    </w:p>
    <w:p w14:paraId="19728197" w14:textId="77777777" w:rsidR="008C491F" w:rsidRPr="008C491F" w:rsidRDefault="008C491F" w:rsidP="008C49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491F">
        <w:rPr>
          <w:rFonts w:ascii="Times New Roman" w:eastAsia="Times New Roman" w:hAnsi="Times New Roman" w:cs="Times New Roman"/>
          <w:b/>
          <w:bCs/>
          <w:kern w:val="0"/>
          <w:sz w:val="27"/>
          <w:szCs w:val="27"/>
          <w:lang w:eastAsia="en-GB"/>
          <w14:ligatures w14:val="none"/>
        </w:rPr>
        <w:t>3.5.1. Maximum Revenue and Cost of Downtime ($Rev_T$ &amp; $CoD_T$)</w:t>
      </w:r>
    </w:p>
    <w:p w14:paraId="58E24004"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The Maximum Potential Revenue ($Rev_T$) represents the theoretical income generated if all turbines operated flawlessly. For a single turbine, the hourly revenue potential ($Rev_{hour}$) is:</w:t>
      </w:r>
    </w:p>
    <w:p w14:paraId="7ABEC233" w14:textId="77777777" w:rsidR="008C491F" w:rsidRPr="008C491F" w:rsidRDefault="008C491F" w:rsidP="008C491F">
      <w:pPr>
        <w:spacing w:after="0"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lastRenderedPageBreak/>
        <w:t>$$Rev_{hour} = MW \times Price_{MWh} \times W_{factor} \times Discount$$</w:t>
      </w:r>
    </w:p>
    <w:p w14:paraId="032D1C30"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To calculate the penalties subtracted from this revenue under a predictive framework, the expected number of failure events per turbine ($E_{expected}$) is determined based on the AI's predictive accuracy:</w:t>
      </w:r>
    </w:p>
    <w:p w14:paraId="749F0213" w14:textId="77777777" w:rsidR="008C491F" w:rsidRPr="008C491F" w:rsidRDefault="008C491F" w:rsidP="008C491F">
      <w:pPr>
        <w:spacing w:after="0"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$$E_{expected} = (Pr_D \times MSTP) + ((1 - Pr_D) \times MSFN)$$</w:t>
      </w:r>
    </w:p>
    <w:p w14:paraId="131F8C4B"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In this formulation, derived from Frederiksen's efficiency framework, reliability is quantified using two critical membership scores. The Membership Score True Positive ($MSTP$) represents the probability that the AI correctly identifies a degrading turbine. Conversely, the Membership Score False Negative ($MSFN$) signifies the critical error rate where the AI fails to predict an imminent breakdown. $Pr_D$ represents the inherent baseline probability of degradation (as extracted from the dataset over the 7-day campaign).</w:t>
      </w:r>
    </w:p>
    <w:p w14:paraId="3C55C72D"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Consequently, $E_{expected}$ encapsulates both the failures the AI successfully anticipates and the unanticipated failures resulting from the $MSFN$ gap. A high $MSFN$ inevitably leads to unexpected downtime.</w:t>
      </w:r>
    </w:p>
    <w:p w14:paraId="41C6F073" w14:textId="77777777" w:rsidR="008C491F" w:rsidRPr="008C491F" w:rsidRDefault="008C491F" w:rsidP="008C49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For every expected failure that is not prevented—either due to low risk prioritization or weather-induced "No-Go" days—the Cost of Downtime ($CoD_T$) actively accumulates:</w:t>
      </w:r>
    </w:p>
    <w:p w14:paraId="6D92A2A7" w14:textId="08034339" w:rsidR="008E5087" w:rsidRDefault="008C491F" w:rsidP="008C491F">
      <w:pPr>
        <w:rPr>
          <w:rFonts w:ascii="Times New Roman" w:eastAsia="Times New Roman" w:hAnsi="Times New Roman" w:cs="Times New Roman"/>
          <w:kern w:val="0"/>
          <w:lang w:eastAsia="en-GB"/>
          <w14:ligatures w14:val="none"/>
        </w:rPr>
      </w:pPr>
      <w:r w:rsidRPr="008C491F">
        <w:rPr>
          <w:rFonts w:ascii="Times New Roman" w:eastAsia="Times New Roman" w:hAnsi="Times New Roman" w:cs="Times New Roman"/>
          <w:kern w:val="0"/>
          <w:lang w:eastAsia="en-GB"/>
          <w14:ligatures w14:val="none"/>
        </w:rPr>
        <w:t>$$CoD_T = \sum_{days} \left( \max(0, E_{expected} - E_{prevented}) \times h_{downtime} \times Rev_{hour} \right)$$</w:t>
      </w:r>
    </w:p>
    <w:p w14:paraId="21EE3766" w14:textId="16A5B06B" w:rsidR="00383FE5" w:rsidRPr="00383FE5" w:rsidRDefault="00383FE5" w:rsidP="00383F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83FE5">
        <w:rPr>
          <w:rFonts w:ascii="Times New Roman" w:eastAsia="Times New Roman" w:hAnsi="Times New Roman" w:cs="Times New Roman"/>
          <w:b/>
          <w:bCs/>
          <w:kern w:val="0"/>
          <w:sz w:val="36"/>
          <w:szCs w:val="36"/>
          <w:lang w:eastAsia="en-GB"/>
          <w14:ligatures w14:val="none"/>
        </w:rPr>
        <w:t xml:space="preserve">3.6. Data Logging and </w:t>
      </w:r>
      <w:r w:rsidR="00B2233B">
        <w:rPr>
          <w:rFonts w:ascii="Times New Roman" w:eastAsia="Times New Roman" w:hAnsi="Times New Roman" w:cs="Times New Roman"/>
          <w:b/>
          <w:bCs/>
          <w:kern w:val="0"/>
          <w:sz w:val="36"/>
          <w:szCs w:val="36"/>
          <w:lang w:eastAsia="en-GB"/>
          <w14:ligatures w14:val="none"/>
        </w:rPr>
        <w:t>R</w:t>
      </w:r>
      <w:r w:rsidRPr="00383FE5">
        <w:rPr>
          <w:rFonts w:ascii="Times New Roman" w:eastAsia="Times New Roman" w:hAnsi="Times New Roman" w:cs="Times New Roman"/>
          <w:b/>
          <w:bCs/>
          <w:kern w:val="0"/>
          <w:sz w:val="36"/>
          <w:szCs w:val="36"/>
          <w:lang w:eastAsia="en-GB"/>
          <w14:ligatures w14:val="none"/>
        </w:rPr>
        <w:t>eproducibility</w:t>
      </w:r>
    </w:p>
    <w:p w14:paraId="4ACFFF66" w14:textId="4EB6F288" w:rsidR="00383FE5" w:rsidRPr="00383FE5" w:rsidRDefault="00383FE5" w:rsidP="00383FE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3FE5">
        <w:rPr>
          <w:rFonts w:ascii="Times New Roman" w:eastAsia="Times New Roman" w:hAnsi="Times New Roman" w:cs="Times New Roman"/>
          <w:kern w:val="0"/>
          <w:lang w:eastAsia="en-GB"/>
          <w14:ligatures w14:val="none"/>
        </w:rPr>
        <w:t xml:space="preserve">To ensure the reliability and reproducibility of the quantitative outcomes, an automated data pipeline is integrated into the simulation's conclusion. For every scenario executed, the Python model generates daily spatial visualisations of the vessel itineraries. These route maps allow for the visual verification of the TSP solver's behaviour, illustrating geographic clustering and track efficiency. Additionally, the system automatically exports comprehensive financial summaries, logs of </w:t>
      </w:r>
      <w:r w:rsidR="00B2233B">
        <w:rPr>
          <w:rFonts w:ascii="Times New Roman" w:eastAsia="Times New Roman" w:hAnsi="Times New Roman" w:cs="Times New Roman"/>
          <w:kern w:val="0"/>
          <w:lang w:eastAsia="en-GB"/>
          <w14:ligatures w14:val="none"/>
        </w:rPr>
        <w:t xml:space="preserve">expected, </w:t>
      </w:r>
      <w:r w:rsidRPr="00383FE5">
        <w:rPr>
          <w:rFonts w:ascii="Times New Roman" w:eastAsia="Times New Roman" w:hAnsi="Times New Roman" w:cs="Times New Roman"/>
          <w:kern w:val="0"/>
          <w:lang w:eastAsia="en-GB"/>
          <w14:ligatures w14:val="none"/>
        </w:rPr>
        <w:t xml:space="preserve">prevented </w:t>
      </w:r>
      <w:r w:rsidR="00B2233B">
        <w:rPr>
          <w:rFonts w:ascii="Times New Roman" w:eastAsia="Times New Roman" w:hAnsi="Times New Roman" w:cs="Times New Roman"/>
          <w:kern w:val="0"/>
          <w:lang w:eastAsia="en-GB"/>
          <w14:ligatures w14:val="none"/>
        </w:rPr>
        <w:t>and</w:t>
      </w:r>
      <w:r w:rsidRPr="00383FE5">
        <w:rPr>
          <w:rFonts w:ascii="Times New Roman" w:eastAsia="Times New Roman" w:hAnsi="Times New Roman" w:cs="Times New Roman"/>
          <w:kern w:val="0"/>
          <w:lang w:eastAsia="en-GB"/>
          <w14:ligatures w14:val="none"/>
        </w:rPr>
        <w:t xml:space="preserve"> </w:t>
      </w:r>
      <w:r w:rsidR="00B2233B">
        <w:rPr>
          <w:rFonts w:ascii="Times New Roman" w:eastAsia="Times New Roman" w:hAnsi="Times New Roman" w:cs="Times New Roman"/>
          <w:kern w:val="0"/>
          <w:lang w:eastAsia="en-GB"/>
          <w14:ligatures w14:val="none"/>
        </w:rPr>
        <w:t xml:space="preserve">predicted </w:t>
      </w:r>
      <w:r w:rsidRPr="00383FE5">
        <w:rPr>
          <w:rFonts w:ascii="Times New Roman" w:eastAsia="Times New Roman" w:hAnsi="Times New Roman" w:cs="Times New Roman"/>
          <w:kern w:val="0"/>
          <w:lang w:eastAsia="en-GB"/>
          <w14:ligatures w14:val="none"/>
        </w:rPr>
        <w:t>downtime events, and the specific initial configuration parameters into structured tabular formats (CSV). This systematic archiving ensures that the economic comparisons presented in the results chapter are fully traceable to their simulated metocean conditions and initial constraints.</w:t>
      </w:r>
    </w:p>
    <w:p w14:paraId="2885C080" w14:textId="77777777" w:rsidR="00383FE5" w:rsidRPr="00383FE5" w:rsidRDefault="00383FE5" w:rsidP="00383F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83FE5">
        <w:rPr>
          <w:rFonts w:ascii="Times New Roman" w:eastAsia="Times New Roman" w:hAnsi="Times New Roman" w:cs="Times New Roman"/>
          <w:b/>
          <w:bCs/>
          <w:kern w:val="0"/>
          <w:sz w:val="36"/>
          <w:szCs w:val="36"/>
          <w:lang w:eastAsia="en-GB"/>
          <w14:ligatures w14:val="none"/>
        </w:rPr>
        <w:t>3.7. Model Assumptions and Limitations</w:t>
      </w:r>
    </w:p>
    <w:p w14:paraId="2E36BD2D" w14:textId="77777777" w:rsidR="00383FE5" w:rsidRPr="00383FE5" w:rsidRDefault="00383FE5" w:rsidP="00383FE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3FE5">
        <w:rPr>
          <w:rFonts w:ascii="Times New Roman" w:eastAsia="Times New Roman" w:hAnsi="Times New Roman" w:cs="Times New Roman"/>
          <w:kern w:val="0"/>
          <w:lang w:eastAsia="en-GB"/>
          <w14:ligatures w14:val="none"/>
        </w:rPr>
        <w:t>To maintain computational feasibility while integrating severe hourly metocean constraints, the logistical model was simplified to a single-team sequential routing approach (TSP) rather than a highly complex Pickup and Delivery Problem with Time Windows (PDPTW). While real-world operations often utilize a 'hop-on/hop-off' strategy to service turbines in parallel, this assumption is applied uniformly across all scenarios and therefore does not skew the comparative financial outcomes between CTVs and SOVs.</w:t>
      </w:r>
    </w:p>
    <w:p w14:paraId="0504368D" w14:textId="77777777" w:rsidR="00383FE5" w:rsidRPr="00383FE5" w:rsidRDefault="00383FE5" w:rsidP="00383FE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3FE5">
        <w:rPr>
          <w:rFonts w:ascii="Times New Roman" w:eastAsia="Times New Roman" w:hAnsi="Times New Roman" w:cs="Times New Roman"/>
          <w:kern w:val="0"/>
          <w:lang w:eastAsia="en-GB"/>
          <w14:ligatures w14:val="none"/>
        </w:rPr>
        <w:t xml:space="preserve">Furthermore, regarding spatial resolution, the metocean data ($H_s$) was extracted for the farm's barycenter. Preliminary sensitivity analysis indicated an East-West wave gradient </w:t>
      </w:r>
      <w:r w:rsidRPr="00383FE5">
        <w:rPr>
          <w:rFonts w:ascii="Times New Roman" w:eastAsia="Times New Roman" w:hAnsi="Times New Roman" w:cs="Times New Roman"/>
          <w:kern w:val="0"/>
          <w:lang w:eastAsia="en-GB"/>
          <w14:ligatures w14:val="none"/>
        </w:rPr>
        <w:lastRenderedPageBreak/>
        <w:t>across the 20km by 15km area during low-pressure systems, suggesting the potential for micro-windows on the farm's edges. However, to prevent combinatorial explosion and maintain focus on the overarching economic comparison, the single-reference-point assumption was maintained, aligning with standard industrial simplifications.</w:t>
      </w:r>
    </w:p>
    <w:p w14:paraId="357A6072" w14:textId="77777777" w:rsidR="00383FE5" w:rsidRDefault="00383FE5" w:rsidP="008C491F"/>
    <w:p w14:paraId="164581A6" w14:textId="7E797FF9" w:rsidR="006B2F38" w:rsidRDefault="006B2F38" w:rsidP="008C491F">
      <w:r>
        <w:t>Suite</w:t>
      </w:r>
    </w:p>
    <w:p w14:paraId="75F9D9D6" w14:textId="2F89BD8E" w:rsidR="006B2F38" w:rsidRDefault="006B2F38" w:rsidP="006B2F38">
      <w:pPr>
        <w:pStyle w:val="ListParagraph"/>
        <w:numPr>
          <w:ilvl w:val="0"/>
          <w:numId w:val="4"/>
        </w:numPr>
      </w:pPr>
      <w:r>
        <w:t>Tester mes 4 scénarios dans des conditions contrastées</w:t>
      </w:r>
    </w:p>
    <w:p w14:paraId="445F992B" w14:textId="405B2BBD" w:rsidR="006B2F38" w:rsidRDefault="006B2F38" w:rsidP="006B2F38">
      <w:pPr>
        <w:pStyle w:val="ListParagraph"/>
        <w:numPr>
          <w:ilvl w:val="0"/>
          <w:numId w:val="4"/>
        </w:numPr>
      </w:pPr>
      <w:r>
        <w:t>Je vais choisir une semaine typique d’hiver et une semaine typique d’été car</w:t>
      </w:r>
    </w:p>
    <w:p w14:paraId="7E2ABF1D" w14:textId="50F62C36" w:rsidR="006B2F38" w:rsidRDefault="006B2F38" w:rsidP="006B2F38">
      <w:pPr>
        <w:pStyle w:val="ListParagraph"/>
        <w:numPr>
          <w:ilvl w:val="0"/>
          <w:numId w:val="4"/>
        </w:numPr>
      </w:pPr>
      <w:r>
        <w:t xml:space="preserve">La semaine d’hiver teste mon algorythme face aux no-go et aux contraintes meteorologiques sévères, mon CTV sera probablement souvent bloqué au port à cause des vagues trop importantes et mon SOV sera peut etre lui aussi sujet a des no go </w:t>
      </w:r>
    </w:p>
    <w:p w14:paraId="32FC3F64" w14:textId="74F66687" w:rsidR="006B2F38" w:rsidRDefault="006B2F38" w:rsidP="006B2F38">
      <w:pPr>
        <w:pStyle w:val="ListParagraph"/>
        <w:numPr>
          <w:ilvl w:val="0"/>
          <w:numId w:val="4"/>
        </w:numPr>
      </w:pPr>
      <w:r>
        <w:t>La semaine d’été permet de tester l’efficacité logistique de mon modèle et de se retrouver dans des cas de early demobilization lorsque la fenetre meteo le permet</w:t>
      </w:r>
    </w:p>
    <w:p w14:paraId="3D4D22F6" w14:textId="5AE09DFC" w:rsidR="006B2F38" w:rsidRDefault="006B2F38" w:rsidP="006B2F38">
      <w:pPr>
        <w:pStyle w:val="ListParagraph"/>
        <w:numPr>
          <w:ilvl w:val="0"/>
          <w:numId w:val="4"/>
        </w:numPr>
      </w:pPr>
      <w:r>
        <w:t>Cela permet d’identifier s’il y a un lien de corélation entre une mauvaise météo (hautes vagues) et le choix de la stratégie de maintenance à adopter.</w:t>
      </w:r>
    </w:p>
    <w:p w14:paraId="04497FC9" w14:textId="76215C58" w:rsidR="006B2F38" w:rsidRDefault="006B2F38" w:rsidP="006B2F38">
      <w:pPr>
        <w:pStyle w:val="ListParagraph"/>
        <w:numPr>
          <w:ilvl w:val="0"/>
          <w:numId w:val="4"/>
        </w:numPr>
      </w:pPr>
      <w:r>
        <w:t>Je vais donc choisir comme semaine type d’hiver la fenetre de 7 jours ou la moyenne glissante est maximale (periode de forte houle) et pour la semaine type d’été celle ou la moyenne glissante est maxiale</w:t>
      </w:r>
    </w:p>
    <w:p w14:paraId="5B303D07" w14:textId="70CE45DF" w:rsidR="006B2F38" w:rsidRDefault="006B2F38" w:rsidP="006B2F38">
      <w:pPr>
        <w:pStyle w:val="ListParagraph"/>
        <w:numPr>
          <w:ilvl w:val="0"/>
          <w:numId w:val="4"/>
        </w:numPr>
      </w:pPr>
      <w:r>
        <w:t xml:space="preserve">To ensure computational feasibility while maintaining environmental realism, this study selects two distinct 7-day representative campaigns. These windows were extracted from the annual Copernicus dataset based on the rolling 7-day average of </w:t>
      </w:r>
      <w:r>
        <w:rPr>
          <w:rStyle w:val="math-inline"/>
          <w:rFonts w:ascii="Arial" w:hAnsi="Arial" w:cs="Arial"/>
        </w:rPr>
        <w:t>$H_s$</w:t>
      </w:r>
      <w:r>
        <w:t>, capturing the seasonal extremes of the Aberdeen offshore environment. This approach allows for a comparative stress-test of the maintenance strategies under both high-downtime (winter) and high-availability (summer) conditions.</w:t>
      </w:r>
    </w:p>
    <w:p w14:paraId="1A3D506F" w14:textId="1F061DD6" w:rsidR="006B2F38" w:rsidRPr="00A9697D" w:rsidRDefault="00A9697D" w:rsidP="006B2F38">
      <w:pPr>
        <w:pStyle w:val="ListParagraph"/>
        <w:numPr>
          <w:ilvl w:val="0"/>
          <w:numId w:val="4"/>
        </w:numPr>
      </w:pPr>
      <w:r>
        <w:rPr>
          <w:rStyle w:val="citation-54"/>
          <w:rFonts w:ascii="Arial" w:hAnsi="Arial" w:cs="Arial"/>
        </w:rPr>
        <w:t xml:space="preserve">Bien que les probabilités de défaillance </w:t>
      </w:r>
      <w:r>
        <w:rPr>
          <w:rStyle w:val="math-inline"/>
          <w:rFonts w:ascii="Arial" w:hAnsi="Arial" w:cs="Arial"/>
        </w:rPr>
        <w:t>$Pr_{Di}$</w:t>
      </w:r>
      <w:r>
        <w:rPr>
          <w:rStyle w:val="citation-54"/>
          <w:rFonts w:ascii="Arial" w:hAnsi="Arial" w:cs="Arial"/>
        </w:rPr>
        <w:t xml:space="preserve"> soient fixes selon le modèle de Frederiksen et al.</w:t>
      </w:r>
      <w:r>
        <w:rPr>
          <w:rFonts w:ascii="Arial" w:hAnsi="Arial" w:cs="Arial"/>
        </w:rPr>
        <w:t>, elles sont appliquées de manière synchrone au début de chaque campagne de 7 jours. Cela permet d'évaluer la 'disponibilité opérationnelle' plutôt que la 'fiabilité mécanique', en testant si la météo permet de répondre au risque théorique imposé à la turbine à cet instant précis.</w:t>
      </w:r>
    </w:p>
    <w:p w14:paraId="65CCF9D7" w14:textId="1ABF7EF7" w:rsidR="00A9697D" w:rsidRDefault="00A9697D" w:rsidP="006B2F38">
      <w:pPr>
        <w:pStyle w:val="ListParagraph"/>
        <w:numPr>
          <w:ilvl w:val="0"/>
          <w:numId w:val="4"/>
        </w:numPr>
      </w:pPr>
      <w:r>
        <w:t xml:space="preserve">Le choix des semaines est déterministe et basé sur les extrêmes météorologiques annuels observés (moyenne glissante </w:t>
      </w:r>
      <w:r>
        <w:rPr>
          <w:rStyle w:val="math-inline"/>
          <w:rFonts w:ascii="Arial" w:hAnsi="Arial" w:cs="Arial"/>
        </w:rPr>
        <w:t>$H_s$</w:t>
      </w:r>
      <w:r>
        <w:t xml:space="preserve"> min/max), isolant ainsi l'impact des contraintes logistiques (weather gates) sur les performances économiques finales.</w:t>
      </w:r>
    </w:p>
    <w:p w14:paraId="2B51C2AE" w14:textId="16B37188" w:rsidR="00A9697D" w:rsidRDefault="00A9697D" w:rsidP="006B2F38">
      <w:pPr>
        <w:pStyle w:val="ListParagraph"/>
        <w:numPr>
          <w:ilvl w:val="0"/>
          <w:numId w:val="4"/>
        </w:numPr>
      </w:pPr>
      <w:r>
        <w:t xml:space="preserve">Rather than imposing arbitrary seasonal constraints to define the testing periods, this study employs an empirical, data-driven approach. By extracting the absolute minimum and maximum of the 7-day rolling average of </w:t>
      </w:r>
      <w:r>
        <w:rPr>
          <w:rStyle w:val="math-inline"/>
          <w:rFonts w:ascii="Arial" w:hAnsi="Arial" w:cs="Arial"/>
        </w:rPr>
        <w:t>$H_s$</w:t>
      </w:r>
      <w:r>
        <w:t xml:space="preserve"> over the entire year, the algorithm identified the true meteorological extremes of the </w:t>
      </w:r>
      <w:r>
        <w:lastRenderedPageBreak/>
        <w:t>Aberdeen site. This ensures the logistical model is stress-tested against genuine 'Best-Case' and 'Worst-Case' operational scenarios, accurately reflecting the stochastic nature of offshore environments where optimal weather windows can unexpectedly occur outside of traditional summer months.</w:t>
      </w:r>
    </w:p>
    <w:p w14:paraId="33D41ED2" w14:textId="3EA50094" w:rsidR="006B2F38" w:rsidRDefault="006B2F38" w:rsidP="008C491F"/>
    <w:p w14:paraId="40288318" w14:textId="77777777" w:rsidR="0037314F" w:rsidRPr="0037314F" w:rsidRDefault="0037314F" w:rsidP="0037314F">
      <w:pPr>
        <w:spacing w:after="100" w:afterAutospacing="1" w:line="240" w:lineRule="auto"/>
        <w:outlineLvl w:val="2"/>
        <w:rPr>
          <w:rFonts w:ascii="Arial" w:eastAsia="Times New Roman" w:hAnsi="Arial" w:cs="Arial"/>
          <w:b/>
          <w:bCs/>
          <w:kern w:val="0"/>
          <w:sz w:val="27"/>
          <w:szCs w:val="27"/>
          <w:lang w:eastAsia="en-GB"/>
          <w14:ligatures w14:val="none"/>
        </w:rPr>
      </w:pPr>
      <w:r w:rsidRPr="0037314F">
        <w:rPr>
          <w:rFonts w:ascii="Arial" w:eastAsia="Times New Roman" w:hAnsi="Arial" w:cs="Arial"/>
          <w:b/>
          <w:bCs/>
          <w:kern w:val="0"/>
          <w:sz w:val="27"/>
          <w:szCs w:val="27"/>
          <w:lang w:eastAsia="en-GB"/>
          <w14:ligatures w14:val="none"/>
        </w:rPr>
        <w:t>3.2.4. Representative Metocean Scenarios and Spatial Dynamics</w:t>
      </w:r>
    </w:p>
    <w:p w14:paraId="6D3A17F1" w14:textId="77777777" w:rsidR="0037314F" w:rsidRPr="0037314F" w:rsidRDefault="0037314F" w:rsidP="0037314F">
      <w:pPr>
        <w:spacing w:after="100" w:afterAutospacing="1" w:line="240" w:lineRule="auto"/>
        <w:rPr>
          <w:rFonts w:ascii="Arial" w:eastAsia="Times New Roman" w:hAnsi="Arial" w:cs="Arial"/>
          <w:kern w:val="0"/>
          <w:lang w:eastAsia="en-GB"/>
          <w14:ligatures w14:val="none"/>
        </w:rPr>
      </w:pPr>
      <w:r w:rsidRPr="0037314F">
        <w:rPr>
          <w:rFonts w:ascii="Arial" w:eastAsia="Times New Roman" w:hAnsi="Arial" w:cs="Arial"/>
          <w:kern w:val="0"/>
          <w:lang w:eastAsia="en-GB"/>
          <w14:ligatures w14:val="none"/>
        </w:rPr>
        <w:t xml:space="preserve">Rather than imposing arbitrary seasonal constraints to define the testing periods, this study employs an empirical, data-driven approach. By extracting the absolute minimum and maximum of the 7-day rolling average of $H_s$ over the entire year, the algorithm identified the true meteorological extremes of the Aberdeen site. To provide a comprehensive evaluation, a third "Base-Case" scenario was introduced by extracting the 7-day window closest to the annual median $H_s$. This ensures the logistical model is stress-tested against genuine 'Best-Case' and 'Worst-Case' operational scenarios, accurately reflecting the stochastic nature of offshore environments where optimal weather windows can unexpectedly occur outside of traditional summer months. </w:t>
      </w:r>
    </w:p>
    <w:p w14:paraId="68B56BCA" w14:textId="77777777" w:rsidR="0037314F" w:rsidRPr="0037314F" w:rsidRDefault="0037314F" w:rsidP="0037314F">
      <w:pPr>
        <w:spacing w:after="100" w:afterAutospacing="1" w:line="240" w:lineRule="auto"/>
        <w:rPr>
          <w:rFonts w:ascii="Arial" w:eastAsia="Times New Roman" w:hAnsi="Arial" w:cs="Arial"/>
          <w:kern w:val="0"/>
          <w:lang w:eastAsia="en-GB"/>
          <w14:ligatures w14:val="none"/>
        </w:rPr>
      </w:pPr>
      <w:r w:rsidRPr="0037314F">
        <w:rPr>
          <w:rFonts w:ascii="Arial" w:eastAsia="Times New Roman" w:hAnsi="Arial" w:cs="Arial"/>
          <w:kern w:val="0"/>
          <w:lang w:eastAsia="en-GB"/>
          <w14:ligatures w14:val="none"/>
        </w:rPr>
        <w:t>To validate these scenarios and assess the resolution of the metocean data, a spatial variance analysis was executed across the five critical coordinates of the wind farm (Center, North-West, North-East, South-West, South-East).</w:t>
      </w:r>
    </w:p>
    <w:p w14:paraId="12F50C29" w14:textId="77777777" w:rsidR="0037314F" w:rsidRPr="0037314F" w:rsidRDefault="0037314F" w:rsidP="0037314F">
      <w:pPr>
        <w:numPr>
          <w:ilvl w:val="0"/>
          <w:numId w:val="5"/>
        </w:numPr>
        <w:spacing w:after="100" w:afterAutospacing="1" w:line="240" w:lineRule="auto"/>
        <w:rPr>
          <w:rFonts w:ascii="Arial" w:eastAsia="Times New Roman" w:hAnsi="Arial" w:cs="Arial"/>
          <w:kern w:val="0"/>
          <w:lang w:eastAsia="en-GB"/>
          <w14:ligatures w14:val="none"/>
        </w:rPr>
      </w:pPr>
      <w:r w:rsidRPr="0037314F">
        <w:rPr>
          <w:rFonts w:ascii="Arial" w:eastAsia="Times New Roman" w:hAnsi="Arial" w:cs="Arial"/>
          <w:b/>
          <w:bCs/>
          <w:kern w:val="0"/>
          <w:lang w:eastAsia="en-GB"/>
          <w14:ligatures w14:val="none"/>
        </w:rPr>
        <w:t>Best-Case Scenario (High-Availability):</w:t>
      </w:r>
      <w:r w:rsidRPr="0037314F">
        <w:rPr>
          <w:rFonts w:ascii="Arial" w:eastAsia="Times New Roman" w:hAnsi="Arial" w:cs="Arial"/>
          <w:kern w:val="0"/>
          <w:lang w:eastAsia="en-GB"/>
          <w14:ligatures w14:val="none"/>
        </w:rPr>
        <w:t xml:space="preserve"> The Significant Wave Height ($H_s$) remains universally below the 1.3m CTV operational limit for the entire campaign. Spatial variance is negligible, allowing operations to proceed unhindered.</w:t>
      </w:r>
    </w:p>
    <w:p w14:paraId="5DE04A53" w14:textId="77777777" w:rsidR="0037314F" w:rsidRPr="0037314F" w:rsidRDefault="0037314F" w:rsidP="0037314F">
      <w:pPr>
        <w:numPr>
          <w:ilvl w:val="0"/>
          <w:numId w:val="5"/>
        </w:numPr>
        <w:spacing w:after="100" w:afterAutospacing="1" w:line="240" w:lineRule="auto"/>
        <w:rPr>
          <w:rFonts w:ascii="Arial" w:eastAsia="Times New Roman" w:hAnsi="Arial" w:cs="Arial"/>
          <w:kern w:val="0"/>
          <w:lang w:eastAsia="en-GB"/>
          <w14:ligatures w14:val="none"/>
        </w:rPr>
      </w:pPr>
      <w:r w:rsidRPr="0037314F">
        <w:rPr>
          <w:rFonts w:ascii="Arial" w:eastAsia="Times New Roman" w:hAnsi="Arial" w:cs="Arial"/>
          <w:b/>
          <w:bCs/>
          <w:kern w:val="0"/>
          <w:lang w:eastAsia="en-GB"/>
          <w14:ligatures w14:val="none"/>
        </w:rPr>
        <w:t>Base-Case Scenario (Typical Operations):</w:t>
      </w:r>
      <w:r w:rsidRPr="0037314F">
        <w:rPr>
          <w:rFonts w:ascii="Arial" w:eastAsia="Times New Roman" w:hAnsi="Arial" w:cs="Arial"/>
          <w:kern w:val="0"/>
          <w:lang w:eastAsia="en-GB"/>
          <w14:ligatures w14:val="none"/>
        </w:rPr>
        <w:t xml:space="preserve"> This scenario represents the critical logistical trade-off. $H_s$ fluctuates closely around the 1.3m threshold while remaining safely below the 3.5m SOV limit. Spatial divergence becomes noticeable during minor wave peaks, creating intermittent access windows that heavily penalize CTVs while favoring SOVs.</w:t>
      </w:r>
    </w:p>
    <w:p w14:paraId="00902C4C" w14:textId="77777777" w:rsidR="0037314F" w:rsidRPr="0037314F" w:rsidRDefault="0037314F" w:rsidP="0037314F">
      <w:pPr>
        <w:numPr>
          <w:ilvl w:val="0"/>
          <w:numId w:val="5"/>
        </w:numPr>
        <w:spacing w:after="100" w:afterAutospacing="1" w:line="240" w:lineRule="auto"/>
        <w:rPr>
          <w:rFonts w:ascii="Arial" w:eastAsia="Times New Roman" w:hAnsi="Arial" w:cs="Arial"/>
          <w:kern w:val="0"/>
          <w:lang w:eastAsia="en-GB"/>
          <w14:ligatures w14:val="none"/>
        </w:rPr>
      </w:pPr>
      <w:r w:rsidRPr="0037314F">
        <w:rPr>
          <w:rFonts w:ascii="Arial" w:eastAsia="Times New Roman" w:hAnsi="Arial" w:cs="Arial"/>
          <w:b/>
          <w:bCs/>
          <w:kern w:val="0"/>
          <w:lang w:eastAsia="en-GB"/>
          <w14:ligatures w14:val="none"/>
        </w:rPr>
        <w:t>Worst-Case Scenario (High-Downtime):</w:t>
      </w:r>
      <w:r w:rsidRPr="0037314F">
        <w:rPr>
          <w:rFonts w:ascii="Arial" w:eastAsia="Times New Roman" w:hAnsi="Arial" w:cs="Arial"/>
          <w:kern w:val="0"/>
          <w:lang w:eastAsia="en-GB"/>
          <w14:ligatures w14:val="none"/>
        </w:rPr>
        <w:t xml:space="preserve"> During severe low-pressure passages, $H_s$ significantly exceeds all vessel limits. As illustrated by the spatial extraction, a distinct East-West gradient was observed during low-pressure passages. The wave height difference between the South-East and North-West boundaries reached nearly 1 meter, confirming the theoretical existence of localized micro-windows on the farm's edges. </w:t>
      </w:r>
    </w:p>
    <w:p w14:paraId="3600006E" w14:textId="77777777" w:rsidR="0037314F" w:rsidRPr="0037314F" w:rsidRDefault="0037314F" w:rsidP="0037314F">
      <w:pPr>
        <w:spacing w:after="100" w:afterAutospacing="1" w:line="240" w:lineRule="auto"/>
        <w:rPr>
          <w:rFonts w:ascii="Arial" w:eastAsia="Times New Roman" w:hAnsi="Arial" w:cs="Arial"/>
          <w:kern w:val="0"/>
          <w:lang w:eastAsia="en-GB"/>
          <w14:ligatures w14:val="none"/>
        </w:rPr>
      </w:pPr>
      <w:r w:rsidRPr="0037314F">
        <w:rPr>
          <w:rFonts w:ascii="Arial" w:eastAsia="Times New Roman" w:hAnsi="Arial" w:cs="Arial"/>
          <w:kern w:val="0"/>
          <w:lang w:eastAsia="en-GB"/>
          <w14:ligatures w14:val="none"/>
        </w:rPr>
        <w:t xml:space="preserve">While a highly complex routing algorithm could theoretically exploit these micro-windows, this study maintains the assumption of a single reference point at the farm's center to prevent an explosion of algorithmic complexity, which would shift the project into a dynamic spatio-temporal routing problem beyond the intended scope. Consequently, all daily weather gates in the simulation are evaluated against the barycenter's environmental state. </w:t>
      </w:r>
    </w:p>
    <w:p w14:paraId="4C797207" w14:textId="77777777" w:rsidR="0037314F" w:rsidRDefault="0037314F" w:rsidP="008C491F"/>
    <w:p w14:paraId="2757853D" w14:textId="77777777" w:rsidR="008567BB" w:rsidRDefault="008567BB" w:rsidP="008C491F"/>
    <w:p w14:paraId="670420FF" w14:textId="77777777" w:rsidR="008567BB" w:rsidRPr="008567BB" w:rsidRDefault="008567BB" w:rsidP="008567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567BB">
        <w:rPr>
          <w:rFonts w:ascii="Times New Roman" w:eastAsia="Times New Roman" w:hAnsi="Times New Roman" w:cs="Times New Roman"/>
          <w:b/>
          <w:bCs/>
          <w:kern w:val="0"/>
          <w:sz w:val="27"/>
          <w:szCs w:val="27"/>
          <w:lang w:eastAsia="en-GB"/>
          <w14:ligatures w14:val="none"/>
        </w:rPr>
        <w:lastRenderedPageBreak/>
        <w:t>Le Plan de Bataille (L'Exécution de la Matrice)</w:t>
      </w:r>
    </w:p>
    <w:p w14:paraId="2472D019" w14:textId="77777777" w:rsidR="008567BB" w:rsidRPr="008567BB" w:rsidRDefault="008567BB" w:rsidP="008567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67BB">
        <w:rPr>
          <w:rFonts w:ascii="Times New Roman" w:eastAsia="Times New Roman" w:hAnsi="Times New Roman" w:cs="Times New Roman"/>
          <w:kern w:val="0"/>
          <w:lang w:eastAsia="en-GB"/>
          <w14:ligatures w14:val="none"/>
        </w:rPr>
        <w:t>Pour avoir des résultats complets à présenter à ton jury, tu vas devoir faire tourner ton modèle pour couvrir toutes les combinaisons de ta matrice de recherche. Tu as 12 simulations à générer au total :</w:t>
      </w:r>
    </w:p>
    <w:p w14:paraId="63A6136A" w14:textId="77777777" w:rsidR="008567BB" w:rsidRPr="008567BB" w:rsidRDefault="008567BB" w:rsidP="008567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67BB">
        <w:rPr>
          <w:rFonts w:ascii="Times New Roman" w:eastAsia="Times New Roman" w:hAnsi="Times New Roman" w:cs="Times New Roman"/>
          <w:b/>
          <w:bCs/>
          <w:kern w:val="0"/>
          <w:lang w:eastAsia="en-GB"/>
          <w14:ligatures w14:val="none"/>
        </w:rPr>
        <w:t>1. Scénario "Best-Case" (La semaine d'été calme)</w:t>
      </w:r>
    </w:p>
    <w:p w14:paraId="7543BC85" w14:textId="77777777" w:rsidR="008567BB" w:rsidRPr="008567BB" w:rsidRDefault="008567BB" w:rsidP="008567B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567BB">
        <w:rPr>
          <w:rFonts w:ascii="Times New Roman" w:eastAsia="Times New Roman" w:hAnsi="Times New Roman" w:cs="Times New Roman"/>
          <w:kern w:val="0"/>
          <w:lang w:eastAsia="en-GB"/>
          <w14:ligatures w14:val="none"/>
        </w:rPr>
        <w:t>Préventif + CTV</w:t>
      </w:r>
    </w:p>
    <w:p w14:paraId="42A4338D" w14:textId="77777777" w:rsidR="008567BB" w:rsidRPr="008567BB" w:rsidRDefault="008567BB" w:rsidP="008567B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567BB">
        <w:rPr>
          <w:rFonts w:ascii="Times New Roman" w:eastAsia="Times New Roman" w:hAnsi="Times New Roman" w:cs="Times New Roman"/>
          <w:kern w:val="0"/>
          <w:lang w:eastAsia="en-GB"/>
          <w14:ligatures w14:val="none"/>
        </w:rPr>
        <w:t>Préventif + SOV</w:t>
      </w:r>
    </w:p>
    <w:p w14:paraId="305A7E04" w14:textId="77777777" w:rsidR="008567BB" w:rsidRPr="008567BB" w:rsidRDefault="008567BB" w:rsidP="008567B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567BB">
        <w:rPr>
          <w:rFonts w:ascii="Times New Roman" w:eastAsia="Times New Roman" w:hAnsi="Times New Roman" w:cs="Times New Roman"/>
          <w:kern w:val="0"/>
          <w:lang w:eastAsia="en-GB"/>
          <w14:ligatures w14:val="none"/>
        </w:rPr>
        <w:t>Prédictif + CTV</w:t>
      </w:r>
    </w:p>
    <w:p w14:paraId="1AA13878" w14:textId="77777777" w:rsidR="008567BB" w:rsidRPr="008567BB" w:rsidRDefault="008567BB" w:rsidP="008567B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567BB">
        <w:rPr>
          <w:rFonts w:ascii="Times New Roman" w:eastAsia="Times New Roman" w:hAnsi="Times New Roman" w:cs="Times New Roman"/>
          <w:kern w:val="0"/>
          <w:lang w:eastAsia="en-GB"/>
          <w14:ligatures w14:val="none"/>
        </w:rPr>
        <w:t>Prédictif + SOV</w:t>
      </w:r>
    </w:p>
    <w:p w14:paraId="36002557" w14:textId="77777777" w:rsidR="008567BB" w:rsidRPr="008567BB" w:rsidRDefault="008567BB" w:rsidP="008567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67BB">
        <w:rPr>
          <w:rFonts w:ascii="Times New Roman" w:eastAsia="Times New Roman" w:hAnsi="Times New Roman" w:cs="Times New Roman"/>
          <w:b/>
          <w:bCs/>
          <w:kern w:val="0"/>
          <w:lang w:eastAsia="en-GB"/>
          <w14:ligatures w14:val="none"/>
        </w:rPr>
        <w:t>2. Scénario "Base-Case" (La semaine typique/médiane)</w:t>
      </w:r>
    </w:p>
    <w:p w14:paraId="3EA55AF7" w14:textId="77777777" w:rsidR="008567BB" w:rsidRPr="008567BB" w:rsidRDefault="008567BB" w:rsidP="008567B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567BB">
        <w:rPr>
          <w:rFonts w:ascii="Times New Roman" w:eastAsia="Times New Roman" w:hAnsi="Times New Roman" w:cs="Times New Roman"/>
          <w:kern w:val="0"/>
          <w:lang w:eastAsia="en-GB"/>
          <w14:ligatures w14:val="none"/>
        </w:rPr>
        <w:t>Préventif + CTV</w:t>
      </w:r>
    </w:p>
    <w:p w14:paraId="689F7FD5" w14:textId="77777777" w:rsidR="008567BB" w:rsidRPr="008567BB" w:rsidRDefault="008567BB" w:rsidP="008567B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567BB">
        <w:rPr>
          <w:rFonts w:ascii="Times New Roman" w:eastAsia="Times New Roman" w:hAnsi="Times New Roman" w:cs="Times New Roman"/>
          <w:kern w:val="0"/>
          <w:lang w:eastAsia="en-GB"/>
          <w14:ligatures w14:val="none"/>
        </w:rPr>
        <w:t>Préventif + SOV</w:t>
      </w:r>
    </w:p>
    <w:p w14:paraId="49F800DE" w14:textId="77777777" w:rsidR="008567BB" w:rsidRPr="008567BB" w:rsidRDefault="008567BB" w:rsidP="008567B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567BB">
        <w:rPr>
          <w:rFonts w:ascii="Times New Roman" w:eastAsia="Times New Roman" w:hAnsi="Times New Roman" w:cs="Times New Roman"/>
          <w:kern w:val="0"/>
          <w:lang w:eastAsia="en-GB"/>
          <w14:ligatures w14:val="none"/>
        </w:rPr>
        <w:t>Prédictif + CTV</w:t>
      </w:r>
    </w:p>
    <w:p w14:paraId="4A463378" w14:textId="77777777" w:rsidR="008567BB" w:rsidRPr="008567BB" w:rsidRDefault="008567BB" w:rsidP="008567B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567BB">
        <w:rPr>
          <w:rFonts w:ascii="Times New Roman" w:eastAsia="Times New Roman" w:hAnsi="Times New Roman" w:cs="Times New Roman"/>
          <w:kern w:val="0"/>
          <w:lang w:eastAsia="en-GB"/>
          <w14:ligatures w14:val="none"/>
        </w:rPr>
        <w:t>Prédictif + SOV</w:t>
      </w:r>
    </w:p>
    <w:p w14:paraId="02314EE0" w14:textId="77777777" w:rsidR="008567BB" w:rsidRPr="008567BB" w:rsidRDefault="008567BB" w:rsidP="008567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67BB">
        <w:rPr>
          <w:rFonts w:ascii="Times New Roman" w:eastAsia="Times New Roman" w:hAnsi="Times New Roman" w:cs="Times New Roman"/>
          <w:b/>
          <w:bCs/>
          <w:kern w:val="0"/>
          <w:lang w:eastAsia="en-GB"/>
          <w14:ligatures w14:val="none"/>
        </w:rPr>
        <w:t>3. Scénario "Worst-Case" (La tempête d'hiver)</w:t>
      </w:r>
    </w:p>
    <w:p w14:paraId="38AB9768" w14:textId="77777777" w:rsidR="008567BB" w:rsidRPr="008567BB" w:rsidRDefault="008567BB" w:rsidP="008567B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567BB">
        <w:rPr>
          <w:rFonts w:ascii="Times New Roman" w:eastAsia="Times New Roman" w:hAnsi="Times New Roman" w:cs="Times New Roman"/>
          <w:kern w:val="0"/>
          <w:lang w:eastAsia="en-GB"/>
          <w14:ligatures w14:val="none"/>
        </w:rPr>
        <w:t>Préventif + CTV</w:t>
      </w:r>
    </w:p>
    <w:p w14:paraId="29DC34D2" w14:textId="77777777" w:rsidR="008567BB" w:rsidRPr="008567BB" w:rsidRDefault="008567BB" w:rsidP="008567B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567BB">
        <w:rPr>
          <w:rFonts w:ascii="Times New Roman" w:eastAsia="Times New Roman" w:hAnsi="Times New Roman" w:cs="Times New Roman"/>
          <w:kern w:val="0"/>
          <w:lang w:eastAsia="en-GB"/>
          <w14:ligatures w14:val="none"/>
        </w:rPr>
        <w:t>Préventif + SOV</w:t>
      </w:r>
    </w:p>
    <w:p w14:paraId="7FE32411" w14:textId="77777777" w:rsidR="008567BB" w:rsidRPr="008567BB" w:rsidRDefault="008567BB" w:rsidP="008567B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567BB">
        <w:rPr>
          <w:rFonts w:ascii="Times New Roman" w:eastAsia="Times New Roman" w:hAnsi="Times New Roman" w:cs="Times New Roman"/>
          <w:kern w:val="0"/>
          <w:lang w:eastAsia="en-GB"/>
          <w14:ligatures w14:val="none"/>
        </w:rPr>
        <w:t>Prédictif + CTV</w:t>
      </w:r>
    </w:p>
    <w:p w14:paraId="47EBA0D4" w14:textId="77777777" w:rsidR="008567BB" w:rsidRPr="008567BB" w:rsidRDefault="008567BB" w:rsidP="008567B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567BB">
        <w:rPr>
          <w:rFonts w:ascii="Times New Roman" w:eastAsia="Times New Roman" w:hAnsi="Times New Roman" w:cs="Times New Roman"/>
          <w:kern w:val="0"/>
          <w:lang w:eastAsia="en-GB"/>
          <w14:ligatures w14:val="none"/>
        </w:rPr>
        <w:t>Prédictif + SOV</w:t>
      </w:r>
    </w:p>
    <w:p w14:paraId="6F78DDC2" w14:textId="77777777" w:rsidR="008567BB" w:rsidRDefault="008567BB" w:rsidP="008C491F"/>
    <w:p w14:paraId="5AFE9CD9" w14:textId="4D7C8866" w:rsidR="008567BB" w:rsidRDefault="008567BB" w:rsidP="008567BB">
      <w:pPr>
        <w:pStyle w:val="ListParagraph"/>
        <w:numPr>
          <w:ilvl w:val="0"/>
          <w:numId w:val="9"/>
        </w:numPr>
      </w:pPr>
      <w:r>
        <w:t>Contrairement au papers de frederiksen j’utilise seulement un vessel et je n’utilise pas la logique de bus stop qui dépose des techniciens et qui va à la prochaine WT pour déposer une autre équipe pui qui retourne chercher l’équipe d’avant une fois qu’ils ont fini car c’est trop complexe pour le temps imparti de la dissertation et aussi parce que ce nest pas le coeur meme de mon sujet de dissertation je ne minteresse pas vraiment a la logique de routing et d’optimisation de la logistique mais plutot de limpact meteo sur le choix de la strategie de maintenance</w:t>
      </w:r>
    </w:p>
    <w:p w14:paraId="73D4BD1F" w14:textId="0C2609D6" w:rsidR="004C05E3" w:rsidRDefault="004C05E3" w:rsidP="004C05E3">
      <w:pPr>
        <w:pStyle w:val="ListParagraph"/>
        <w:numPr>
          <w:ilvl w:val="0"/>
          <w:numId w:val="9"/>
        </w:numPr>
      </w:pPr>
      <w:r>
        <w:t>Tester 3 profils d’IA pour voir la sensibilité à la précision de l’IA de ma rentabilité financière (perfect, standard, mediocre)</w:t>
      </w:r>
    </w:p>
    <w:p w14:paraId="0F62AC9E" w14:textId="148F7FF3" w:rsidR="004C05E3" w:rsidRDefault="004C05E3" w:rsidP="004C05E3">
      <w:pPr>
        <w:pStyle w:val="ListParagraph"/>
        <w:numPr>
          <w:ilvl w:val="0"/>
          <w:numId w:val="9"/>
        </w:numPr>
      </w:pPr>
      <w:r>
        <w:t>Intécgré le vent si jai le temps if wind speed&gt;40 knots then safe=false (ou alors je garde cette option pour la section futur work de mon mémoire)</w:t>
      </w:r>
      <w:r w:rsidR="00536077">
        <w:t xml:space="preserve"> </w:t>
      </w:r>
      <w:r w:rsidR="00536077">
        <w:rPr>
          <w:rStyle w:val="citation-24"/>
          <w:rFonts w:ascii="Arial" w:hAnsi="Arial" w:cs="Arial"/>
        </w:rPr>
        <w:t>While safe Service Operation Vessel (SOV) deployments are constrained by both Significant Wave Height (</w:t>
      </w:r>
      <w:r w:rsidR="00536077">
        <w:rPr>
          <w:rStyle w:val="math-inline"/>
          <w:rFonts w:ascii="Arial" w:hAnsi="Arial" w:cs="Arial"/>
        </w:rPr>
        <w:t>$H_s$</w:t>
      </w:r>
      <w:r w:rsidR="00536077">
        <w:rPr>
          <w:rStyle w:val="citation-24"/>
          <w:rFonts w:ascii="Arial" w:hAnsi="Arial" w:cs="Arial"/>
        </w:rPr>
        <w:t xml:space="preserve"> limit of 3.5m) and wind speed (typically capped at 40 knots for safe gangway transfers), this simulation utilizes </w:t>
      </w:r>
      <w:r w:rsidR="00536077">
        <w:rPr>
          <w:rStyle w:val="math-inline"/>
          <w:rFonts w:ascii="Arial" w:hAnsi="Arial" w:cs="Arial"/>
        </w:rPr>
        <w:t>$H_s$</w:t>
      </w:r>
      <w:r w:rsidR="00536077">
        <w:rPr>
          <w:rStyle w:val="citation-24"/>
          <w:rFonts w:ascii="Arial" w:hAnsi="Arial" w:cs="Arial"/>
        </w:rPr>
        <w:t xml:space="preserve"> as a standalone proxy for metocean severity. A review of the Copernicus Global Ocean Wave dataset </w:t>
      </w:r>
      <w:r w:rsidR="00536077">
        <w:rPr>
          <w:rStyle w:val="citation-24"/>
          <w:rFonts w:ascii="Arial" w:hAnsi="Arial" w:cs="Arial"/>
        </w:rPr>
        <w:lastRenderedPageBreak/>
        <w:t xml:space="preserve">(GLOBAL_ANALYSISFORECAST_WAV_001_027) </w:t>
      </w:r>
      <w:r w:rsidR="00536077">
        <w:rPr>
          <w:rFonts w:ascii="Arial" w:hAnsi="Arial" w:cs="Arial"/>
        </w:rPr>
        <w:t>confirmed that raw atmospheric wind variables are not exported within the wave model outputs. Because extreme wind events in the Aberdeen offshore region are overwhelmingly correlated with high sea states exceeding the 3.5m threshold, introducing a secondary meteorological constraint would exponentially increase the data-fetching architecture without substantially altering the vessel's 'No-Go' daily matrix. The integration of a multi-variable weather gate (Wind + Waves) relying on overlapping satellite datasets represents a highly relevant avenue for future model expansions.</w:t>
      </w:r>
    </w:p>
    <w:p w14:paraId="745A1119" w14:textId="2C61EE0D" w:rsidR="004C05E3" w:rsidRDefault="004C05E3" w:rsidP="004C05E3">
      <w:pPr>
        <w:pStyle w:val="ListParagraph"/>
        <w:numPr>
          <w:ilvl w:val="0"/>
          <w:numId w:val="9"/>
        </w:numPr>
      </w:pPr>
      <w:r>
        <w:t xml:space="preserve">Fuel SOV logique de standby consommation continue </w:t>
      </w:r>
    </w:p>
    <w:p w14:paraId="0397E00D" w14:textId="52EF7A78" w:rsidR="004C05E3" w:rsidRDefault="004C05E3" w:rsidP="004C05E3">
      <w:pPr>
        <w:pStyle w:val="ListParagraph"/>
        <w:numPr>
          <w:ilvl w:val="0"/>
          <w:numId w:val="9"/>
        </w:numPr>
      </w:pPr>
      <w:r>
        <w:t xml:space="preserve">Wind factor constant : </w:t>
      </w:r>
      <w:r>
        <w:t>Bien que les conditions éoliennes soient corrélées aux conditions de houle, cette étude isole la performance logistique en maintenant un facteur de vent (W_factor) constant de 0.9. Cette simplification permet d'évaluer l'impact pur des 'weather gates' maritimes sur la capacité de maintenance, sans introduire de biais économique lié à la variabilité de la production d'énergie, laquelle est traitée comme une constante de revenue potentielle.</w:t>
      </w:r>
    </w:p>
    <w:p w14:paraId="4CA4B4E5" w14:textId="77777777" w:rsidR="003E6C1C" w:rsidRDefault="003E6C1C" w:rsidP="003E6C1C">
      <w:pPr>
        <w:pStyle w:val="NormalWeb"/>
        <w:spacing w:before="0" w:beforeAutospacing="0"/>
        <w:rPr>
          <w:rFonts w:ascii="Arial" w:hAnsi="Arial" w:cs="Arial"/>
        </w:rPr>
      </w:pPr>
      <w:r>
        <w:rPr>
          <w:rFonts w:ascii="Arial" w:hAnsi="Arial" w:cs="Arial"/>
        </w:rPr>
        <w:t>Voici ta vraie matrice complète, optimisée et sans doublons :</w:t>
      </w:r>
    </w:p>
    <w:p w14:paraId="65BC8A28" w14:textId="77777777" w:rsidR="003E6C1C" w:rsidRDefault="003E6C1C" w:rsidP="003E6C1C">
      <w:pPr>
        <w:pStyle w:val="NormalWeb"/>
        <w:numPr>
          <w:ilvl w:val="0"/>
          <w:numId w:val="10"/>
        </w:numPr>
        <w:spacing w:before="0" w:beforeAutospacing="0"/>
        <w:rPr>
          <w:rFonts w:ascii="Arial" w:hAnsi="Arial" w:cs="Arial"/>
        </w:rPr>
      </w:pPr>
      <w:r>
        <w:rPr>
          <w:rFonts w:ascii="Arial" w:hAnsi="Arial" w:cs="Arial"/>
          <w:b/>
          <w:bCs/>
        </w:rPr>
        <w:t>Préventif (Indépendant de l'IA) :</w:t>
      </w:r>
      <w:r>
        <w:rPr>
          <w:rFonts w:ascii="Arial" w:hAnsi="Arial" w:cs="Arial"/>
        </w:rPr>
        <w:t xml:space="preserve"> 3 Météos </w:t>
      </w:r>
      <w:r>
        <w:rPr>
          <w:rStyle w:val="math-inline"/>
          <w:rFonts w:ascii="Arial" w:eastAsiaTheme="majorEastAsia" w:hAnsi="Arial" w:cs="Arial"/>
        </w:rPr>
        <w:t>$\times$</w:t>
      </w:r>
      <w:r>
        <w:rPr>
          <w:rFonts w:ascii="Arial" w:hAnsi="Arial" w:cs="Arial"/>
        </w:rPr>
        <w:t xml:space="preserve"> 2 Navires = </w:t>
      </w:r>
      <w:r>
        <w:rPr>
          <w:rFonts w:ascii="Arial" w:hAnsi="Arial" w:cs="Arial"/>
          <w:b/>
          <w:bCs/>
        </w:rPr>
        <w:t>6 simulations</w:t>
      </w:r>
      <w:r>
        <w:rPr>
          <w:rFonts w:ascii="Arial" w:hAnsi="Arial" w:cs="Arial"/>
        </w:rPr>
        <w:t>.</w:t>
      </w:r>
    </w:p>
    <w:p w14:paraId="0D0D1FFD" w14:textId="77777777" w:rsidR="003E6C1C" w:rsidRDefault="003E6C1C" w:rsidP="003E6C1C">
      <w:pPr>
        <w:pStyle w:val="NormalWeb"/>
        <w:numPr>
          <w:ilvl w:val="0"/>
          <w:numId w:val="10"/>
        </w:numPr>
        <w:spacing w:before="0" w:beforeAutospacing="0"/>
        <w:rPr>
          <w:rFonts w:ascii="Arial" w:hAnsi="Arial" w:cs="Arial"/>
        </w:rPr>
      </w:pPr>
      <w:r>
        <w:rPr>
          <w:rFonts w:ascii="Arial" w:hAnsi="Arial" w:cs="Arial"/>
          <w:b/>
          <w:bCs/>
        </w:rPr>
        <w:t>Prédictif (Dépendant de l'IA) :</w:t>
      </w:r>
      <w:r>
        <w:rPr>
          <w:rFonts w:ascii="Arial" w:hAnsi="Arial" w:cs="Arial"/>
        </w:rPr>
        <w:t xml:space="preserve"> 3 Météos </w:t>
      </w:r>
      <w:r>
        <w:rPr>
          <w:rStyle w:val="math-inline"/>
          <w:rFonts w:ascii="Arial" w:eastAsiaTheme="majorEastAsia" w:hAnsi="Arial" w:cs="Arial"/>
        </w:rPr>
        <w:t>$\times$</w:t>
      </w:r>
      <w:r>
        <w:rPr>
          <w:rFonts w:ascii="Arial" w:hAnsi="Arial" w:cs="Arial"/>
        </w:rPr>
        <w:t xml:space="preserve"> 2 Navires </w:t>
      </w:r>
      <w:r>
        <w:rPr>
          <w:rStyle w:val="math-inline"/>
          <w:rFonts w:ascii="Arial" w:eastAsiaTheme="majorEastAsia" w:hAnsi="Arial" w:cs="Arial"/>
        </w:rPr>
        <w:t>$\times$</w:t>
      </w:r>
      <w:r>
        <w:rPr>
          <w:rFonts w:ascii="Arial" w:hAnsi="Arial" w:cs="Arial"/>
        </w:rPr>
        <w:t xml:space="preserve"> 3 IA = </w:t>
      </w:r>
      <w:r>
        <w:rPr>
          <w:rFonts w:ascii="Arial" w:hAnsi="Arial" w:cs="Arial"/>
          <w:b/>
          <w:bCs/>
        </w:rPr>
        <w:t>18 simulations</w:t>
      </w:r>
      <w:r>
        <w:rPr>
          <w:rFonts w:ascii="Arial" w:hAnsi="Arial" w:cs="Arial"/>
        </w:rPr>
        <w:t>.</w:t>
      </w:r>
    </w:p>
    <w:p w14:paraId="4B90DF43" w14:textId="77777777" w:rsidR="003E6C1C" w:rsidRDefault="003E6C1C" w:rsidP="003E6C1C">
      <w:pPr>
        <w:pStyle w:val="NormalWeb"/>
        <w:numPr>
          <w:ilvl w:val="0"/>
          <w:numId w:val="10"/>
        </w:numPr>
        <w:spacing w:before="0" w:beforeAutospacing="0"/>
        <w:rPr>
          <w:rFonts w:ascii="Arial" w:hAnsi="Arial" w:cs="Arial"/>
        </w:rPr>
      </w:pPr>
      <w:r>
        <w:rPr>
          <w:rFonts w:ascii="Arial" w:hAnsi="Arial" w:cs="Arial"/>
          <w:b/>
          <w:bCs/>
        </w:rPr>
        <w:t>Total = 24 simulations complètes.</w:t>
      </w:r>
      <w:r>
        <w:rPr>
          <w:rFonts w:ascii="Arial" w:hAnsi="Arial" w:cs="Arial"/>
        </w:rPr>
        <w:t xml:space="preserve"> Avec cela, tu couvres 100 % de ton sujet d'étude sans faire tourner ton ordinateur dans le vide.</w:t>
      </w:r>
    </w:p>
    <w:p w14:paraId="2241A54B" w14:textId="77777777" w:rsidR="00962DAD" w:rsidRDefault="00962DAD" w:rsidP="00962DAD">
      <w:pPr>
        <w:pStyle w:val="NormalWeb"/>
      </w:pPr>
      <w:r>
        <w:t xml:space="preserve">Quand tu lanceras </w:t>
      </w:r>
      <w:r>
        <w:rPr>
          <w:rStyle w:val="HTMLCode"/>
          <w:rFonts w:eastAsiaTheme="majorEastAsia"/>
        </w:rPr>
        <w:t>run_all.py</w:t>
      </w:r>
      <w:r>
        <w:t xml:space="preserve">, ton dossier principal restera parfaitement propre. Il va se créer un dossier </w:t>
      </w:r>
      <w:r>
        <w:rPr>
          <w:rStyle w:val="HTMLCode"/>
          <w:rFonts w:eastAsiaTheme="majorEastAsia"/>
        </w:rPr>
        <w:t>Simulation_Results</w:t>
      </w:r>
      <w:r>
        <w:t xml:space="preserve"> qui ressemblera à ça :</w:t>
      </w:r>
    </w:p>
    <w:p w14:paraId="4B6EE970" w14:textId="77777777" w:rsidR="00962DAD" w:rsidRDefault="00962DAD" w:rsidP="00962DAD">
      <w:pPr>
        <w:pStyle w:val="NormalWeb"/>
        <w:numPr>
          <w:ilvl w:val="0"/>
          <w:numId w:val="11"/>
        </w:numPr>
      </w:pPr>
      <w:r>
        <w:rPr>
          <w:rFonts w:ascii="Apple Color Emoji" w:hAnsi="Apple Color Emoji" w:cs="Apple Color Emoji"/>
        </w:rPr>
        <w:t>📁</w:t>
      </w:r>
      <w:r>
        <w:t xml:space="preserve"> </w:t>
      </w:r>
      <w:r>
        <w:rPr>
          <w:rStyle w:val="HTMLCode"/>
          <w:rFonts w:eastAsiaTheme="majorEastAsia"/>
        </w:rPr>
        <w:t>Simulation_Results</w:t>
      </w:r>
    </w:p>
    <w:p w14:paraId="78FE5A8E" w14:textId="77777777" w:rsidR="00962DAD" w:rsidRDefault="00962DAD" w:rsidP="00962DAD">
      <w:pPr>
        <w:pStyle w:val="NormalWeb"/>
        <w:numPr>
          <w:ilvl w:val="1"/>
          <w:numId w:val="11"/>
        </w:numPr>
      </w:pPr>
      <w:r>
        <w:rPr>
          <w:rFonts w:ascii="Apple Color Emoji" w:hAnsi="Apple Color Emoji" w:cs="Apple Color Emoji"/>
        </w:rPr>
        <w:t>📁</w:t>
      </w:r>
      <w:r>
        <w:t xml:space="preserve"> </w:t>
      </w:r>
      <w:r>
        <w:rPr>
          <w:rStyle w:val="HTMLCode"/>
          <w:rFonts w:eastAsiaTheme="majorEastAsia"/>
        </w:rPr>
        <w:t>Best-Case_Perfect_AI</w:t>
      </w:r>
    </w:p>
    <w:p w14:paraId="50E4F6DE" w14:textId="77777777" w:rsidR="00962DAD" w:rsidRDefault="00962DAD" w:rsidP="00962DAD">
      <w:pPr>
        <w:pStyle w:val="NormalWeb"/>
        <w:numPr>
          <w:ilvl w:val="2"/>
          <w:numId w:val="11"/>
        </w:numPr>
      </w:pPr>
      <w:r>
        <w:rPr>
          <w:rFonts w:ascii="Apple Color Emoji" w:hAnsi="Apple Color Emoji" w:cs="Apple Color Emoji"/>
        </w:rPr>
        <w:t>📁</w:t>
      </w:r>
      <w:r>
        <w:t xml:space="preserve"> </w:t>
      </w:r>
      <w:r>
        <w:rPr>
          <w:rStyle w:val="HTMLCode"/>
          <w:rFonts w:eastAsiaTheme="majorEastAsia"/>
        </w:rPr>
        <w:t>Routes</w:t>
      </w:r>
      <w:r>
        <w:t xml:space="preserve"> (Contiendra </w:t>
      </w:r>
      <w:r>
        <w:rPr>
          <w:i/>
          <w:iCs/>
        </w:rPr>
        <w:t>Route_Day_1.png</w:t>
      </w:r>
      <w:r>
        <w:t xml:space="preserve">, </w:t>
      </w:r>
      <w:r>
        <w:rPr>
          <w:i/>
          <w:iCs/>
        </w:rPr>
        <w:t>Route_Day_2.png</w:t>
      </w:r>
      <w:r>
        <w:t>, etc.)</w:t>
      </w:r>
    </w:p>
    <w:p w14:paraId="7ADF7118" w14:textId="77777777" w:rsidR="00962DAD" w:rsidRDefault="00962DAD" w:rsidP="00962DAD">
      <w:pPr>
        <w:pStyle w:val="NormalWeb"/>
        <w:numPr>
          <w:ilvl w:val="2"/>
          <w:numId w:val="11"/>
        </w:numPr>
      </w:pPr>
      <w:r>
        <w:rPr>
          <w:rFonts w:ascii="Apple Color Emoji" w:hAnsi="Apple Color Emoji" w:cs="Apple Color Emoji"/>
        </w:rPr>
        <w:t>📁</w:t>
      </w:r>
      <w:r>
        <w:t xml:space="preserve"> </w:t>
      </w:r>
      <w:r>
        <w:rPr>
          <w:rStyle w:val="HTMLCode"/>
          <w:rFonts w:eastAsiaTheme="majorEastAsia"/>
        </w:rPr>
        <w:t>Tables</w:t>
      </w:r>
      <w:r>
        <w:t xml:space="preserve"> (Contiendra </w:t>
      </w:r>
      <w:r>
        <w:rPr>
          <w:i/>
          <w:iCs/>
        </w:rPr>
        <w:t>Financial_Summary.png</w:t>
      </w:r>
      <w:r>
        <w:t xml:space="preserve">, </w:t>
      </w:r>
      <w:r>
        <w:rPr>
          <w:i/>
          <w:iCs/>
        </w:rPr>
        <w:t>Downtime_Summary.png</w:t>
      </w:r>
      <w:r>
        <w:t>)</w:t>
      </w:r>
    </w:p>
    <w:p w14:paraId="6902ACBD" w14:textId="77777777" w:rsidR="00962DAD" w:rsidRDefault="00962DAD" w:rsidP="00962DAD">
      <w:pPr>
        <w:pStyle w:val="NormalWeb"/>
        <w:numPr>
          <w:ilvl w:val="2"/>
          <w:numId w:val="11"/>
        </w:numPr>
      </w:pPr>
      <w:r>
        <w:rPr>
          <w:rFonts w:ascii="Apple Color Emoji" w:hAnsi="Apple Color Emoji" w:cs="Apple Color Emoji"/>
        </w:rPr>
        <w:t>📄</w:t>
      </w:r>
      <w:r>
        <w:t xml:space="preserve"> </w:t>
      </w:r>
      <w:r>
        <w:rPr>
          <w:rStyle w:val="HTMLCode"/>
          <w:rFonts w:eastAsiaTheme="majorEastAsia"/>
        </w:rPr>
        <w:t>Config_Log.txt</w:t>
      </w:r>
    </w:p>
    <w:p w14:paraId="26A9B4A4" w14:textId="77777777" w:rsidR="00962DAD" w:rsidRDefault="00962DAD" w:rsidP="00962DAD">
      <w:pPr>
        <w:pStyle w:val="NormalWeb"/>
        <w:numPr>
          <w:ilvl w:val="1"/>
          <w:numId w:val="11"/>
        </w:numPr>
      </w:pPr>
      <w:r>
        <w:rPr>
          <w:rFonts w:ascii="Apple Color Emoji" w:hAnsi="Apple Color Emoji" w:cs="Apple Color Emoji"/>
        </w:rPr>
        <w:t>📁</w:t>
      </w:r>
      <w:r>
        <w:t xml:space="preserve"> </w:t>
      </w:r>
      <w:r>
        <w:rPr>
          <w:rStyle w:val="HTMLCode"/>
          <w:rFonts w:eastAsiaTheme="majorEastAsia"/>
        </w:rPr>
        <w:t>Worst-Case_No_AI</w:t>
      </w:r>
    </w:p>
    <w:p w14:paraId="5783B338" w14:textId="77777777" w:rsidR="00962DAD" w:rsidRDefault="00962DAD" w:rsidP="00962DAD">
      <w:pPr>
        <w:pStyle w:val="NormalWeb"/>
        <w:numPr>
          <w:ilvl w:val="2"/>
          <w:numId w:val="11"/>
        </w:numPr>
      </w:pPr>
      <w:r>
        <w:rPr>
          <w:rFonts w:ascii="Apple Color Emoji" w:hAnsi="Apple Color Emoji" w:cs="Apple Color Emoji"/>
        </w:rPr>
        <w:t>📁</w:t>
      </w:r>
      <w:r>
        <w:t xml:space="preserve"> </w:t>
      </w:r>
      <w:r>
        <w:rPr>
          <w:rStyle w:val="HTMLCode"/>
          <w:rFonts w:eastAsiaTheme="majorEastAsia"/>
        </w:rPr>
        <w:t>Routes</w:t>
      </w:r>
    </w:p>
    <w:p w14:paraId="727F5BA9" w14:textId="77777777" w:rsidR="00962DAD" w:rsidRDefault="00962DAD" w:rsidP="00962DAD">
      <w:pPr>
        <w:pStyle w:val="NormalWeb"/>
        <w:numPr>
          <w:ilvl w:val="2"/>
          <w:numId w:val="11"/>
        </w:numPr>
      </w:pPr>
      <w:r>
        <w:rPr>
          <w:rFonts w:ascii="Apple Color Emoji" w:hAnsi="Apple Color Emoji" w:cs="Apple Color Emoji"/>
        </w:rPr>
        <w:t>📁</w:t>
      </w:r>
      <w:r>
        <w:t xml:space="preserve"> </w:t>
      </w:r>
      <w:r>
        <w:rPr>
          <w:rStyle w:val="HTMLCode"/>
          <w:rFonts w:eastAsiaTheme="majorEastAsia"/>
        </w:rPr>
        <w:t>Tables</w:t>
      </w:r>
    </w:p>
    <w:p w14:paraId="1AEC46F3" w14:textId="77777777" w:rsidR="00962DAD" w:rsidRDefault="00962DAD" w:rsidP="00962DAD">
      <w:pPr>
        <w:pStyle w:val="NormalWeb"/>
        <w:numPr>
          <w:ilvl w:val="2"/>
          <w:numId w:val="11"/>
        </w:numPr>
      </w:pPr>
      <w:r>
        <w:rPr>
          <w:rFonts w:ascii="Apple Color Emoji" w:hAnsi="Apple Color Emoji" w:cs="Apple Color Emoji"/>
        </w:rPr>
        <w:t>📄</w:t>
      </w:r>
      <w:r>
        <w:t xml:space="preserve"> </w:t>
      </w:r>
      <w:r>
        <w:rPr>
          <w:rStyle w:val="HTMLCode"/>
          <w:rFonts w:eastAsiaTheme="majorEastAsia"/>
        </w:rPr>
        <w:t>Config_Log.txt</w:t>
      </w:r>
    </w:p>
    <w:p w14:paraId="756AA8F9" w14:textId="77777777" w:rsidR="00962DAD" w:rsidRDefault="00962DAD" w:rsidP="00962DAD">
      <w:pPr>
        <w:pStyle w:val="NormalWeb"/>
        <w:numPr>
          <w:ilvl w:val="1"/>
          <w:numId w:val="11"/>
        </w:numPr>
      </w:pPr>
      <w:r>
        <w:rPr>
          <w:i/>
          <w:iCs/>
        </w:rPr>
        <w:t>(etc. pour tes 24 simulations)</w:t>
      </w:r>
    </w:p>
    <w:p w14:paraId="7B88CDAA" w14:textId="77777777" w:rsidR="004C05E3" w:rsidRDefault="004C05E3" w:rsidP="004C05E3">
      <w:pPr>
        <w:pStyle w:val="ListParagraph"/>
        <w:numPr>
          <w:ilvl w:val="0"/>
          <w:numId w:val="9"/>
        </w:numPr>
      </w:pPr>
    </w:p>
    <w:sectPr w:rsidR="004C05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0975"/>
    <w:multiLevelType w:val="multilevel"/>
    <w:tmpl w:val="042C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0684C"/>
    <w:multiLevelType w:val="multilevel"/>
    <w:tmpl w:val="D4F2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45421"/>
    <w:multiLevelType w:val="multilevel"/>
    <w:tmpl w:val="91C4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A21D5"/>
    <w:multiLevelType w:val="multilevel"/>
    <w:tmpl w:val="4A22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B3B18"/>
    <w:multiLevelType w:val="multilevel"/>
    <w:tmpl w:val="A95E1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6C0187"/>
    <w:multiLevelType w:val="multilevel"/>
    <w:tmpl w:val="6AA81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B10A8"/>
    <w:multiLevelType w:val="hybridMultilevel"/>
    <w:tmpl w:val="651C7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330103"/>
    <w:multiLevelType w:val="multilevel"/>
    <w:tmpl w:val="F3C8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46042"/>
    <w:multiLevelType w:val="hybridMultilevel"/>
    <w:tmpl w:val="23CA8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92603D0"/>
    <w:multiLevelType w:val="multilevel"/>
    <w:tmpl w:val="F45E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D2739"/>
    <w:multiLevelType w:val="multilevel"/>
    <w:tmpl w:val="F23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452716">
    <w:abstractNumId w:val="4"/>
  </w:num>
  <w:num w:numId="2" w16cid:durableId="1136098253">
    <w:abstractNumId w:val="1"/>
  </w:num>
  <w:num w:numId="3" w16cid:durableId="2046104017">
    <w:abstractNumId w:val="9"/>
  </w:num>
  <w:num w:numId="4" w16cid:durableId="1098715201">
    <w:abstractNumId w:val="8"/>
  </w:num>
  <w:num w:numId="5" w16cid:durableId="1372651733">
    <w:abstractNumId w:val="0"/>
  </w:num>
  <w:num w:numId="6" w16cid:durableId="1864198626">
    <w:abstractNumId w:val="2"/>
  </w:num>
  <w:num w:numId="7" w16cid:durableId="414713096">
    <w:abstractNumId w:val="7"/>
  </w:num>
  <w:num w:numId="8" w16cid:durableId="1190025026">
    <w:abstractNumId w:val="3"/>
  </w:num>
  <w:num w:numId="9" w16cid:durableId="1993094545">
    <w:abstractNumId w:val="6"/>
  </w:num>
  <w:num w:numId="10" w16cid:durableId="1076711656">
    <w:abstractNumId w:val="10"/>
  </w:num>
  <w:num w:numId="11" w16cid:durableId="935362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91F"/>
    <w:rsid w:val="0002169A"/>
    <w:rsid w:val="0019006C"/>
    <w:rsid w:val="0037314F"/>
    <w:rsid w:val="00383FE5"/>
    <w:rsid w:val="003E6C1C"/>
    <w:rsid w:val="003F6D10"/>
    <w:rsid w:val="004C05E3"/>
    <w:rsid w:val="0051687B"/>
    <w:rsid w:val="00536077"/>
    <w:rsid w:val="005C4437"/>
    <w:rsid w:val="006B2F38"/>
    <w:rsid w:val="00764162"/>
    <w:rsid w:val="008567BB"/>
    <w:rsid w:val="00870ED1"/>
    <w:rsid w:val="008C491F"/>
    <w:rsid w:val="008E5087"/>
    <w:rsid w:val="00962DAD"/>
    <w:rsid w:val="009D2A17"/>
    <w:rsid w:val="00A9697D"/>
    <w:rsid w:val="00B2233B"/>
    <w:rsid w:val="00BA12C1"/>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326CEDC3"/>
  <w15:chartTrackingRefBased/>
  <w15:docId w15:val="{1D0D5A47-7CD4-A447-9F3D-A9154B88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4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4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4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4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91F"/>
    <w:rPr>
      <w:rFonts w:eastAsiaTheme="majorEastAsia" w:cstheme="majorBidi"/>
      <w:color w:val="272727" w:themeColor="text1" w:themeTint="D8"/>
    </w:rPr>
  </w:style>
  <w:style w:type="paragraph" w:styleId="Title">
    <w:name w:val="Title"/>
    <w:basedOn w:val="Normal"/>
    <w:next w:val="Normal"/>
    <w:link w:val="TitleChar"/>
    <w:uiPriority w:val="10"/>
    <w:qFormat/>
    <w:rsid w:val="008C4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91F"/>
    <w:pPr>
      <w:spacing w:before="160"/>
      <w:jc w:val="center"/>
    </w:pPr>
    <w:rPr>
      <w:i/>
      <w:iCs/>
      <w:color w:val="404040" w:themeColor="text1" w:themeTint="BF"/>
    </w:rPr>
  </w:style>
  <w:style w:type="character" w:customStyle="1" w:styleId="QuoteChar">
    <w:name w:val="Quote Char"/>
    <w:basedOn w:val="DefaultParagraphFont"/>
    <w:link w:val="Quote"/>
    <w:uiPriority w:val="29"/>
    <w:rsid w:val="008C491F"/>
    <w:rPr>
      <w:i/>
      <w:iCs/>
      <w:color w:val="404040" w:themeColor="text1" w:themeTint="BF"/>
    </w:rPr>
  </w:style>
  <w:style w:type="paragraph" w:styleId="ListParagraph">
    <w:name w:val="List Paragraph"/>
    <w:basedOn w:val="Normal"/>
    <w:uiPriority w:val="34"/>
    <w:qFormat/>
    <w:rsid w:val="008C491F"/>
    <w:pPr>
      <w:ind w:left="720"/>
      <w:contextualSpacing/>
    </w:pPr>
  </w:style>
  <w:style w:type="character" w:styleId="IntenseEmphasis">
    <w:name w:val="Intense Emphasis"/>
    <w:basedOn w:val="DefaultParagraphFont"/>
    <w:uiPriority w:val="21"/>
    <w:qFormat/>
    <w:rsid w:val="008C491F"/>
    <w:rPr>
      <w:i/>
      <w:iCs/>
      <w:color w:val="0F4761" w:themeColor="accent1" w:themeShade="BF"/>
    </w:rPr>
  </w:style>
  <w:style w:type="paragraph" w:styleId="IntenseQuote">
    <w:name w:val="Intense Quote"/>
    <w:basedOn w:val="Normal"/>
    <w:next w:val="Normal"/>
    <w:link w:val="IntenseQuoteChar"/>
    <w:uiPriority w:val="30"/>
    <w:qFormat/>
    <w:rsid w:val="008C4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91F"/>
    <w:rPr>
      <w:i/>
      <w:iCs/>
      <w:color w:val="0F4761" w:themeColor="accent1" w:themeShade="BF"/>
    </w:rPr>
  </w:style>
  <w:style w:type="character" w:styleId="IntenseReference">
    <w:name w:val="Intense Reference"/>
    <w:basedOn w:val="DefaultParagraphFont"/>
    <w:uiPriority w:val="32"/>
    <w:qFormat/>
    <w:rsid w:val="008C491F"/>
    <w:rPr>
      <w:b/>
      <w:bCs/>
      <w:smallCaps/>
      <w:color w:val="0F4761" w:themeColor="accent1" w:themeShade="BF"/>
      <w:spacing w:val="5"/>
    </w:rPr>
  </w:style>
  <w:style w:type="paragraph" w:styleId="NormalWeb">
    <w:name w:val="Normal (Web)"/>
    <w:basedOn w:val="Normal"/>
    <w:uiPriority w:val="99"/>
    <w:unhideWhenUsed/>
    <w:rsid w:val="008C49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8C491F"/>
    <w:rPr>
      <w:i/>
      <w:iCs/>
    </w:rPr>
  </w:style>
  <w:style w:type="character" w:styleId="HTMLCode">
    <w:name w:val="HTML Code"/>
    <w:basedOn w:val="DefaultParagraphFont"/>
    <w:uiPriority w:val="99"/>
    <w:semiHidden/>
    <w:unhideWhenUsed/>
    <w:rsid w:val="008C491F"/>
    <w:rPr>
      <w:rFonts w:ascii="Courier New" w:eastAsia="Times New Roman" w:hAnsi="Courier New" w:cs="Courier New"/>
      <w:sz w:val="20"/>
      <w:szCs w:val="20"/>
    </w:rPr>
  </w:style>
  <w:style w:type="character" w:styleId="Strong">
    <w:name w:val="Strong"/>
    <w:basedOn w:val="DefaultParagraphFont"/>
    <w:uiPriority w:val="22"/>
    <w:qFormat/>
    <w:rsid w:val="008C491F"/>
    <w:rPr>
      <w:b/>
      <w:bCs/>
    </w:rPr>
  </w:style>
  <w:style w:type="character" w:customStyle="1" w:styleId="math-inline">
    <w:name w:val="math-inline"/>
    <w:basedOn w:val="DefaultParagraphFont"/>
    <w:rsid w:val="006B2F38"/>
  </w:style>
  <w:style w:type="character" w:customStyle="1" w:styleId="citation-54">
    <w:name w:val="citation-54"/>
    <w:basedOn w:val="DefaultParagraphFont"/>
    <w:rsid w:val="00A9697D"/>
  </w:style>
  <w:style w:type="character" w:customStyle="1" w:styleId="citation-136">
    <w:name w:val="citation-136"/>
    <w:basedOn w:val="DefaultParagraphFont"/>
    <w:rsid w:val="0037314F"/>
  </w:style>
  <w:style w:type="character" w:customStyle="1" w:styleId="citation-135">
    <w:name w:val="citation-135"/>
    <w:basedOn w:val="DefaultParagraphFont"/>
    <w:rsid w:val="0037314F"/>
  </w:style>
  <w:style w:type="character" w:customStyle="1" w:styleId="citation-134">
    <w:name w:val="citation-134"/>
    <w:basedOn w:val="DefaultParagraphFont"/>
    <w:rsid w:val="0037314F"/>
  </w:style>
  <w:style w:type="character" w:customStyle="1" w:styleId="citation-133">
    <w:name w:val="citation-133"/>
    <w:basedOn w:val="DefaultParagraphFont"/>
    <w:rsid w:val="0037314F"/>
  </w:style>
  <w:style w:type="character" w:customStyle="1" w:styleId="citation-132">
    <w:name w:val="citation-132"/>
    <w:basedOn w:val="DefaultParagraphFont"/>
    <w:rsid w:val="0037314F"/>
  </w:style>
  <w:style w:type="character" w:customStyle="1" w:styleId="citation-24">
    <w:name w:val="citation-24"/>
    <w:basedOn w:val="DefaultParagraphFont"/>
    <w:rsid w:val="005360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1917</TotalTime>
  <Pages>12</Pages>
  <Words>3474</Words>
  <Characters>19803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Bertola, Baptiste</dc:creator>
  <cp:keywords/>
  <dc:description/>
  <cp:lastModifiedBy>Bertola, Baptiste</cp:lastModifiedBy>
  <cp:revision>6</cp:revision>
  <dcterms:created xsi:type="dcterms:W3CDTF">2026-06-29T15:57:00Z</dcterms:created>
  <dcterms:modified xsi:type="dcterms:W3CDTF">2026-07-03T10:01:00Z</dcterms:modified>
</cp:coreProperties>
</file>