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911E42" w14:textId="1AD50399" w:rsidR="006011FE" w:rsidRDefault="004C79F7">
      <w:pPr>
        <w:rPr>
          <w:lang w:val="fr-FR"/>
        </w:rPr>
      </w:pPr>
      <w:proofErr w:type="spellStart"/>
      <w:r>
        <w:rPr>
          <w:lang w:val="fr-FR"/>
        </w:rPr>
        <w:t>Mothodology</w:t>
      </w:r>
      <w:proofErr w:type="spellEnd"/>
    </w:p>
    <w:p w14:paraId="571152EF" w14:textId="5714C924" w:rsidR="00975090" w:rsidRDefault="00975090">
      <w:pPr>
        <w:rPr>
          <w:lang w:val="fr-FR"/>
        </w:rPr>
      </w:pPr>
      <w:r>
        <w:rPr>
          <w:lang w:val="fr-FR"/>
        </w:rPr>
        <w:t xml:space="preserve">L’étude se base sur une simulation </w:t>
      </w:r>
      <w:r w:rsidR="009D1961">
        <w:rPr>
          <w:lang w:val="fr-FR"/>
        </w:rPr>
        <w:t xml:space="preserve">quantitative </w:t>
      </w:r>
      <w:r>
        <w:rPr>
          <w:lang w:val="fr-FR"/>
        </w:rPr>
        <w:t>programmée en Python qui compare différentes stratégies de maintenance en prenant en compte de fortes contraintes météorologiques.</w:t>
      </w:r>
      <w:r w:rsidR="00C4274A">
        <w:rPr>
          <w:lang w:val="fr-FR"/>
        </w:rPr>
        <w:t xml:space="preserve"> </w:t>
      </w:r>
      <w:proofErr w:type="spellStart"/>
      <w:r w:rsidR="00C4274A" w:rsidRPr="00C4274A">
        <w:rPr>
          <w:lang w:val="en-GB"/>
        </w:rPr>
        <w:t>L’objectif</w:t>
      </w:r>
      <w:proofErr w:type="spellEnd"/>
      <w:r w:rsidR="00C4274A" w:rsidRPr="00C4274A">
        <w:rPr>
          <w:lang w:val="en-GB"/>
        </w:rPr>
        <w:t xml:space="preserve"> </w:t>
      </w:r>
      <w:proofErr w:type="spellStart"/>
      <w:r w:rsidR="00C4274A" w:rsidRPr="00C4274A">
        <w:rPr>
          <w:lang w:val="en-GB"/>
        </w:rPr>
        <w:t>est</w:t>
      </w:r>
      <w:proofErr w:type="spellEnd"/>
      <w:r w:rsidR="00C4274A" w:rsidRPr="00C4274A">
        <w:rPr>
          <w:lang w:val="en-GB"/>
        </w:rPr>
        <w:t xml:space="preserve"> </w:t>
      </w:r>
      <w:proofErr w:type="spellStart"/>
      <w:r w:rsidR="00C4274A" w:rsidRPr="00C4274A">
        <w:rPr>
          <w:lang w:val="en-GB"/>
        </w:rPr>
        <w:t>d’évaluer</w:t>
      </w:r>
      <w:proofErr w:type="spellEnd"/>
      <w:r w:rsidR="00C4274A" w:rsidRPr="00C4274A">
        <w:rPr>
          <w:lang w:val="en-GB"/>
        </w:rPr>
        <w:t xml:space="preserve"> le </w:t>
      </w:r>
      <w:r w:rsidR="00C4274A" w:rsidRPr="00C4274A">
        <w:rPr>
          <w:lang w:val="en-GB"/>
        </w:rPr>
        <w:t>short-term cost-effectiveness of predictive maintenance strategies for offshore wind farms operating under severe metocean constraints</w:t>
      </w:r>
      <w:r w:rsidR="00C4274A" w:rsidRPr="00C4274A">
        <w:rPr>
          <w:lang w:val="en-GB"/>
        </w:rPr>
        <w:t>.</w:t>
      </w:r>
      <w:r w:rsidRPr="00C4274A">
        <w:rPr>
          <w:lang w:val="en-GB"/>
        </w:rPr>
        <w:t xml:space="preserve"> </w:t>
      </w:r>
      <w:r>
        <w:rPr>
          <w:lang w:val="fr-FR"/>
        </w:rPr>
        <w:t xml:space="preserve">La simulation se déroule </w:t>
      </w:r>
      <w:r w:rsidR="00B27089">
        <w:rPr>
          <w:lang w:val="fr-FR"/>
        </w:rPr>
        <w:t>de manière temporelle afin de suivre l’évolution de la météo.</w:t>
      </w:r>
    </w:p>
    <w:p w14:paraId="784298A9" w14:textId="1B668506" w:rsidR="00B27089" w:rsidRDefault="004B2AA6">
      <w:pPr>
        <w:rPr>
          <w:lang w:val="fr-FR"/>
        </w:rPr>
      </w:pPr>
      <w:r>
        <w:rPr>
          <w:lang w:val="fr-FR"/>
        </w:rPr>
        <w:t>Framework and scenario design</w:t>
      </w:r>
    </w:p>
    <w:p w14:paraId="02963AB1" w14:textId="01DBA31E" w:rsidR="004B2AA6" w:rsidRDefault="004B2AA6">
      <w:pPr>
        <w:rPr>
          <w:lang w:val="fr-FR"/>
        </w:rPr>
      </w:pPr>
      <w:r>
        <w:rPr>
          <w:lang w:val="fr-FR"/>
        </w:rPr>
        <w:t xml:space="preserve">J’utilise la base du modèle </w:t>
      </w:r>
      <w:proofErr w:type="spellStart"/>
      <w:r>
        <w:rPr>
          <w:lang w:val="fr-FR"/>
        </w:rPr>
        <w:t>developpé</w:t>
      </w:r>
      <w:proofErr w:type="spellEnd"/>
      <w:r>
        <w:rPr>
          <w:lang w:val="fr-FR"/>
        </w:rPr>
        <w:t xml:space="preserve"> par </w:t>
      </w:r>
      <w:proofErr w:type="spellStart"/>
      <w:r>
        <w:rPr>
          <w:lang w:val="fr-FR"/>
        </w:rPr>
        <w:t>Frederiksen</w:t>
      </w:r>
      <w:proofErr w:type="spellEnd"/>
      <w:r>
        <w:rPr>
          <w:lang w:val="fr-FR"/>
        </w:rPr>
        <w:t xml:space="preserve"> et al. (2024) en y ajoutant la contrainte importante de l’état de la mer qui faisait partie des hypothèses de l’article. En effet, en réalité </w:t>
      </w:r>
      <w:proofErr w:type="gramStart"/>
      <w:r>
        <w:rPr>
          <w:lang w:val="fr-FR"/>
        </w:rPr>
        <w:t>les opérateur</w:t>
      </w:r>
      <w:proofErr w:type="gramEnd"/>
      <w:r>
        <w:rPr>
          <w:lang w:val="fr-FR"/>
        </w:rPr>
        <w:t xml:space="preserve"> de maintenance ont besoin d’avoir des </w:t>
      </w:r>
      <w:proofErr w:type="spellStart"/>
      <w:r>
        <w:rPr>
          <w:lang w:val="fr-FR"/>
        </w:rPr>
        <w:t>fenetres</w:t>
      </w:r>
      <w:proofErr w:type="spellEnd"/>
      <w:r>
        <w:rPr>
          <w:lang w:val="fr-FR"/>
        </w:rPr>
        <w:t xml:space="preserve"> météorologiques pour pouvoir opérer en mer en toute sécurité. L’article de </w:t>
      </w:r>
      <w:proofErr w:type="spellStart"/>
      <w:r>
        <w:rPr>
          <w:lang w:val="fr-FR"/>
        </w:rPr>
        <w:t>Frederiksen</w:t>
      </w:r>
      <w:proofErr w:type="spellEnd"/>
      <w:r>
        <w:rPr>
          <w:lang w:val="fr-FR"/>
        </w:rPr>
        <w:t xml:space="preserve"> et al. (2024) faisait l’hypothèse que la mer était d’huile ce qui représente des conditions d’accès parfaites mais peu réalistes.</w:t>
      </w:r>
    </w:p>
    <w:p w14:paraId="0AC68BD5" w14:textId="322E8941" w:rsidR="004B2AA6" w:rsidRDefault="004B2AA6">
      <w:pPr>
        <w:rPr>
          <w:lang w:val="fr-FR"/>
        </w:rPr>
      </w:pPr>
      <w:r>
        <w:rPr>
          <w:lang w:val="fr-FR"/>
        </w:rPr>
        <w:t xml:space="preserve">J’ai décidé de comparer </w:t>
      </w:r>
      <w:r w:rsidR="00C4274A">
        <w:rPr>
          <w:lang w:val="fr-FR"/>
        </w:rPr>
        <w:t xml:space="preserve">une matrice de </w:t>
      </w:r>
      <w:r>
        <w:rPr>
          <w:lang w:val="fr-FR"/>
        </w:rPr>
        <w:t>4 différents scénarios simulés</w:t>
      </w:r>
      <w:r w:rsidR="00C4274A">
        <w:rPr>
          <w:lang w:val="fr-FR"/>
        </w:rPr>
        <w:t>, qui combinent deux stratégies de maintenance différentes avec deux types de navires différents</w:t>
      </w:r>
      <w:r>
        <w:rPr>
          <w:lang w:val="fr-FR"/>
        </w:rPr>
        <w:t> :</w:t>
      </w:r>
    </w:p>
    <w:p w14:paraId="29514664" w14:textId="1DB3EADA" w:rsidR="004B2AA6" w:rsidRDefault="004B2AA6">
      <w:pPr>
        <w:rPr>
          <w:lang w:val="en-GB"/>
        </w:rPr>
      </w:pPr>
      <w:r w:rsidRPr="004B2AA6">
        <w:rPr>
          <w:lang w:val="en-GB"/>
        </w:rPr>
        <w:t xml:space="preserve">CTV + </w:t>
      </w:r>
      <w:r>
        <w:rPr>
          <w:lang w:val="en-GB"/>
        </w:rPr>
        <w:t xml:space="preserve">Maintenance </w:t>
      </w:r>
      <w:proofErr w:type="gramStart"/>
      <w:r w:rsidRPr="004B2AA6">
        <w:rPr>
          <w:lang w:val="en-GB"/>
        </w:rPr>
        <w:t xml:space="preserve">Preventive </w:t>
      </w:r>
      <w:r>
        <w:rPr>
          <w:lang w:val="en-GB"/>
        </w:rPr>
        <w:t>:</w:t>
      </w:r>
      <w:proofErr w:type="gramEnd"/>
      <w:r>
        <w:rPr>
          <w:lang w:val="en-GB"/>
        </w:rPr>
        <w:t xml:space="preserve"> </w:t>
      </w:r>
    </w:p>
    <w:p w14:paraId="415DD833" w14:textId="0F1C3760" w:rsidR="004B2AA6" w:rsidRDefault="004B2AA6">
      <w:pPr>
        <w:rPr>
          <w:lang w:val="en-GB"/>
        </w:rPr>
      </w:pPr>
      <w:r w:rsidRPr="004B2AA6">
        <w:rPr>
          <w:lang w:val="en-GB"/>
        </w:rPr>
        <w:t xml:space="preserve">CTV + </w:t>
      </w:r>
      <w:r>
        <w:rPr>
          <w:lang w:val="en-GB"/>
        </w:rPr>
        <w:t xml:space="preserve">Maintenance </w:t>
      </w:r>
      <w:r w:rsidRPr="004B2AA6">
        <w:rPr>
          <w:lang w:val="en-GB"/>
        </w:rPr>
        <w:t>Predictive</w:t>
      </w:r>
    </w:p>
    <w:p w14:paraId="3DE8F705" w14:textId="48852475" w:rsidR="004B2AA6" w:rsidRDefault="004B2AA6">
      <w:pPr>
        <w:rPr>
          <w:lang w:val="en-GB"/>
        </w:rPr>
      </w:pPr>
      <w:r w:rsidRPr="004B2AA6">
        <w:rPr>
          <w:lang w:val="en-GB"/>
        </w:rPr>
        <w:t xml:space="preserve">SOV + </w:t>
      </w:r>
      <w:r>
        <w:rPr>
          <w:lang w:val="en-GB"/>
        </w:rPr>
        <w:t xml:space="preserve">Maintenance </w:t>
      </w:r>
      <w:r w:rsidRPr="004B2AA6">
        <w:rPr>
          <w:lang w:val="en-GB"/>
        </w:rPr>
        <w:t>Preventive</w:t>
      </w:r>
    </w:p>
    <w:p w14:paraId="38035461" w14:textId="36D47A64" w:rsidR="004B2AA6" w:rsidRPr="004B2AA6" w:rsidRDefault="004B2AA6">
      <w:r w:rsidRPr="004B2AA6">
        <w:rPr>
          <w:lang w:val="en-GB"/>
        </w:rPr>
        <w:t xml:space="preserve">SOV + </w:t>
      </w:r>
      <w:r>
        <w:rPr>
          <w:lang w:val="en-GB"/>
        </w:rPr>
        <w:t xml:space="preserve">Maintenance </w:t>
      </w:r>
      <w:r w:rsidRPr="004B2AA6">
        <w:rPr>
          <w:lang w:val="en-GB"/>
        </w:rPr>
        <w:t>Predictive</w:t>
      </w:r>
    </w:p>
    <w:p w14:paraId="6AB2A511" w14:textId="6E8AD656" w:rsidR="00975090" w:rsidRDefault="004B2AA6">
      <w:r>
        <w:t>Data acquisition and parameters</w:t>
      </w:r>
    </w:p>
    <w:p w14:paraId="6F515923" w14:textId="0D797B77" w:rsidR="00BF2F1D" w:rsidRDefault="009A5579">
      <w:r>
        <w:t>J’ai décidé de choisir un parc fictif inspiré de l’article (</w:t>
      </w:r>
      <w:r w:rsidRPr="009A5579">
        <w:t>Cost-Effectiveness of Predictive Maintenance for Offshore Wind Farms: A Case Study</w:t>
      </w:r>
      <w:r>
        <w:t>) pour la répartition des eoliennes au sein du parc et comme il s’agit d’un parc fictif dans l’article de Frederiksen, j’ai décidé de choisir comme localisation du parc le large d’Aberdeen, à peu près au même endroit qu’un parc réel (</w:t>
      </w:r>
      <w:r w:rsidR="00BF2F1D" w:rsidRPr="00BF2F1D">
        <w:t>European Offshore Wind Deployment Centre</w:t>
      </w:r>
      <w:r w:rsidR="00BF2F1D" w:rsidRPr="00BF2F1D">
        <w:t xml:space="preserve"> </w:t>
      </w:r>
      <w:r w:rsidR="00BF2F1D">
        <w:t xml:space="preserve">EOWDC). Les coordonnées du centre du parc que j’ai choisi sont </w:t>
      </w:r>
      <w:r w:rsidR="00BF2F1D" w:rsidRPr="00BF2F1D">
        <w:t>(Latitude: 57.2139, Longitude: -1.9223)</w:t>
      </w:r>
      <w:r w:rsidR="00BF2F1D">
        <w:t xml:space="preserve">. </w:t>
      </w:r>
      <w:r w:rsidR="00F32484">
        <w:t xml:space="preserve">This is a nearshore OWF, avec le dock en bleu là où le CTV sera basé lorsqu’il ne sera pas en mer entrain de procéder à l’oppération de maintenance, les WTs en rouge allant de WT01 à WT20 et en vert le barycentre de la OWF là où le SOV sera basé pendant les 7 jours de maintenance. </w:t>
      </w:r>
      <w:r w:rsidR="00BF2F1D">
        <w:t xml:space="preserve">Il s’agit des éoliennes considérées pour l’étude, la position irrégulière des éolienne est due au sous groupe d’éolienne sélectionnées pour la maintenance annuelle de la totalité du full OWF. </w:t>
      </w:r>
      <w:r w:rsidR="005F5F3F">
        <w:t>Bien qu’il ne s’agisse pas d’une OWF réelle, j’ai fait en sorte que les choix que j’ai pu faire représentent au mieux une OWF européenne typique.</w:t>
      </w:r>
    </w:p>
    <w:p w14:paraId="49AA60AD" w14:textId="28C430AF" w:rsidR="005F5F3F" w:rsidRDefault="004C2D0E" w:rsidP="005F5F3F">
      <w:r>
        <w:lastRenderedPageBreak/>
        <w:t>Les paramètres suivants sont très spécifiques au scénario que j’ai décidé d’explorer et doivent être reconsidérés pour tout autres études. Il s’agit de la maintenance annuelle d’une selection de 20 WTs</w:t>
      </w:r>
      <w:r w:rsidR="005F5F3F">
        <w:t>.</w:t>
      </w:r>
      <w:r>
        <w:t xml:space="preserve"> </w:t>
      </w:r>
      <w:r w:rsidR="005F5F3F">
        <w:t>La répartition des 20 éoliennes figure sur la figure suivante</w:t>
      </w:r>
      <w:r w:rsidR="005F5F3F">
        <w:t xml:space="preserve"> sur une aire de 20 x 15 km et l’ensemble des éoliennes doivent être serviced par une équipe de technicien pendant la période de 7 jours du plan de maintenance.</w:t>
      </w:r>
      <w:r w:rsidR="00C4274A">
        <w:t xml:space="preserve"> Les WTs ont une puissance nominale de 3.6 MW</w:t>
      </w:r>
      <w:r w:rsidR="00981BB5">
        <w:t xml:space="preserve"> comme dans l’article de Frederiksen et al. (Cost-Effectiveness…). T</w:t>
      </w:r>
      <w:r w:rsidR="006D0349">
        <w:t>he assumed energy market price is about €168/MWh</w:t>
      </w:r>
      <w:r w:rsidR="00981BB5">
        <w:t xml:space="preserve"> </w:t>
      </w:r>
      <w:r w:rsidR="00981BB5">
        <w:t>comme dans l’article de Frederiksen et al. (Cost-Effectiveness…)</w:t>
      </w:r>
      <w:r w:rsidR="00981BB5">
        <w:t xml:space="preserve">. On suppose que le vent est idéal pour la production d’énergie pendant les 7 jours de maintenance et que </w:t>
      </w:r>
      <w:r w:rsidR="00F32484">
        <w:t>le wind factor est de 0.9</w:t>
      </w:r>
      <w:r w:rsidR="00F32484" w:rsidRPr="00F32484">
        <w:t xml:space="preserve"> </w:t>
      </w:r>
      <w:r w:rsidR="00F32484">
        <w:t>comme dans l’article de Frederiksen et al. (Cost-Effectiveness…)</w:t>
      </w:r>
      <w:r w:rsidR="00F32484">
        <w:t>. T</w:t>
      </w:r>
      <w:r w:rsidR="00F32484" w:rsidRPr="00F32484">
        <w:t xml:space="preserve">he mean duration of downtime events </w:t>
      </w:r>
      <w:r w:rsidR="00F32484">
        <w:t>is decided to be</w:t>
      </w:r>
      <w:r w:rsidR="00F32484" w:rsidRPr="00F32484">
        <w:t xml:space="preserve"> 3.5 h</w:t>
      </w:r>
      <w:r w:rsidR="00F32484">
        <w:t xml:space="preserve"> </w:t>
      </w:r>
      <w:r w:rsidR="00F32484">
        <w:t>comme dans l’article de Frederiksen et al. (Cost-Effectiveness…).</w:t>
      </w:r>
      <w:r w:rsidR="00F32484">
        <w:t xml:space="preserve"> </w:t>
      </w:r>
      <w:r w:rsidR="00F32484" w:rsidRPr="00F32484">
        <w:t xml:space="preserve">Standard maintenance tasks require a service time </w:t>
      </w:r>
      <w:r w:rsidR="00F32484">
        <w:t>(T</w:t>
      </w:r>
      <w:r w:rsidR="00F32484" w:rsidRPr="00F32484">
        <w:t>S) of 120 minutes and a mobilization time (TI) of 15 minutes per turbine, constrained within a maximum 12-hour working day limit (H</w:t>
      </w:r>
      <w:r w:rsidR="00F32484">
        <w:t>).</w:t>
      </w:r>
    </w:p>
    <w:p w14:paraId="6A096B00" w14:textId="77777777" w:rsidR="005F5F3F" w:rsidRDefault="005F5F3F" w:rsidP="005F5F3F"/>
    <w:p w14:paraId="554049E9" w14:textId="2D0AB75A" w:rsidR="005F5F3F" w:rsidRDefault="005F5F3F" w:rsidP="005F5F3F">
      <w:r>
        <w:rPr>
          <w:noProof/>
        </w:rPr>
        <w:drawing>
          <wp:inline distT="0" distB="0" distL="0" distR="0" wp14:anchorId="348581B1" wp14:editId="09831662">
            <wp:extent cx="5731510" cy="3406775"/>
            <wp:effectExtent l="0" t="0" r="0" b="0"/>
            <wp:docPr id="2117428709" name="Picture 1" descr="A chart with red and green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428709" name="Picture 1" descr="A chart with red and green square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5731510" cy="3406775"/>
                    </a:xfrm>
                    <a:prstGeom prst="rect">
                      <a:avLst/>
                    </a:prstGeom>
                  </pic:spPr>
                </pic:pic>
              </a:graphicData>
            </a:graphic>
          </wp:inline>
        </w:drawing>
      </w:r>
    </w:p>
    <w:p w14:paraId="45E587D1" w14:textId="15516F8B" w:rsidR="005F5F3F" w:rsidRDefault="005F5F3F" w:rsidP="005F5F3F">
      <w:pPr>
        <w:rPr>
          <w:noProof/>
        </w:rPr>
      </w:pPr>
      <w:r>
        <w:t xml:space="preserve">Je récupère les données metocean de </w:t>
      </w:r>
      <w:r w:rsidRPr="004C2D0E">
        <w:t>Copernicus Marine</w:t>
      </w:r>
      <w:r>
        <w:t xml:space="preserve"> afin d’alimenter ma simulation. J’ai décidé d’utiliser la hauteur significatives des vagues Hs avec un pas de temps de 3 heures.</w:t>
      </w:r>
      <w:r w:rsidRPr="005F5F3F">
        <w:rPr>
          <w:noProof/>
        </w:rPr>
        <w:t xml:space="preserve"> </w:t>
      </w:r>
      <w:r w:rsidR="00981BB5">
        <w:rPr>
          <w:noProof/>
        </w:rPr>
        <w:t xml:space="preserve">Le code que j’ai utilisé pour extraire les données sur la hauteur significatives des vagues est Hs.py. Il s’occupe de retourner la valeur de Hs selon la localisation choisie </w:t>
      </w:r>
      <w:r w:rsidR="00981BB5" w:rsidRPr="00981BB5">
        <w:rPr>
          <w:noProof/>
        </w:rPr>
        <w:t>from NetCDF files</w:t>
      </w:r>
      <w:r w:rsidR="00981BB5">
        <w:rPr>
          <w:noProof/>
        </w:rPr>
        <w:t xml:space="preserve">. </w:t>
      </w:r>
      <w:r w:rsidR="00981BB5" w:rsidRPr="00981BB5">
        <w:rPr>
          <w:noProof/>
          <w:lang w:val="en-GB"/>
        </w:rPr>
        <w:t xml:space="preserve">I also took the time to test the sensitivity of my model to the spatial resolution of the metocean data. I extracted the significant wave heights (Hs) not only for the center of the wind farm but also for the four corners of our 20 km by 15 km area. The results </w:t>
      </w:r>
      <w:r w:rsidR="00981BB5">
        <w:rPr>
          <w:noProof/>
          <w:lang w:val="en-GB"/>
        </w:rPr>
        <w:t xml:space="preserve">on the Figure </w:t>
      </w:r>
      <w:r w:rsidR="00981BB5" w:rsidRPr="00981BB5">
        <w:rPr>
          <w:noProof/>
          <w:lang w:val="en-GB"/>
        </w:rPr>
        <w:t xml:space="preserve">show a very clear East-West gradient: </w:t>
      </w:r>
      <w:r w:rsidR="00981BB5" w:rsidRPr="00981BB5">
        <w:rPr>
          <w:noProof/>
          <w:lang w:val="en-GB"/>
        </w:rPr>
        <w:lastRenderedPageBreak/>
        <w:t>during certain low-pressure passages, the Western edge drops back below the vessel operational limit while the Eastern edge remains inaccessible. Theoretically, a routing algorithm could exploit these micro-windows. However, to avoid an explosion of algorithmic complexity (which would shift the project into a dynamic spatio-temporal routing problem beyond the scope of this MSc) I made the decision to maintain the assumption of a single reference point at the farm’s center.</w:t>
      </w:r>
    </w:p>
    <w:p w14:paraId="2228FA79" w14:textId="4441145C" w:rsidR="00981BB5" w:rsidRDefault="00981BB5" w:rsidP="005F5F3F">
      <w:r>
        <w:rPr>
          <w:noProof/>
        </w:rPr>
        <w:drawing>
          <wp:inline distT="0" distB="0" distL="0" distR="0" wp14:anchorId="0FB6DB93" wp14:editId="0A578ABA">
            <wp:extent cx="5731510" cy="2832100"/>
            <wp:effectExtent l="0" t="0" r="0" b="0"/>
            <wp:docPr id="558708929" name="Picture 2" descr="A graph showing different color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8708929" name="Picture 2" descr="A graph showing different colors and number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832100"/>
                    </a:xfrm>
                    <a:prstGeom prst="rect">
                      <a:avLst/>
                    </a:prstGeom>
                  </pic:spPr>
                </pic:pic>
              </a:graphicData>
            </a:graphic>
          </wp:inline>
        </w:drawing>
      </w:r>
    </w:p>
    <w:p w14:paraId="378CEAAE" w14:textId="0CC403AA" w:rsidR="004C2D0E" w:rsidRDefault="006D0349">
      <w:r>
        <w:t xml:space="preserve">Les specifications des CTVs ont été déterminé à l’aide des données fournies par l’article de Frederiksen. </w:t>
      </w:r>
      <w:r w:rsidRPr="006D0349">
        <w:t>While theoretical specifications often suggest a 1.5m wave limit, industry practice dictates a stricter operational limit of 1.3m Hs to ensure safe technician transfer (Dobbie, 2026)</w:t>
      </w:r>
      <w:r>
        <w:t xml:space="preserve">. </w:t>
      </w:r>
      <w:r w:rsidRPr="006D0349">
        <w:t>The CTV operates with a transit speed</w:t>
      </w:r>
      <w:r>
        <w:t xml:space="preserve"> (Vs</w:t>
      </w:r>
      <w:r w:rsidRPr="006D0349">
        <w:t xml:space="preserve">) of 8.0 m/s, a fixed daily charter cost (FCV) of €3,400, </w:t>
      </w:r>
      <w:r>
        <w:t xml:space="preserve">a </w:t>
      </w:r>
      <w:r w:rsidRPr="006D0349">
        <w:t>vessel fuel</w:t>
      </w:r>
      <w:r>
        <w:t xml:space="preserve"> cost</w:t>
      </w:r>
      <w:r w:rsidRPr="006D0349">
        <w:t xml:space="preserve"> per hour</w:t>
      </w:r>
      <w:r>
        <w:t xml:space="preserve"> (COF) of €400 </w:t>
      </w:r>
      <w:r w:rsidRPr="006D0349">
        <w:t>and a daily crew cost (COL) of €1,440.</w:t>
      </w:r>
    </w:p>
    <w:p w14:paraId="236FD023" w14:textId="63F212CB" w:rsidR="00436BCC" w:rsidRDefault="006D0349" w:rsidP="00436BCC">
      <w:r>
        <w:t>Les specifications des</w:t>
      </w:r>
      <w:r>
        <w:t xml:space="preserve"> SOVs ont été déterminées à l’aide de Dobbie Fraser qui a bien voulu repondre à mes question au cours du Global Offshore Wind 2026 à Manchester</w:t>
      </w:r>
      <w:r w:rsidR="00E1168E">
        <w:t xml:space="preserve">. Ils peuvent opérer jusqu’à une limite de 3.5m de Hs, mais en réalité c’est plutôt le vent qui pose problème car au delas de 40 knots de vent, ils ne peuvent plus transférer de personnels sur les WTs. Ils ont une vitesse de transit de 6.2 m/s, </w:t>
      </w:r>
      <w:r w:rsidR="00436BCC" w:rsidRPr="006D0349">
        <w:t>a fixed daily charter cost (FCV) of</w:t>
      </w:r>
      <w:r w:rsidR="00436BCC">
        <w:t xml:space="preserve"> €35,000, </w:t>
      </w:r>
      <w:r w:rsidR="00436BCC">
        <w:t xml:space="preserve">a </w:t>
      </w:r>
      <w:r w:rsidR="00436BCC" w:rsidRPr="006D0349">
        <w:t>vessel fuel</w:t>
      </w:r>
      <w:r w:rsidR="00436BCC">
        <w:t xml:space="preserve"> cost</w:t>
      </w:r>
      <w:r w:rsidR="00436BCC" w:rsidRPr="006D0349">
        <w:t xml:space="preserve"> per hour</w:t>
      </w:r>
      <w:r w:rsidR="00436BCC">
        <w:t xml:space="preserve"> (COF) of €</w:t>
      </w:r>
      <w:r w:rsidR="00436BCC">
        <w:t>2</w:t>
      </w:r>
      <w:r w:rsidR="00436BCC">
        <w:t xml:space="preserve">00 </w:t>
      </w:r>
      <w:r w:rsidR="00436BCC" w:rsidRPr="006D0349">
        <w:t>and a daily crew cost (COL) of €</w:t>
      </w:r>
      <w:r w:rsidR="00436BCC">
        <w:t>4,50</w:t>
      </w:r>
      <w:r w:rsidR="00436BCC" w:rsidRPr="006D0349">
        <w:t>0.</w:t>
      </w:r>
      <w:r w:rsidR="00436BCC">
        <w:t xml:space="preserve"> </w:t>
      </w:r>
      <w:r w:rsidR="00436BCC">
        <w:t>Dobbie Fraser</w:t>
      </w:r>
      <w:r w:rsidR="00436BCC">
        <w:t xml:space="preserve"> m’a indiqué que les SOVs consommaient environ </w:t>
      </w:r>
      <w:r w:rsidR="00436BCC" w:rsidRPr="00436BCC">
        <w:t>3.5 tonnes a day of fuel</w:t>
      </w:r>
      <w:r w:rsidR="00CD269B">
        <w:t>.</w:t>
      </w:r>
      <w:r w:rsidR="00436BCC">
        <w:t xml:space="preserve"> </w:t>
      </w:r>
      <w:r w:rsidR="00C42ACF">
        <w:t>Le cours du MGO à Rotterdam au 29/06/2026 est à 875$/t (</w:t>
      </w:r>
      <w:r w:rsidR="00C42ACF" w:rsidRPr="00C42ACF">
        <w:t>https://www.bunkerindex.com/prices/port.php?p=637&amp;n=rotterdam-netherlands</w:t>
      </w:r>
      <w:r w:rsidR="00C42ACF">
        <w:t xml:space="preserve">), et le cours de l’euro est à 1,14$ au 29/06/2026. Ainsi le MGO coute </w:t>
      </w:r>
      <w:r w:rsidR="000E4CAE">
        <w:t>767</w:t>
      </w:r>
      <w:r w:rsidR="00436BCC" w:rsidRPr="00436BCC">
        <w:t xml:space="preserve"> €</w:t>
      </w:r>
      <w:r w:rsidR="000E4CAE">
        <w:t>/t, ce qui corresponds à 2</w:t>
      </w:r>
      <w:r w:rsidR="00CD269B">
        <w:t>,</w:t>
      </w:r>
      <w:r w:rsidR="000E4CAE">
        <w:t>686</w:t>
      </w:r>
      <w:r w:rsidR="00436BCC" w:rsidRPr="00436BCC">
        <w:t>€ per day for fuel</w:t>
      </w:r>
      <w:r w:rsidR="000E4CAE">
        <w:t>.</w:t>
      </w:r>
      <w:r w:rsidR="00CD269B">
        <w:t xml:space="preserve"> Nous allons arrondir à 3,000€ per day for fuel afin d'intégrer les frais de logistiquee de livraison (bunkering fees) facturés par le port en plus du prix brut au port de Rotterdam. </w:t>
      </w:r>
      <w:r w:rsidR="00CD269B" w:rsidRPr="00CD269B">
        <w:t xml:space="preserve">CTVs consume fuel primarily during active daily </w:t>
      </w:r>
      <w:r w:rsidR="00CD269B" w:rsidRPr="00CD269B">
        <w:lastRenderedPageBreak/>
        <w:t>shifts (transit and idling at the turbine), whereas SOVs inherently consume fuel continuously over a 24-hour cycle to maintain offshore positioning and hotel loads.</w:t>
      </w:r>
    </w:p>
    <w:p w14:paraId="1CD656ED" w14:textId="1390839E" w:rsidR="006D0349" w:rsidRDefault="006D0349"/>
    <w:p w14:paraId="7CA110F1" w14:textId="6870F0FF" w:rsidR="00F32484" w:rsidRDefault="00F32484">
      <w:r>
        <w:t>Simulation architecture and algorithmic logic</w:t>
      </w:r>
    </w:p>
    <w:p w14:paraId="07662644" w14:textId="199563FD" w:rsidR="00F32484" w:rsidRDefault="00F32484">
      <w:r w:rsidRPr="00F32484">
        <w:t>The simulation operates on a Rolling Horizon Planning logic. Rather than generating a static, rigid maintenance queue at the beginning of a campaign, the algorithm performs a global re-prioritization at the start of every operational day. This ensures that the dispatch logic dynamically adapts to weather-induced delays and evolving turbine risks.</w:t>
      </w:r>
      <w:r>
        <w:t xml:space="preserve"> Ce choix de logique de programmation qui est différent de l’optimisation sous contraintes utilisée par Frederiksen et al. s’explique par </w:t>
      </w:r>
      <w:r w:rsidR="001C06E7">
        <w:t xml:space="preserve">la complexité de cette dernière à mettre en place sans avoir accès à des logiciels professionels de programmation comme par exemple IBM ILOG CPLEX qui est utilisé dans la methode de frederiksen et al.. </w:t>
      </w:r>
      <w:r w:rsidR="001C06E7" w:rsidRPr="001C06E7">
        <w:t>While literature often relies on commercial MILP solvers like IBM ILOG CPLEX for maintenance scheduling, the combinatorial explosion associated with integrating severe hourly metocean constraints rendered free-tier solver limits (1000 constraints) unviable. Therefore, a custom Python-based heuristic combining daily risk-prioritization with an exact combinatorial routing algorithm was developed, ensuring computational efficiency and total adaptability to weather windows.</w:t>
      </w:r>
    </w:p>
    <w:p w14:paraId="14EDCF16" w14:textId="60A0CB23" w:rsidR="00BA042E" w:rsidRDefault="00BA042E" w:rsidP="00BA042E">
      <w:r>
        <w:t xml:space="preserve">Target prioritization </w:t>
      </w:r>
      <w:r>
        <w:t>varies between the two maintenance strategies:</w:t>
      </w:r>
    </w:p>
    <w:p w14:paraId="442756AD" w14:textId="17DBA6F5" w:rsidR="00BA042E" w:rsidRDefault="00BA042E" w:rsidP="00BA042E">
      <w:r>
        <w:t>Preventive Strategy: Turbines are prioritized based on geographic proximity (Euclidean distance) to the logistical base or the vessel's offshore position.</w:t>
      </w:r>
    </w:p>
    <w:p w14:paraId="39A301B8" w14:textId="64B8207D" w:rsidR="001C06E7" w:rsidRDefault="00BA042E" w:rsidP="00BA042E">
      <w:r>
        <w:t>Predictive Strategy: Turbines are ranked strictly by their Predictive Risk Score (Pr</w:t>
      </w:r>
      <w:r w:rsidR="00070B46">
        <w:t>(</w:t>
      </w:r>
      <w:r>
        <w:t>Di</w:t>
      </w:r>
      <w:r w:rsidR="00070B46">
        <w:t>)</w:t>
      </w:r>
      <w:r>
        <w:t>), prioritizing assets with the highest probability of imminent failure.</w:t>
      </w:r>
      <w:r w:rsidR="00070B46">
        <w:t xml:space="preserve"> </w:t>
      </w:r>
      <w:r>
        <w:t>Each day, a subgroup of maximum 6 turbines is selected to form the primary target list.</w:t>
      </w:r>
      <w:r w:rsidR="00070B46" w:rsidRPr="00070B46">
        <w:t xml:space="preserve"> </w:t>
      </w:r>
      <w:r w:rsidR="00070B46">
        <w:t>B</w:t>
      </w:r>
      <w:r w:rsidR="00070B46" w:rsidRPr="00070B46">
        <w:t>ecause these high-risk assets are often geographically scattered across the wind farm, the logistics cannot simply default to visiting the "nearest" turbine. Instead, the simulation must compute a globally optimized route to service this specific high-risk subgroup.</w:t>
      </w:r>
    </w:p>
    <w:p w14:paraId="0C850B68" w14:textId="0054DC15" w:rsidR="00070B46" w:rsidRDefault="00070B46" w:rsidP="00BA042E">
      <w:r>
        <w:t>Routing algorithm</w:t>
      </w:r>
    </w:p>
    <w:p w14:paraId="23B532B2" w14:textId="5C8DFEF9" w:rsidR="00070B46" w:rsidRDefault="00070B46" w:rsidP="00070B46">
      <w:r>
        <w:t xml:space="preserve">To minimize transit time and fuel consumption when servicing the </w:t>
      </w:r>
      <w:r>
        <w:t>WTs</w:t>
      </w:r>
      <w:r>
        <w:t>, the daily vessel route is optimized using a custom Traveling Salesperson Problem (TSP) solver. For any given subgroup of targeted turbines, the algorithm utilizes combinatorial logic (itertools.permutations in Python) to generate all possible visiting orders.</w:t>
      </w:r>
    </w:p>
    <w:p w14:paraId="7966960D" w14:textId="12D6617E" w:rsidR="00070B46" w:rsidRDefault="00070B46" w:rsidP="00070B46">
      <w:r>
        <w:t>For each permutation, the solver calculates the cumulative Euclidean distance (</w:t>
      </w:r>
      <w:r>
        <w:t>d</w:t>
      </w:r>
      <w:r>
        <w:t>), starting from the base coordinates, travelling through each turbine in the generated sequence, and returning to the base:</w:t>
      </w:r>
    </w:p>
    <w:p w14:paraId="6F97642F" w14:textId="77777777" w:rsidR="00070B46" w:rsidRDefault="00070B46" w:rsidP="00070B46"/>
    <w:p w14:paraId="1DEB5BD5" w14:textId="720918FF" w:rsidR="00070B46" w:rsidRDefault="00070B46" w:rsidP="00070B46">
      <w:r>
        <w:lastRenderedPageBreak/>
        <w:t>d = \sqrt{(X_2 - X_1)^2 + (Y_2 - Y_1)^2}</w:t>
      </w:r>
    </w:p>
    <w:p w14:paraId="692EBE7D" w14:textId="77777777" w:rsidR="00070B46" w:rsidRDefault="00070B46" w:rsidP="00070B46"/>
    <w:p w14:paraId="414E9F85" w14:textId="10C259DD" w:rsidR="00070B46" w:rsidRDefault="00070B46" w:rsidP="00070B46">
      <w:r>
        <w:t>The sequence yielding the absolute minimum total distance (D_{total}) is recorded as the optimal route. The total duration of the daily mission (Shift\_Time, in hours) for this N-turbine route is then computed as the sum of transit time and operational time:</w:t>
      </w:r>
    </w:p>
    <w:p w14:paraId="004A908E" w14:textId="77777777" w:rsidR="00070B46" w:rsidRDefault="00070B46" w:rsidP="00070B46"/>
    <w:p w14:paraId="479845E4" w14:textId="6509B0ED" w:rsidR="00070B46" w:rsidRDefault="00070B46" w:rsidP="00070B46">
      <w:r>
        <w:t>Shift\_Time = \left( \frac{D_{total}}{V_s \times 3.6} \right) + \frac{N \times (TS + 2 \times TI)}{60}</w:t>
      </w:r>
    </w:p>
    <w:p w14:paraId="37BE1F69" w14:textId="77777777" w:rsidR="00070B46" w:rsidRDefault="00070B46" w:rsidP="00070B46"/>
    <w:p w14:paraId="13C7D05F" w14:textId="221E2826" w:rsidR="00070B46" w:rsidRDefault="00070B46" w:rsidP="00070B46">
      <w:r>
        <w:t>To enforce the 12-hour operational limit (H), a "Fallback Queue" mechanism is implemented. If the optimized Shift\_Time exceeds H, the algorithm iteratively removes the furthest turbine from the day's subgroup and recalculates the TSP route until a compliant schedule is achieved.</w:t>
      </w:r>
    </w:p>
    <w:p w14:paraId="705947BC" w14:textId="5208102B" w:rsidR="00070B46" w:rsidRDefault="00070B46" w:rsidP="00070B46">
      <w:r>
        <w:t>Weather Window</w:t>
      </w:r>
    </w:p>
    <w:p w14:paraId="050BF1B5" w14:textId="6442C20C" w:rsidR="00070B46" w:rsidRDefault="00070B46" w:rsidP="00070B46">
      <w:r>
        <w:t xml:space="preserve">Ce qui rend ma methodologie novatrice cest d’ajouter les contraintes de la météo. </w:t>
      </w:r>
      <w:r>
        <w:t>Once a route is generated, a dynamic weather check evaluates the H_s along the required continuous working hours. Since the metocean data operates on a specific temporal resolution (3-hour blocks), the required number of clear weather blocks is calculated as:</w:t>
      </w:r>
    </w:p>
    <w:p w14:paraId="0E904BE9" w14:textId="129D9071" w:rsidR="00070B46" w:rsidRDefault="00070B46" w:rsidP="00070B46">
      <w:r>
        <w:t>Blocks = \lceil \frac{Shift\_Time}{3} \rceil</w:t>
      </w:r>
    </w:p>
    <w:p w14:paraId="19FFD433" w14:textId="025E612E" w:rsidR="00070B46" w:rsidRDefault="00070B46" w:rsidP="00070B46">
      <w:r>
        <w:t>If the maximum significant wave height during these required blocks exceeds the vessel's specific operational limit (\max(H_s) &gt; Vessel\_Limit), an Abort &amp; Push protocol is triggered. The mission for that specific group size is aborted, and the algorithm attempts to route a smaller subgroup. If even a single turbine cannot be safely accessed, a "No-Go" day is declared, all targets are pushed to the following day, and downtime penalties continue to accrue.</w:t>
      </w:r>
    </w:p>
    <w:p w14:paraId="411AB3E4" w14:textId="71233881" w:rsidR="00D62C83" w:rsidRDefault="00D62C83" w:rsidP="00070B46">
      <w:r>
        <w:t>Financial Evaluation</w:t>
      </w:r>
    </w:p>
    <w:p w14:paraId="2C0ECEE0" w14:textId="4F232378" w:rsidR="00D62C83" w:rsidRDefault="00D62C83" w:rsidP="00070B46">
      <w:r>
        <w:t>L’objectif est d’évaluer financièrement l’impact de la logistique opérationnelle de la campagne de maintenance.</w:t>
      </w:r>
    </w:p>
    <w:p w14:paraId="377F2577" w14:textId="63E19436" w:rsidR="00D62C83" w:rsidRDefault="00D62C83" w:rsidP="00070B46">
      <w:r>
        <w:t xml:space="preserve">The performance of the campaign is measured by the operational profits </w:t>
      </w:r>
      <w:r w:rsidR="00CB433F">
        <w:t>equation proposed by Frederiksen et al. (2024)</w:t>
      </w:r>
      <w:r>
        <w:t>:</w:t>
      </w:r>
    </w:p>
    <w:p w14:paraId="4CA6EC38" w14:textId="32D4CE03" w:rsidR="00D62C83" w:rsidRDefault="00D62C83" w:rsidP="00070B46">
      <w:r>
        <w:t>P_T = Rev_</w:t>
      </w:r>
      <w:r w:rsidR="00CB433F">
        <w:t>T</w:t>
      </w:r>
      <w:r>
        <w:t xml:space="preserve"> </w:t>
      </w:r>
      <w:r w:rsidR="00CB433F">
        <w:t>–</w:t>
      </w:r>
      <w:r>
        <w:t xml:space="preserve"> CoD</w:t>
      </w:r>
      <w:r w:rsidR="00CB433F">
        <w:t>_T</w:t>
      </w:r>
      <w:r>
        <w:t xml:space="preserve"> </w:t>
      </w:r>
      <w:r w:rsidR="00CB433F">
        <w:t>–</w:t>
      </w:r>
      <w:r>
        <w:t xml:space="preserve"> </w:t>
      </w:r>
      <w:r w:rsidR="00CB433F">
        <w:t>CS_T</w:t>
      </w:r>
      <w:r>
        <w:t xml:space="preserve"> </w:t>
      </w:r>
      <w:r w:rsidR="00CB433F">
        <w:t>–</w:t>
      </w:r>
      <w:r>
        <w:t xml:space="preserve"> CPS</w:t>
      </w:r>
      <w:r w:rsidR="00CB433F">
        <w:t>_</w:t>
      </w:r>
      <w:r>
        <w:t>T</w:t>
      </w:r>
    </w:p>
    <w:p w14:paraId="40DBBCDB" w14:textId="1CC6F52C" w:rsidR="00D62C83" w:rsidRDefault="00CB433F" w:rsidP="00070B46">
      <w:r>
        <w:t xml:space="preserve">In </w:t>
      </w:r>
      <w:r>
        <w:t xml:space="preserve">their model, the total net profit </w:t>
      </w:r>
      <w:r>
        <w:rPr>
          <w:rStyle w:val="math-inline"/>
          <w:rFonts w:ascii="Arial" w:hAnsi="Arial" w:cs="Arial"/>
        </w:rPr>
        <w:t>(</w:t>
      </w:r>
      <w:r>
        <w:rPr>
          <w:rStyle w:val="math-inline"/>
          <w:rFonts w:ascii="Arial" w:hAnsi="Arial" w:cs="Arial"/>
        </w:rPr>
        <w:t>P_T</w:t>
      </w:r>
      <w:r>
        <w:t>) is defined as the actual revenue generated minus the logistical costs (</w:t>
      </w:r>
      <w:r>
        <w:rPr>
          <w:rStyle w:val="math-inline"/>
          <w:rFonts w:ascii="Arial" w:hAnsi="Arial" w:cs="Arial"/>
        </w:rPr>
        <w:t>CS_T</w:t>
      </w:r>
      <w:r>
        <w:t>) and the AI implementation costs (</w:t>
      </w:r>
      <w:r>
        <w:rPr>
          <w:rStyle w:val="math-inline"/>
          <w:rFonts w:ascii="Arial" w:hAnsi="Arial" w:cs="Arial"/>
        </w:rPr>
        <w:t>CPS_T</w:t>
      </w:r>
      <w:r>
        <w:t xml:space="preserve">). The actual </w:t>
      </w:r>
      <w:r>
        <w:lastRenderedPageBreak/>
        <w:t>revenue itself is calculated by subtracting the Cost of Downtime (</w:t>
      </w:r>
      <w:r>
        <w:rPr>
          <w:rStyle w:val="math-inline"/>
          <w:rFonts w:ascii="Arial" w:hAnsi="Arial" w:cs="Arial"/>
        </w:rPr>
        <w:t>CoD_T</w:t>
      </w:r>
      <w:r>
        <w:t>) from the potential maximum revenue (</w:t>
      </w:r>
      <w:r>
        <w:rPr>
          <w:rStyle w:val="math-inline"/>
          <w:rFonts w:ascii="Arial" w:hAnsi="Arial" w:cs="Arial"/>
        </w:rPr>
        <w:t>Rev_</w:t>
      </w:r>
      <w:r>
        <w:rPr>
          <w:rStyle w:val="math-inline"/>
          <w:rFonts w:ascii="Arial" w:hAnsi="Arial" w:cs="Arial"/>
        </w:rPr>
        <w:t>T)</w:t>
      </w:r>
      <w:r>
        <w:t>.</w:t>
      </w:r>
    </w:p>
    <w:p w14:paraId="6A5890C3" w14:textId="31E5AC33" w:rsidR="00CB433F" w:rsidRDefault="00CB433F" w:rsidP="00CB433F">
      <w:r>
        <w:t>The Maximum Potential Revenue ($Rev_T$) represents the theoretical income generated if all turbines operated flawlessly without any downtime. For a single turbine, the hourly revenue potential ($Rev_{hour}$) is calculated using the regional market parameters:</w:t>
      </w:r>
    </w:p>
    <w:p w14:paraId="18C6A996" w14:textId="11B2CDDF" w:rsidR="00CB433F" w:rsidRDefault="00CB433F" w:rsidP="00CB433F">
      <w:r>
        <w:t>Rev_{hour} = MW \times Price_{MWh} \times W_{factor} \times Discount</w:t>
      </w:r>
    </w:p>
    <w:p w14:paraId="26C4870B" w14:textId="77777777" w:rsidR="002310B8" w:rsidRDefault="002310B8" w:rsidP="002310B8">
      <w:r>
        <w:t>To calculate the penalties subtracted from this revenue, the expected number of failure events per turbine ($E_{expected}$) is first determined based on the AI's predictive accuracy:</w:t>
      </w:r>
    </w:p>
    <w:p w14:paraId="5C7D7D0C" w14:textId="77777777" w:rsidR="002310B8" w:rsidRDefault="002310B8" w:rsidP="002310B8"/>
    <w:p w14:paraId="55331D36" w14:textId="77777777" w:rsidR="002310B8" w:rsidRDefault="002310B8" w:rsidP="002310B8">
      <w:r>
        <w:t>$$E_{expected} = (Pr_D \times MSTP) + ((1 - Pr_D) \times MSFN)$$</w:t>
      </w:r>
    </w:p>
    <w:p w14:paraId="24F47104" w14:textId="77777777" w:rsidR="002310B8" w:rsidRDefault="002310B8" w:rsidP="002310B8"/>
    <w:p w14:paraId="50A07C78" w14:textId="77777777" w:rsidR="002310B8" w:rsidRDefault="002310B8" w:rsidP="002310B8">
      <w:r>
        <w:t>In this formulation, derived from Frederiksen's efficiency framework, the reliability of the predictive maintenance system is quantified using two critical membership scores. The Membership Score True Positive ($MSTP$) represents the probability that the AI correctly identifies a turbine that is genuinely degrading and requires intervention. Conversely, the Membership Score False Negative ($MSFN$) signifies the critical error rate where the AI fails to predict an imminent breakdown, assuming the asset is healthy. The variable $Pr_D$ represents the inherent baseline probability of degradation for the specific turbine.</w:t>
      </w:r>
    </w:p>
    <w:p w14:paraId="37D3F584" w14:textId="77777777" w:rsidR="002310B8" w:rsidRDefault="002310B8" w:rsidP="002310B8"/>
    <w:p w14:paraId="597E8E56" w14:textId="77777777" w:rsidR="002310B8" w:rsidRDefault="002310B8" w:rsidP="002310B8">
      <w:r>
        <w:t>Consequently, $E_{expected}$ encapsulates both the failures the AI successfully anticipates (allowing for proactive dispatch) and the sudden, unanticipated failures resulting from the $MSFN$ gap. A high $MSFN$ is particularly detrimental to the campaign's cost-effectiveness, as it inevitably leads to unexpected downtime and requires highly inefficient reactive logistical deployments.</w:t>
      </w:r>
    </w:p>
    <w:p w14:paraId="67275AB9" w14:textId="77777777" w:rsidR="002310B8" w:rsidRDefault="002310B8" w:rsidP="002310B8"/>
    <w:p w14:paraId="6BD0511B" w14:textId="77777777" w:rsidR="002310B8" w:rsidRDefault="002310B8" w:rsidP="002310B8">
      <w:r>
        <w:t>For every expected failure that is not prevented—either due to low risk prioritization or, crucially in this adapted study, weather-induced "No-Go" days that delay the maintenance—the Cost of Downtime ($CoD_T$) actively accumulates. Assuming an average downtime length ($h_{downtime}$) of 3.5 hours for an unprevented failure, the penalty is dynamically tied to the unvisited turbines:</w:t>
      </w:r>
    </w:p>
    <w:p w14:paraId="31C47A36" w14:textId="77777777" w:rsidR="002310B8" w:rsidRDefault="002310B8" w:rsidP="002310B8"/>
    <w:p w14:paraId="599137C4" w14:textId="77777777" w:rsidR="002310B8" w:rsidRDefault="002310B8" w:rsidP="002310B8">
      <w:r>
        <w:lastRenderedPageBreak/>
        <w:t>$$CoD_T = \sum_{days} \left( \max(0, E_{expected} - E_{prevented}) \times h_{downtime} \times Rev_{hour} \right)$$</w:t>
      </w:r>
    </w:p>
    <w:p w14:paraId="2F9CEABA" w14:textId="77777777" w:rsidR="00CB433F" w:rsidRDefault="00CB433F" w:rsidP="00CB433F"/>
    <w:p w14:paraId="2E4BD93C" w14:textId="77777777" w:rsidR="00070B46" w:rsidRDefault="00070B46" w:rsidP="00070B46"/>
    <w:p w14:paraId="551B853E" w14:textId="77777777" w:rsidR="00070B46" w:rsidRPr="004B2AA6" w:rsidRDefault="00070B46" w:rsidP="00BA042E"/>
    <w:sectPr w:rsidR="00070B46" w:rsidRPr="004B2A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9F7"/>
    <w:rsid w:val="0002169A"/>
    <w:rsid w:val="00070B46"/>
    <w:rsid w:val="000E4CAE"/>
    <w:rsid w:val="001C06E7"/>
    <w:rsid w:val="002310B8"/>
    <w:rsid w:val="00436BCC"/>
    <w:rsid w:val="004B2AA6"/>
    <w:rsid w:val="004C2D0E"/>
    <w:rsid w:val="004C79F7"/>
    <w:rsid w:val="005F5F3F"/>
    <w:rsid w:val="006011FE"/>
    <w:rsid w:val="006D0349"/>
    <w:rsid w:val="008E5087"/>
    <w:rsid w:val="008F432D"/>
    <w:rsid w:val="00975090"/>
    <w:rsid w:val="00981BB5"/>
    <w:rsid w:val="009A5579"/>
    <w:rsid w:val="009D1961"/>
    <w:rsid w:val="00A5215A"/>
    <w:rsid w:val="00B27089"/>
    <w:rsid w:val="00BA042E"/>
    <w:rsid w:val="00BF2F1D"/>
    <w:rsid w:val="00C4274A"/>
    <w:rsid w:val="00C42ACF"/>
    <w:rsid w:val="00CB433F"/>
    <w:rsid w:val="00CD269B"/>
    <w:rsid w:val="00CE772A"/>
    <w:rsid w:val="00D62C83"/>
    <w:rsid w:val="00E1168E"/>
    <w:rsid w:val="00F32484"/>
  </w:rsids>
  <m:mathPr>
    <m:mathFont m:val="Cambria Math"/>
    <m:brkBin m:val="before"/>
    <m:brkBinSub m:val="--"/>
    <m:smallFrac m:val="0"/>
    <m:dispDef/>
    <m:lMargin m:val="0"/>
    <m:rMargin m:val="0"/>
    <m:defJc m:val="centerGroup"/>
    <m:wrapIndent m:val="1440"/>
    <m:intLim m:val="subSup"/>
    <m:naryLim m:val="undOvr"/>
  </m:mathPr>
  <w:themeFontLang w:val="en-FR"/>
  <w:clrSchemeMapping w:bg1="light1" w:t1="dark1" w:bg2="light2" w:t2="dark2" w:accent1="accent1" w:accent2="accent2" w:accent3="accent3" w:accent4="accent4" w:accent5="accent5" w:accent6="accent6" w:hyperlink="hyperlink" w:followedHyperlink="followedHyperlink"/>
  <w:decimalSymbol w:val=","/>
  <w:listSeparator w:val=","/>
  <w14:docId w14:val="505F4085"/>
  <w15:chartTrackingRefBased/>
  <w15:docId w15:val="{7C546284-1241-5A42-A319-94B73F6929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79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79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79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79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79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79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79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79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79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9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9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9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9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9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9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9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9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9F7"/>
    <w:rPr>
      <w:rFonts w:eastAsiaTheme="majorEastAsia" w:cstheme="majorBidi"/>
      <w:color w:val="272727" w:themeColor="text1" w:themeTint="D8"/>
    </w:rPr>
  </w:style>
  <w:style w:type="paragraph" w:styleId="Title">
    <w:name w:val="Title"/>
    <w:basedOn w:val="Normal"/>
    <w:next w:val="Normal"/>
    <w:link w:val="TitleChar"/>
    <w:uiPriority w:val="10"/>
    <w:qFormat/>
    <w:rsid w:val="004C79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79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9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79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9F7"/>
    <w:pPr>
      <w:spacing w:before="160"/>
      <w:jc w:val="center"/>
    </w:pPr>
    <w:rPr>
      <w:i/>
      <w:iCs/>
      <w:color w:val="404040" w:themeColor="text1" w:themeTint="BF"/>
    </w:rPr>
  </w:style>
  <w:style w:type="character" w:customStyle="1" w:styleId="QuoteChar">
    <w:name w:val="Quote Char"/>
    <w:basedOn w:val="DefaultParagraphFont"/>
    <w:link w:val="Quote"/>
    <w:uiPriority w:val="29"/>
    <w:rsid w:val="004C79F7"/>
    <w:rPr>
      <w:i/>
      <w:iCs/>
      <w:color w:val="404040" w:themeColor="text1" w:themeTint="BF"/>
    </w:rPr>
  </w:style>
  <w:style w:type="paragraph" w:styleId="ListParagraph">
    <w:name w:val="List Paragraph"/>
    <w:basedOn w:val="Normal"/>
    <w:uiPriority w:val="34"/>
    <w:qFormat/>
    <w:rsid w:val="004C79F7"/>
    <w:pPr>
      <w:ind w:left="720"/>
      <w:contextualSpacing/>
    </w:pPr>
  </w:style>
  <w:style w:type="character" w:styleId="IntenseEmphasis">
    <w:name w:val="Intense Emphasis"/>
    <w:basedOn w:val="DefaultParagraphFont"/>
    <w:uiPriority w:val="21"/>
    <w:qFormat/>
    <w:rsid w:val="004C79F7"/>
    <w:rPr>
      <w:i/>
      <w:iCs/>
      <w:color w:val="0F4761" w:themeColor="accent1" w:themeShade="BF"/>
    </w:rPr>
  </w:style>
  <w:style w:type="paragraph" w:styleId="IntenseQuote">
    <w:name w:val="Intense Quote"/>
    <w:basedOn w:val="Normal"/>
    <w:next w:val="Normal"/>
    <w:link w:val="IntenseQuoteChar"/>
    <w:uiPriority w:val="30"/>
    <w:qFormat/>
    <w:rsid w:val="004C79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79F7"/>
    <w:rPr>
      <w:i/>
      <w:iCs/>
      <w:color w:val="0F4761" w:themeColor="accent1" w:themeShade="BF"/>
    </w:rPr>
  </w:style>
  <w:style w:type="character" w:styleId="IntenseReference">
    <w:name w:val="Intense Reference"/>
    <w:basedOn w:val="DefaultParagraphFont"/>
    <w:uiPriority w:val="32"/>
    <w:qFormat/>
    <w:rsid w:val="004C79F7"/>
    <w:rPr>
      <w:b/>
      <w:bCs/>
      <w:smallCaps/>
      <w:color w:val="0F4761" w:themeColor="accent1" w:themeShade="BF"/>
      <w:spacing w:val="5"/>
    </w:rPr>
  </w:style>
  <w:style w:type="character" w:customStyle="1" w:styleId="math-inline">
    <w:name w:val="math-inline"/>
    <w:basedOn w:val="DefaultParagraphFont"/>
    <w:rsid w:val="00CB433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849</TotalTime>
  <Pages>7</Pages>
  <Words>1971</Words>
  <Characters>11238</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Bertola, Baptiste</dc:creator>
  <cp:keywords/>
  <dc:description/>
  <cp:lastModifiedBy>Bertola, Baptiste</cp:lastModifiedBy>
  <cp:revision>5</cp:revision>
  <dcterms:created xsi:type="dcterms:W3CDTF">2026-06-24T09:10:00Z</dcterms:created>
  <dcterms:modified xsi:type="dcterms:W3CDTF">2026-06-29T15:39:00Z</dcterms:modified>
</cp:coreProperties>
</file>