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B07E" w14:textId="77777777" w:rsidR="008C491F" w:rsidRPr="008C491F" w:rsidRDefault="008C491F" w:rsidP="008C491F">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C491F">
        <w:rPr>
          <w:rFonts w:ascii="Times New Roman" w:eastAsia="Times New Roman" w:hAnsi="Times New Roman" w:cs="Times New Roman"/>
          <w:b/>
          <w:bCs/>
          <w:kern w:val="36"/>
          <w:sz w:val="48"/>
          <w:szCs w:val="48"/>
          <w:lang w:eastAsia="en-GB"/>
          <w14:ligatures w14:val="none"/>
        </w:rPr>
        <w:t>Chapter 3: Methodology</w:t>
      </w:r>
    </w:p>
    <w:p w14:paraId="4AE99416"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3.1. Research Framework and Scenario Design</w:t>
      </w:r>
    </w:p>
    <w:p w14:paraId="7DE2E05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study employs a quantitative simulation programmed in Python to evaluate the short-term cost-effectiveness of maintenance strategies for offshore wind farms operating under severe metocean constraints. The simulation loop operates on 3-hours temporal resolution to accurately track evolving weather windows.</w:t>
      </w:r>
    </w:p>
    <w:p w14:paraId="03C45DF1"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architecture builds upon the framework established by Frederiksen et al. (2024), which evaluated the economic viability of predictive maintenance using an optimal routing model. However, their reference model inherently simplified offshore logistics by assuming continuous, perfect weather conditions (a flat sea state). In reality, maintenance operators require strict meteorological windows to safely deploy technicians. To address this limitation and reflect true offshore operations, this research introduces a dynamic "weather gate" framework.</w:t>
      </w:r>
    </w:p>
    <w:p w14:paraId="1F54AA37"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comprehensively assess the impact of these metocean constraints, the simulation evaluates a matrix of four distinct scenarios, combining two maintenance strategies with two vessel types:</w:t>
      </w:r>
    </w:p>
    <w:p w14:paraId="0E12B44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Crew Transfer Vessel (CTV).</w:t>
      </w:r>
    </w:p>
    <w:p w14:paraId="7E9AFFC0"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CTV.</w:t>
      </w:r>
    </w:p>
    <w:p w14:paraId="1B52618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Service Operation Vessel (SOV).</w:t>
      </w:r>
    </w:p>
    <w:p w14:paraId="4274971E"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SOV.</w:t>
      </w:r>
    </w:p>
    <w:p w14:paraId="0DD6254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3.2. Data Acquisition and Baseline Parameters</w:t>
      </w:r>
    </w:p>
    <w:p w14:paraId="6B60E44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3.2.1. Wind Farm Location and Foundational Dataset</w:t>
      </w:r>
    </w:p>
    <w:p w14:paraId="1CFFB3A9" w14:textId="77777777" w:rsidR="008C491F" w:rsidRDefault="008C491F" w:rsidP="008C491F">
      <w:pPr>
        <w:spacing w:before="100" w:beforeAutospacing="1" w:after="100" w:afterAutospacing="1" w:line="240" w:lineRule="auto"/>
        <w:rPr>
          <w:noProof/>
        </w:rPr>
      </w:pPr>
      <w:r w:rsidRPr="008C491F">
        <w:rPr>
          <w:rFonts w:ascii="Times New Roman" w:eastAsia="Times New Roman" w:hAnsi="Times New Roman" w:cs="Times New Roman"/>
          <w:kern w:val="0"/>
          <w:lang w:eastAsia="en-GB"/>
          <w14:ligatures w14:val="none"/>
        </w:rPr>
        <w:t>The spatial configuration of the hypothetical wind farm is directly derived from the dataset provided in Frederiksen et al.'s (2024) study on cost-effectiveness. As illustrated in Figure 3.1, the simulation considers a subset of 20 Wind Turbines (WTs) distributed across a 20 km by 15 km area, with specific Cartesian coordinates (X, Y) assigned to each asset to calculate Euclidean routing distances.</w:t>
      </w:r>
      <w:r w:rsidRPr="008C491F">
        <w:rPr>
          <w:noProof/>
        </w:rPr>
        <w:t xml:space="preserve"> </w:t>
      </w:r>
    </w:p>
    <w:p w14:paraId="7F22E05E" w14:textId="1AF0A53C"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noProof/>
        </w:rPr>
        <w:lastRenderedPageBreak/>
        <w:drawing>
          <wp:inline distT="0" distB="0" distL="0" distR="0" wp14:anchorId="250011EA" wp14:editId="08183228">
            <wp:extent cx="4381020" cy="2604052"/>
            <wp:effectExtent l="0" t="0" r="635" b="0"/>
            <wp:docPr id="2117428709" name="Picture 1" descr="A chart with red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28709" name="Picture 1" descr="A chart with red and green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14416" cy="2623902"/>
                    </a:xfrm>
                    <a:prstGeom prst="rect">
                      <a:avLst/>
                    </a:prstGeom>
                  </pic:spPr>
                </pic:pic>
              </a:graphicData>
            </a:graphic>
          </wp:inline>
        </w:drawing>
      </w:r>
    </w:p>
    <w:p w14:paraId="46338855" w14:textId="5B91D6A2"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Furthermore, to accurately simulate the predictive maintenance scenario, the daily downtime probabilities ($Pr_{Di}$) for each specific turbine over the 7-day campaign were extracted from Frederiksen et al.'s complementary research on integrated maintenance planning</w:t>
      </w:r>
      <w:r w:rsidR="0051687B">
        <w:rPr>
          <w:rFonts w:ascii="Times New Roman" w:eastAsia="Times New Roman" w:hAnsi="Times New Roman" w:cs="Times New Roman"/>
          <w:kern w:val="0"/>
          <w:lang w:eastAsia="en-GB"/>
          <w14:ligatures w14:val="none"/>
        </w:rPr>
        <w:t xml:space="preserve"> as shown in the Figure 3.2</w:t>
      </w:r>
      <w:r w:rsidRPr="008C491F">
        <w:rPr>
          <w:rFonts w:ascii="Times New Roman" w:eastAsia="Times New Roman" w:hAnsi="Times New Roman" w:cs="Times New Roman"/>
          <w:kern w:val="0"/>
          <w:lang w:eastAsia="en-GB"/>
          <w14:ligatures w14:val="none"/>
        </w:rPr>
        <w:t>. Utilizing this peer-reviewed baseline dataset ensures the foundational inputs of the simulation remain academically rigorous.</w:t>
      </w:r>
    </w:p>
    <w:p w14:paraId="35629A78" w14:textId="4A7DE860"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1400DD08" wp14:editId="5B4884B6">
            <wp:extent cx="4350213" cy="3445565"/>
            <wp:effectExtent l="0" t="0" r="6350" b="0"/>
            <wp:docPr id="68819268" name="Picture 1" descr="A chart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9268" name="Picture 1" descr="A chart with numbers and numbe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0087" cy="3477147"/>
                    </a:xfrm>
                    <a:prstGeom prst="rect">
                      <a:avLst/>
                    </a:prstGeom>
                  </pic:spPr>
                </pic:pic>
              </a:graphicData>
            </a:graphic>
          </wp:inline>
        </w:drawing>
      </w:r>
    </w:p>
    <w:p w14:paraId="0D0915FC" w14:textId="6C8255D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provide a realistic metocean context for this layout, the farm was situated off the coast of Aberdeen, in close proximity to the actual European Offshore Wind Deployment Centre (EOWDC). The chosen barycenter coordinates are Latitude: 57.2139, Longitude: -1.9223. Historical hourly Significant Wave Height (H_s) data for this location was extracted from the Copernicus Marine Service (NetCDF files) using a custom Python script (</w:t>
      </w:r>
      <w:r w:rsidRPr="008C491F">
        <w:rPr>
          <w:rFonts w:ascii="Courier New" w:eastAsia="Times New Roman" w:hAnsi="Courier New" w:cs="Courier New"/>
          <w:kern w:val="0"/>
          <w:sz w:val="20"/>
          <w:szCs w:val="20"/>
          <w:lang w:eastAsia="en-GB"/>
          <w14:ligatures w14:val="none"/>
        </w:rPr>
        <w:t>Hs.py</w:t>
      </w:r>
      <w:r w:rsidRPr="008C491F">
        <w:rPr>
          <w:rFonts w:ascii="Times New Roman" w:eastAsia="Times New Roman" w:hAnsi="Times New Roman" w:cs="Times New Roman"/>
          <w:kern w:val="0"/>
          <w:lang w:eastAsia="en-GB"/>
          <w14:ligatures w14:val="none"/>
        </w:rPr>
        <w:t>) with a 3-hour temporal step.</w:t>
      </w:r>
    </w:p>
    <w:p w14:paraId="309D11A8" w14:textId="1090EE4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Crucially, a sensitivity analysis was conducted to evaluate the spatial resolution of the metocean data by extracting H_s values not only for the farm's center but also for its four corners. As shown in Figure 3.</w:t>
      </w:r>
      <w:r w:rsidR="0051687B">
        <w:rPr>
          <w:rFonts w:ascii="Times New Roman" w:eastAsia="Times New Roman" w:hAnsi="Times New Roman" w:cs="Times New Roman"/>
          <w:kern w:val="0"/>
          <w:lang w:eastAsia="en-GB"/>
          <w14:ligatures w14:val="none"/>
        </w:rPr>
        <w:t>3</w:t>
      </w:r>
      <w:r w:rsidRPr="008C491F">
        <w:rPr>
          <w:rFonts w:ascii="Times New Roman" w:eastAsia="Times New Roman" w:hAnsi="Times New Roman" w:cs="Times New Roman"/>
          <w:kern w:val="0"/>
          <w:lang w:eastAsia="en-GB"/>
          <w14:ligatures w14:val="none"/>
        </w:rPr>
        <w:t>, a distinct East-West gradient was observed during low-pressure passages, where the Western edge occasionally dropped below the vessel operational limit while the Eastern edge remained inaccessible. While a highly complex routing algorithm could theoretically exploit these micro-windows, this study maintains the assumption of a single reference point at the farm's center to prevent an explosion of algorithmic complexity, which would shift the project into a dynamic spatio-temporal routing problem beyond the intended scope.</w:t>
      </w:r>
    </w:p>
    <w:p w14:paraId="356EB75E" w14:textId="77777777" w:rsidR="003F6D10"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Pr>
          <w:noProof/>
        </w:rPr>
        <w:drawing>
          <wp:inline distT="0" distB="0" distL="0" distR="0" wp14:anchorId="1F2733FA" wp14:editId="737D5DDF">
            <wp:extent cx="4903235" cy="2422826"/>
            <wp:effectExtent l="0" t="0" r="0" b="3175"/>
            <wp:docPr id="558708929" name="Picture 2" descr="A graph showing different colo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08929" name="Picture 2" descr="A graph showing different colors and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96585" cy="2468953"/>
                    </a:xfrm>
                    <a:prstGeom prst="rect">
                      <a:avLst/>
                    </a:prstGeom>
                  </pic:spPr>
                </pic:pic>
              </a:graphicData>
            </a:graphic>
          </wp:inline>
        </w:drawing>
      </w:r>
    </w:p>
    <w:p w14:paraId="6901AEE0" w14:textId="23BD6F9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3.2.2. Vessel Specifications and Logistical Constraints</w:t>
      </w:r>
    </w:p>
    <w:p w14:paraId="009EC27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logistical model contrasts two primary offshore access vessels, parameterized using current industry standards and primary data gathered from Fraser Dobbie (Chief Financial Officer at North Star) during the Global Offshore Wind 2026 conference in Manchester.</w:t>
      </w:r>
    </w:p>
    <w:p w14:paraId="6597D33B"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CTV:</w:t>
      </w:r>
      <w:r w:rsidRPr="008C491F">
        <w:rPr>
          <w:rFonts w:ascii="Times New Roman" w:eastAsia="Times New Roman" w:hAnsi="Times New Roman" w:cs="Times New Roman"/>
          <w:kern w:val="0"/>
          <w:lang w:eastAsia="en-GB"/>
          <w14:ligatures w14:val="none"/>
        </w:rPr>
        <w:t xml:space="preserve"> While theoretical specifications often suggest a 1.5m wave limit, industry practice dictates a stricter operational limit of 1.3m $H_s$ to ensure safe technician transfer (Dobbie, 2026). The CTV operates with a transit speed ($V_s$) of 8.0 m/s, a fixed daily charter cost ($FCV$) of €3,400, an active hourly fuel cost ($COF$) of €400, and a daily crew cost ($COL$) of €1,440. CTVs consume fuel primarily during active daily shifts (transit and idling at the turbine).</w:t>
      </w:r>
    </w:p>
    <w:p w14:paraId="0C8F6384"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SOV:</w:t>
      </w:r>
      <w:r w:rsidRPr="008C491F">
        <w:rPr>
          <w:rFonts w:ascii="Times New Roman" w:eastAsia="Times New Roman" w:hAnsi="Times New Roman" w:cs="Times New Roman"/>
          <w:kern w:val="0"/>
          <w:lang w:eastAsia="en-GB"/>
          <w14:ligatures w14:val="none"/>
        </w:rPr>
        <w:t xml:space="preserve"> Designed for harsher environments, the SOV can theoretically operate in up to 3.5m $H_s$. However, operations are practically restricted by wind speeds exceeding 40 knots, which prevents safe technician transfer. The SOV operates with a transit speed of 6.2 m/s, a daily $FCV$ of €35,000, and a $COL$ of €4,500. Regarding fuel, the SOV consumes approximately 3.5 tonnes of Marine Gas Oil (MGO) per day. Based on the Rotterdam MGO market price (June 2026) of $875/t (€767/t), the raw fuel cost is approximately €2,686 per day. To account for port bunkering and logistical fees, this is rounded to a fixed rate of €3,000 per day. Unlike CTVs, SOVs inherently consume fuel continuously over a 24-hour cycle to maintain offshore dynamic positioning and hotel loads.</w:t>
      </w:r>
    </w:p>
    <w:p w14:paraId="73E97F2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3.2.3. Economic and Wind Farm Baselines</w:t>
      </w:r>
    </w:p>
    <w:p w14:paraId="5FC061A5"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Aligning with the parameters from Frederiksen et al., the WTs have a nominal power of 3.6 MW. Revenue losses are calculated using a wind efficiency factor ($W_{factor}$) of 0.9 and an assumed energy market price ($Price_{MWh}$) of €168/MWh. The mean duration of an unprevented downtime event ($h_{downtime}$) is 3.5 hours. Standard maintenance tasks require a service time ($TS$) of 120 minutes and a mobilization time ($TI$) of 15 minutes per turbine, constrained within a maximum 12-hour working day limit ($H$).</w:t>
      </w:r>
    </w:p>
    <w:p w14:paraId="726EECA7" w14:textId="77777777" w:rsid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3.3. Simulation Architecture and Algorithmic Logic</w:t>
      </w:r>
    </w:p>
    <w:p w14:paraId="11BC07F0" w14:textId="5DC3A298" w:rsidR="00383FE5" w:rsidRDefault="00383FE5" w:rsidP="008C491F">
      <w:pPr>
        <w:spacing w:before="100" w:beforeAutospacing="1" w:after="100" w:afterAutospacing="1" w:line="240" w:lineRule="auto"/>
        <w:outlineLvl w:val="1"/>
      </w:pPr>
      <w:r>
        <w:t>Figure 3.X details the comprehensive architectural logic and decision trees driving the simulation loop.</w:t>
      </w:r>
    </w:p>
    <w:p w14:paraId="79377B5E" w14:textId="4328BCCB" w:rsidR="00383FE5" w:rsidRPr="008C491F" w:rsidRDefault="00383FE5"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Pr>
          <w:rFonts w:ascii="Times New Roman" w:eastAsia="Times New Roman" w:hAnsi="Times New Roman" w:cs="Times New Roman"/>
          <w:b/>
          <w:bCs/>
          <w:noProof/>
          <w:kern w:val="0"/>
          <w:sz w:val="36"/>
          <w:szCs w:val="36"/>
          <w:lang w:eastAsia="en-GB"/>
        </w:rPr>
        <w:lastRenderedPageBreak/>
        <w:drawing>
          <wp:inline distT="0" distB="0" distL="0" distR="0" wp14:anchorId="0CDF87B3" wp14:editId="4B795BB5">
            <wp:extent cx="2637790" cy="8863330"/>
            <wp:effectExtent l="0" t="0" r="3810" b="1270"/>
            <wp:docPr id="1772004297"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04297" name="Picture 2"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37790" cy="8863330"/>
                    </a:xfrm>
                    <a:prstGeom prst="rect">
                      <a:avLst/>
                    </a:prstGeom>
                  </pic:spPr>
                </pic:pic>
              </a:graphicData>
            </a:graphic>
          </wp:inline>
        </w:drawing>
      </w:r>
    </w:p>
    <w:p w14:paraId="2479AA39"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lastRenderedPageBreak/>
        <w:t>3.3.1. Simulation Loop and Rolling Horizon Planning</w:t>
      </w:r>
    </w:p>
    <w:p w14:paraId="6A84013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simulation operates on a Rolling Horizon Planning logic. Rather than generating a static, rigid maintenance queue at the beginning of a campaign, the algorithm performs a global re-prioritization at the start of every operational day. This ensures that the dispatch logic dynamically adapts to weather-induced delays and evolving turbine risks.</w:t>
      </w:r>
    </w:p>
    <w:p w14:paraId="65301AEF"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programming logic deliberately diverges from the constraint optimization approach utilized by Frederiksen et al. While literature often relies on commercial Mixed-Integer Linear Programming (MILP) solvers like IBM ILOG CPLEX for maintenance scheduling, the combinatorial explosion associated with integrating severe hourly metocean constraints rendered free-tier solver limits (typically capped at 1,000 constraints) unviable. Therefore, a custom Python-based heuristic combining daily risk-prioritization with an exact combinatorial routing algorithm was developed, ensuring computational independence and total adaptability to dynamic weather windows.</w:t>
      </w:r>
    </w:p>
    <w:p w14:paraId="01862F40"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3.3.2. Target Selection</w:t>
      </w:r>
    </w:p>
    <w:p w14:paraId="13CF575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Target prioritization varies fundamentally between the two maintenance strategies:</w:t>
      </w:r>
    </w:p>
    <w:p w14:paraId="1457253D"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Preventive Strategy:</w:t>
      </w:r>
      <w:r w:rsidRPr="008C491F">
        <w:rPr>
          <w:rFonts w:ascii="Times New Roman" w:eastAsia="Times New Roman" w:hAnsi="Times New Roman" w:cs="Times New Roman"/>
          <w:kern w:val="0"/>
          <w:lang w:eastAsia="en-GB"/>
          <w14:ligatures w14:val="none"/>
        </w:rPr>
        <w:t xml:space="preserve"> Turbines are prioritized iteratively based on direct geographic proximity (Euclidean distance) to either the logistical base or the most recently serviced turbine.</w:t>
      </w:r>
    </w:p>
    <w:p w14:paraId="6E3C58B5"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Predictive Strategy:</w:t>
      </w:r>
      <w:r w:rsidRPr="008C491F">
        <w:rPr>
          <w:rFonts w:ascii="Times New Roman" w:eastAsia="Times New Roman" w:hAnsi="Times New Roman" w:cs="Times New Roman"/>
          <w:kern w:val="0"/>
          <w:lang w:eastAsia="en-GB"/>
          <w14:ligatures w14:val="none"/>
        </w:rPr>
        <w:t xml:space="preserve"> Turbines are ranked strictly by their Predictive Risk Score ($Pr_{Di}$), prioritizing assets with the highest probability of imminent failure. Each day, a subgroup of maximum 6 turbines is selected to form the primary target list. Crucially, because these high-risk assets are geographically scattered across the wind farm, the logistics cannot simply default to visiting the "nearest" turbine. Instead, the simulation computes a globally optimized route.</w:t>
      </w:r>
    </w:p>
    <w:p w14:paraId="1C23FB26"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3.3.3. Routing Algorithm and Time Window Constraints</w:t>
      </w:r>
    </w:p>
    <w:p w14:paraId="2B66A55E"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minimize transit time and fuel consumption when servicing the scattered targets, the daily vessel route is optimized using a custom Traveling Salesperson Problem (TSP) solver. For any given subgroup, the algorithm utilizes combinatorial logic (</w:t>
      </w:r>
      <w:r w:rsidRPr="008C491F">
        <w:rPr>
          <w:rFonts w:ascii="Courier New" w:eastAsia="Times New Roman" w:hAnsi="Courier New" w:cs="Courier New"/>
          <w:kern w:val="0"/>
          <w:sz w:val="20"/>
          <w:szCs w:val="20"/>
          <w:lang w:eastAsia="en-GB"/>
          <w14:ligatures w14:val="none"/>
        </w:rPr>
        <w:t>itertools.permutations</w:t>
      </w:r>
      <w:r w:rsidRPr="008C491F">
        <w:rPr>
          <w:rFonts w:ascii="Times New Roman" w:eastAsia="Times New Roman" w:hAnsi="Times New Roman" w:cs="Times New Roman"/>
          <w:kern w:val="0"/>
          <w:lang w:eastAsia="en-GB"/>
          <w14:ligatures w14:val="none"/>
        </w:rPr>
        <w:t xml:space="preserve"> in Python) to generate all possible visiting orders.</w:t>
      </w:r>
    </w:p>
    <w:p w14:paraId="1BE2C258"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each permutation, the solver calculates the cumulative Euclidean distance ($d$), starting from the base coordinates, travelling through each turbine, and returning to the base:</w:t>
      </w:r>
    </w:p>
    <w:p w14:paraId="65467079"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$$d = \sqrt{(X_2 - X_1)^2 + (Y_2 - Y_1)^2}$$</w:t>
      </w:r>
    </w:p>
    <w:p w14:paraId="5A55CF3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sequence yielding the absolute minimum total distance ($D_{total}$) is recorded as the optimal route. The total duration of the daily mission ($Shift\_Time$, in hours) for this $N$-turbine route is computed as the sum of transit time and operational time:</w:t>
      </w:r>
    </w:p>
    <w:p w14:paraId="28FC259D"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$$Shift\_Time = \left( \frac{D_{total}}{V_s \times 3.6} \right) + \frac{N \times (TS + 2 \times TI)}{60}$$</w:t>
      </w:r>
    </w:p>
    <w:p w14:paraId="6C3BB25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To enforce the 12-hour operational limit ($H$), a "Fallback Queue" mechanism is implemented. If the optimized $Shift\_Time$ exceeds $H$, the algorithm iteratively removes the furthest turbine from the day's subgroup and recalculates the TSP route until a compliant schedule is achieved.</w:t>
      </w:r>
    </w:p>
    <w:p w14:paraId="4935267E"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3.4. The Weather Gate: Metocean Operational Constraints</w:t>
      </w:r>
    </w:p>
    <w:p w14:paraId="171291D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A defining, novel feature of this methodology is the integration of high-resolution weather constraints. Once a compliant route is generated, a dynamic weather check evaluates the $H_s$ along the required continuous working hours. Since the metocean data operates on a 3-hour temporal resolution, the required number of clear weather blocks is calculated as:</w:t>
      </w:r>
    </w:p>
    <w:p w14:paraId="3E724F7B"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$$Blocks = \lceil \frac{Shift\_Time}{3} \rceil$$</w:t>
      </w:r>
    </w:p>
    <w:p w14:paraId="4260021E" w14:textId="77777777"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If the maximum significant wave height during these required blocks exceeds the vessel's specific operational limit ($\max(H_s) &gt; Vessel\_Limit$), an Abort &amp; Push protocol is triggered. The mission for that specific group size is aborted, and the algorithm attempts to route a smaller subgroup. If even a single turbine cannot be safely accessed, a "No-Go" day is declared, all targets are pushed to the following day, and downtime penalties continue to accrue.</w:t>
      </w:r>
    </w:p>
    <w:p w14:paraId="457311BB" w14:textId="2B6D4071" w:rsidR="00383FE5" w:rsidRPr="008C491F" w:rsidRDefault="00383FE5" w:rsidP="00383FE5">
      <w:pPr>
        <w:pStyle w:val="NormalWeb"/>
      </w:pPr>
      <w:r>
        <w:t>Conversely, if the weather check is successful, the mission is executed. Crucially, the simulation is stateful: serviced turbines are explicitly marked as "repaired" and permanently filtered out of the target list for the remainder of the campaign. Furthermore, an "Early Demobilization" protocol evaluates the global state of the wind farm at the end of each day. If all targeted turbines are successfully repaired before the 7-day campaign concludes, the simulation terminates early, halting the accumulation of daily fixed vessel and crew costs ($FCV$ and $COL$) for the unused days.</w:t>
      </w:r>
    </w:p>
    <w:p w14:paraId="783E09F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3.5. Financial and Campaign Performance Evaluation</w:t>
      </w:r>
    </w:p>
    <w:p w14:paraId="7F115D76"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objective is to financially evaluate the impact of the operational logistics. The performance of the campaign is measured by the operational profit equation proposed by Frederiksen et al. (2024):</w:t>
      </w:r>
    </w:p>
    <w:p w14:paraId="583B6722"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$$P_T = Rev_T - CoD_T - CS_T - CPS_T$$</w:t>
      </w:r>
    </w:p>
    <w:p w14:paraId="79F0798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their model, the total net profit ($P_T$) is defined as the actual revenue generated minus the logistical costs ($CS_T$) and the AI implementation costs ($CPS_T$). The actual revenue itself is calculated by subtracting the Cost of Downtime ($CoD_T$) from the potential maximum revenue ($Rev_T$).</w:t>
      </w:r>
    </w:p>
    <w:p w14:paraId="19728197"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3.5.1. Maximum Revenue and Cost of Downtime ($Rev_T$ &amp; $CoD_T$)</w:t>
      </w:r>
    </w:p>
    <w:p w14:paraId="58E2400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Maximum Potential Revenue ($Rev_T$) represents the theoretical income generated if all turbines operated flawlessly. For a single turbine, the hourly revenue potential ($Rev_{hour}$) is:</w:t>
      </w:r>
    </w:p>
    <w:p w14:paraId="7ABEC23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$$Rev_{hour} = MW \times Price_{MWh} \times W_{factor} \times Discount$$</w:t>
      </w:r>
    </w:p>
    <w:p w14:paraId="032D1C3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calculate the penalties subtracted from this revenue under a predictive framework, the expected number of failure events per turbine ($E_{expected}$) is determined based on the AI's predictive accuracy:</w:t>
      </w:r>
    </w:p>
    <w:p w14:paraId="749F021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$$E_{expected} = (Pr_D \times MSTP) + ((1 - Pr_D) \times MSFN)$$</w:t>
      </w:r>
    </w:p>
    <w:p w14:paraId="131F8C4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this formulation, derived from Frederiksen's efficiency framework, reliability is quantified using two critical membership scores. The Membership Score True Positive ($MSTP$) represents the probability that the AI correctly identifies a degrading turbine. Conversely, the Membership Score False Negative ($MSFN$) signifies the critical error rate where the AI fails to predict an imminent breakdown. $Pr_D$ represents the inherent baseline probability of degradation (as extracted from the dataset over the 7-day campaign).</w:t>
      </w:r>
    </w:p>
    <w:p w14:paraId="3C55C72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Consequently, $E_{expected}$ encapsulates both the failures the AI successfully anticipates and the unanticipated failures resulting from the $MSFN$ gap. A high $MSFN$ inevitably leads to unexpected downtime.</w:t>
      </w:r>
    </w:p>
    <w:p w14:paraId="41C6F07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every expected failure that is not prevented—either due to low risk prioritization or weather-induced "No-Go" days—the Cost of Downtime ($CoD_T$) actively accumulates:</w:t>
      </w:r>
    </w:p>
    <w:p w14:paraId="6D92A2A7" w14:textId="08034339" w:rsidR="008E5087" w:rsidRDefault="008C491F" w:rsidP="008C491F">
      <w:pPr>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$$CoD_T = \sum_{days} \left( \max(0, E_{expected} - E_{prevented}) \times h_{downtime} \times Rev_{hour} \right)$$</w:t>
      </w:r>
    </w:p>
    <w:p w14:paraId="21EE3766" w14:textId="16A5B06B" w:rsidR="00383FE5" w:rsidRPr="00383FE5" w:rsidRDefault="00383FE5" w:rsidP="00383FE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83FE5">
        <w:rPr>
          <w:rFonts w:ascii="Times New Roman" w:eastAsia="Times New Roman" w:hAnsi="Times New Roman" w:cs="Times New Roman"/>
          <w:b/>
          <w:bCs/>
          <w:kern w:val="0"/>
          <w:sz w:val="36"/>
          <w:szCs w:val="36"/>
          <w:lang w:eastAsia="en-GB"/>
          <w14:ligatures w14:val="none"/>
        </w:rPr>
        <w:t xml:space="preserve">3.6. Data Logging and </w:t>
      </w:r>
      <w:r w:rsidR="00B2233B">
        <w:rPr>
          <w:rFonts w:ascii="Times New Roman" w:eastAsia="Times New Roman" w:hAnsi="Times New Roman" w:cs="Times New Roman"/>
          <w:b/>
          <w:bCs/>
          <w:kern w:val="0"/>
          <w:sz w:val="36"/>
          <w:szCs w:val="36"/>
          <w:lang w:eastAsia="en-GB"/>
          <w14:ligatures w14:val="none"/>
        </w:rPr>
        <w:t>R</w:t>
      </w:r>
      <w:r w:rsidRPr="00383FE5">
        <w:rPr>
          <w:rFonts w:ascii="Times New Roman" w:eastAsia="Times New Roman" w:hAnsi="Times New Roman" w:cs="Times New Roman"/>
          <w:b/>
          <w:bCs/>
          <w:kern w:val="0"/>
          <w:sz w:val="36"/>
          <w:szCs w:val="36"/>
          <w:lang w:eastAsia="en-GB"/>
          <w14:ligatures w14:val="none"/>
        </w:rPr>
        <w:t>eproducibility</w:t>
      </w:r>
    </w:p>
    <w:p w14:paraId="4ACFFF66" w14:textId="4EB6F288"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 xml:space="preserve">To ensure the reliability and reproducibility of the quantitative outcomes, an automated data pipeline is integrated into the simulation's conclusion. For every scenario executed, the Python model generates daily spatial visualisations of the vessel itineraries. These route maps allow for the visual verification of the TSP solver's behaviour, illustrating geographic clustering and track efficiency. Additionally, the system automatically exports comprehensive financial summaries, logs of </w:t>
      </w:r>
      <w:r w:rsidR="00B2233B">
        <w:rPr>
          <w:rFonts w:ascii="Times New Roman" w:eastAsia="Times New Roman" w:hAnsi="Times New Roman" w:cs="Times New Roman"/>
          <w:kern w:val="0"/>
          <w:lang w:eastAsia="en-GB"/>
          <w14:ligatures w14:val="none"/>
        </w:rPr>
        <w:t xml:space="preserve">expected, </w:t>
      </w:r>
      <w:r w:rsidRPr="00383FE5">
        <w:rPr>
          <w:rFonts w:ascii="Times New Roman" w:eastAsia="Times New Roman" w:hAnsi="Times New Roman" w:cs="Times New Roman"/>
          <w:kern w:val="0"/>
          <w:lang w:eastAsia="en-GB"/>
          <w14:ligatures w14:val="none"/>
        </w:rPr>
        <w:t xml:space="preserve">prevented </w:t>
      </w:r>
      <w:r w:rsidR="00B2233B">
        <w:rPr>
          <w:rFonts w:ascii="Times New Roman" w:eastAsia="Times New Roman" w:hAnsi="Times New Roman" w:cs="Times New Roman"/>
          <w:kern w:val="0"/>
          <w:lang w:eastAsia="en-GB"/>
          <w14:ligatures w14:val="none"/>
        </w:rPr>
        <w:t>and</w:t>
      </w:r>
      <w:r w:rsidRPr="00383FE5">
        <w:rPr>
          <w:rFonts w:ascii="Times New Roman" w:eastAsia="Times New Roman" w:hAnsi="Times New Roman" w:cs="Times New Roman"/>
          <w:kern w:val="0"/>
          <w:lang w:eastAsia="en-GB"/>
          <w14:ligatures w14:val="none"/>
        </w:rPr>
        <w:t xml:space="preserve"> </w:t>
      </w:r>
      <w:r w:rsidR="00B2233B">
        <w:rPr>
          <w:rFonts w:ascii="Times New Roman" w:eastAsia="Times New Roman" w:hAnsi="Times New Roman" w:cs="Times New Roman"/>
          <w:kern w:val="0"/>
          <w:lang w:eastAsia="en-GB"/>
          <w14:ligatures w14:val="none"/>
        </w:rPr>
        <w:t xml:space="preserve">predicted </w:t>
      </w:r>
      <w:r w:rsidRPr="00383FE5">
        <w:rPr>
          <w:rFonts w:ascii="Times New Roman" w:eastAsia="Times New Roman" w:hAnsi="Times New Roman" w:cs="Times New Roman"/>
          <w:kern w:val="0"/>
          <w:lang w:eastAsia="en-GB"/>
          <w14:ligatures w14:val="none"/>
        </w:rPr>
        <w:t>downtime events, and the specific initial configuration parameters into structured tabular formats (CSV). This systematic archiving ensures that the economic comparisons presented in the results chapter are fully traceable to their simulated metocean conditions and initial constraints.</w:t>
      </w:r>
    </w:p>
    <w:p w14:paraId="2885C080" w14:textId="77777777" w:rsidR="00383FE5" w:rsidRPr="00383FE5" w:rsidRDefault="00383FE5" w:rsidP="00383FE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83FE5">
        <w:rPr>
          <w:rFonts w:ascii="Times New Roman" w:eastAsia="Times New Roman" w:hAnsi="Times New Roman" w:cs="Times New Roman"/>
          <w:b/>
          <w:bCs/>
          <w:kern w:val="0"/>
          <w:sz w:val="36"/>
          <w:szCs w:val="36"/>
          <w:lang w:eastAsia="en-GB"/>
          <w14:ligatures w14:val="none"/>
        </w:rPr>
        <w:t>3.7. Model Assumptions and Limitations</w:t>
      </w:r>
    </w:p>
    <w:p w14:paraId="2E36BD2D" w14:textId="77777777"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To maintain computational feasibility while integrating severe hourly metocean constraints, the logistical model was simplified to a single-team sequential routing approach (TSP) rather than a highly complex Pickup and Delivery Problem with Time Windows (PDPTW). While real-world operations often utilize a 'hop-on/hop-off' strategy to service turbines in parallel, this assumption is applied uniformly across all scenarios and therefore does not skew the comparative financial outcomes between CTVs and SOVs.</w:t>
      </w:r>
    </w:p>
    <w:p w14:paraId="0504368D" w14:textId="77777777"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 xml:space="preserve">Furthermore, regarding spatial resolution, the metocean data ($H_s$) was extracted for the farm's barycenter. Preliminary sensitivity analysis indicated an East-West wave gradient </w:t>
      </w:r>
      <w:r w:rsidRPr="00383FE5">
        <w:rPr>
          <w:rFonts w:ascii="Times New Roman" w:eastAsia="Times New Roman" w:hAnsi="Times New Roman" w:cs="Times New Roman"/>
          <w:kern w:val="0"/>
          <w:lang w:eastAsia="en-GB"/>
          <w14:ligatures w14:val="none"/>
        </w:rPr>
        <w:lastRenderedPageBreak/>
        <w:t>across the 20km by 15km area during low-pressure systems, suggesting the potential for micro-windows on the farm's edges. However, to prevent combinatorial explosion and maintain focus on the overarching economic comparison, the single-reference-point assumption was maintained, aligning with standard industrial simplifications.</w:t>
      </w:r>
    </w:p>
    <w:p w14:paraId="357A6072" w14:textId="77777777" w:rsidR="00383FE5" w:rsidRDefault="00383FE5" w:rsidP="008C491F"/>
    <w:p w14:paraId="164581A6" w14:textId="7E797FF9" w:rsidR="006B2F38" w:rsidRDefault="006B2F38" w:rsidP="008C491F">
      <w:r>
        <w:t>Suite</w:t>
      </w:r>
    </w:p>
    <w:p w14:paraId="75F9D9D6" w14:textId="2F89BD8E" w:rsidR="006B2F38" w:rsidRDefault="006B2F38" w:rsidP="006B2F38">
      <w:pPr>
        <w:pStyle w:val="ListParagraph"/>
        <w:numPr>
          <w:ilvl w:val="0"/>
          <w:numId w:val="4"/>
        </w:numPr>
      </w:pPr>
      <w:r>
        <w:t>Tester mes 4 scénarios dans des conditions contrastées</w:t>
      </w:r>
    </w:p>
    <w:p w14:paraId="445F992B" w14:textId="405B2BBD" w:rsidR="006B2F38" w:rsidRDefault="006B2F38" w:rsidP="006B2F38">
      <w:pPr>
        <w:pStyle w:val="ListParagraph"/>
        <w:numPr>
          <w:ilvl w:val="0"/>
          <w:numId w:val="4"/>
        </w:numPr>
      </w:pPr>
      <w:r>
        <w:t>Je vais choisir une semaine typique d’hiver et une semaine typique d’été car</w:t>
      </w:r>
    </w:p>
    <w:p w14:paraId="7E2ABF1D" w14:textId="50F62C36" w:rsidR="006B2F38" w:rsidRDefault="006B2F38" w:rsidP="006B2F38">
      <w:pPr>
        <w:pStyle w:val="ListParagraph"/>
        <w:numPr>
          <w:ilvl w:val="0"/>
          <w:numId w:val="4"/>
        </w:numPr>
      </w:pPr>
      <w:r>
        <w:t xml:space="preserve">La semaine d’hiver teste mon algorythme face aux no-go et aux contraintes meteorologiques sévères, mon CTV sera probablement souvent bloqué au port à cause des vagues trop importantes et mon SOV sera peut etre lui aussi sujet a des no go </w:t>
      </w:r>
    </w:p>
    <w:p w14:paraId="32FC3F64" w14:textId="74F66687" w:rsidR="006B2F38" w:rsidRDefault="006B2F38" w:rsidP="006B2F38">
      <w:pPr>
        <w:pStyle w:val="ListParagraph"/>
        <w:numPr>
          <w:ilvl w:val="0"/>
          <w:numId w:val="4"/>
        </w:numPr>
      </w:pPr>
      <w:r>
        <w:t>La semaine d’été permet de tester l’efficacité logistique de mon modèle et de se retrouver dans des cas de early demobilization lorsque la fenetre meteo le permet</w:t>
      </w:r>
    </w:p>
    <w:p w14:paraId="3D4D22F6" w14:textId="5AE09DFC" w:rsidR="006B2F38" w:rsidRDefault="006B2F38" w:rsidP="006B2F38">
      <w:pPr>
        <w:pStyle w:val="ListParagraph"/>
        <w:numPr>
          <w:ilvl w:val="0"/>
          <w:numId w:val="4"/>
        </w:numPr>
      </w:pPr>
      <w:r>
        <w:t>Cela permet d’identifier s’il y a un lien de corélation entre une mauvaise météo (hautes vagues) et le choix de la stratégie de maintenance à adopter.</w:t>
      </w:r>
    </w:p>
    <w:p w14:paraId="04497FC9" w14:textId="76215C58" w:rsidR="006B2F38" w:rsidRDefault="006B2F38" w:rsidP="006B2F38">
      <w:pPr>
        <w:pStyle w:val="ListParagraph"/>
        <w:numPr>
          <w:ilvl w:val="0"/>
          <w:numId w:val="4"/>
        </w:numPr>
      </w:pPr>
      <w:r>
        <w:t>Je vais donc choisir comme semaine type d’hiver la fenetre de 7 jours ou la moyenne glissante est maximale (periode de forte houle) et pour la semaine type d’été celle ou la moyenne glissante est maxiale</w:t>
      </w:r>
    </w:p>
    <w:p w14:paraId="5B303D07" w14:textId="70CE45DF" w:rsidR="006B2F38" w:rsidRDefault="006B2F38" w:rsidP="006B2F38">
      <w:pPr>
        <w:pStyle w:val="ListParagraph"/>
        <w:numPr>
          <w:ilvl w:val="0"/>
          <w:numId w:val="4"/>
        </w:numPr>
      </w:pPr>
      <w:r>
        <w:t xml:space="preserve">To ensure computational feasibility while maintaining environmental realism, this study selects two distinct 7-day representative campaigns. These windows were extracted from the annual Copernicus dataset based on the rolling 7-day average of </w:t>
      </w:r>
      <w:r>
        <w:rPr>
          <w:rStyle w:val="math-inline"/>
          <w:rFonts w:ascii="Arial" w:hAnsi="Arial" w:cs="Arial"/>
        </w:rPr>
        <w:t>$H_s$</w:t>
      </w:r>
      <w:r>
        <w:t>, capturing the seasonal extremes of the Aberdeen offshore environment. This approach allows for a comparative stress-test of the maintenance strategies under both high-downtime (winter) and high-availability (summer) conditions.</w:t>
      </w:r>
    </w:p>
    <w:p w14:paraId="1A3D506F" w14:textId="1F061DD6" w:rsidR="006B2F38" w:rsidRPr="00A9697D" w:rsidRDefault="00A9697D" w:rsidP="006B2F38">
      <w:pPr>
        <w:pStyle w:val="ListParagraph"/>
        <w:numPr>
          <w:ilvl w:val="0"/>
          <w:numId w:val="4"/>
        </w:numPr>
      </w:pPr>
      <w:r>
        <w:rPr>
          <w:rStyle w:val="citation-54"/>
          <w:rFonts w:ascii="Arial" w:hAnsi="Arial" w:cs="Arial"/>
        </w:rPr>
        <w:t xml:space="preserve">Bien que les probabilités de défaillance </w:t>
      </w:r>
      <w:r>
        <w:rPr>
          <w:rStyle w:val="math-inline"/>
          <w:rFonts w:ascii="Arial" w:hAnsi="Arial" w:cs="Arial"/>
        </w:rPr>
        <w:t>$Pr_{Di}$</w:t>
      </w:r>
      <w:r>
        <w:rPr>
          <w:rStyle w:val="citation-54"/>
          <w:rFonts w:ascii="Arial" w:hAnsi="Arial" w:cs="Arial"/>
        </w:rPr>
        <w:t xml:space="preserve"> soient fixes selon le modèle de Frederiksen et al.</w:t>
      </w:r>
      <w:r>
        <w:rPr>
          <w:rFonts w:ascii="Arial" w:hAnsi="Arial" w:cs="Arial"/>
        </w:rPr>
        <w:t>, elles sont appliquées de manière synchrone au début de chaque campagne de 7 jours. Cela permet d'évaluer la 'disponibilité opérationnelle' plutôt que la 'fiabilité mécanique', en testant si la météo permet de répondre au risque théorique imposé à la turbine à cet instant précis.</w:t>
      </w:r>
    </w:p>
    <w:p w14:paraId="65CCF9D7" w14:textId="1ABF7EF7" w:rsidR="00A9697D" w:rsidRDefault="00A9697D" w:rsidP="006B2F38">
      <w:pPr>
        <w:pStyle w:val="ListParagraph"/>
        <w:numPr>
          <w:ilvl w:val="0"/>
          <w:numId w:val="4"/>
        </w:numPr>
      </w:pPr>
      <w:r>
        <w:t xml:space="preserve">Le choix des semaines est déterministe et basé sur les extrêmes météorologiques annuels observés (moyenne glissante </w:t>
      </w:r>
      <w:r>
        <w:rPr>
          <w:rStyle w:val="math-inline"/>
          <w:rFonts w:ascii="Arial" w:hAnsi="Arial" w:cs="Arial"/>
        </w:rPr>
        <w:t>$H_s$</w:t>
      </w:r>
      <w:r>
        <w:t xml:space="preserve"> min/max), isolant ainsi l'impact des contraintes logistiques (weather gates) sur les performances économiques finales.</w:t>
      </w:r>
    </w:p>
    <w:p w14:paraId="2B51C2AE" w14:textId="16B37188" w:rsidR="00A9697D" w:rsidRDefault="00A9697D" w:rsidP="006B2F38">
      <w:pPr>
        <w:pStyle w:val="ListParagraph"/>
        <w:numPr>
          <w:ilvl w:val="0"/>
          <w:numId w:val="4"/>
        </w:numPr>
      </w:pPr>
      <w:r>
        <w:t xml:space="preserve">Rather than imposing arbitrary seasonal constraints to define the testing periods, this study employs an empirical, data-driven approach. By extracting the absolute minimum and maximum of the 7-day rolling average of </w:t>
      </w:r>
      <w:r>
        <w:rPr>
          <w:rStyle w:val="math-inline"/>
          <w:rFonts w:ascii="Arial" w:hAnsi="Arial" w:cs="Arial"/>
        </w:rPr>
        <w:t>$H_s$</w:t>
      </w:r>
      <w:r>
        <w:t xml:space="preserve"> over the entire year, the algorithm identified the true meteorological extremes of the </w:t>
      </w:r>
      <w:r>
        <w:lastRenderedPageBreak/>
        <w:t>Aberdeen site. This ensures the logistical model is stress-tested against genuine 'Best-Case' and 'Worst-Case' operational scenarios, accurately reflecting the stochastic nature of offshore environments where optimal weather windows can unexpectedly occur outside of traditional summer months.</w:t>
      </w:r>
    </w:p>
    <w:p w14:paraId="33D41ED2" w14:textId="3EA50094" w:rsidR="006B2F38" w:rsidRDefault="006B2F38" w:rsidP="008C491F"/>
    <w:p w14:paraId="40288318" w14:textId="77777777" w:rsidR="0037314F" w:rsidRPr="0037314F" w:rsidRDefault="0037314F" w:rsidP="0037314F">
      <w:pPr>
        <w:spacing w:after="100" w:afterAutospacing="1" w:line="240" w:lineRule="auto"/>
        <w:outlineLvl w:val="2"/>
        <w:rPr>
          <w:rFonts w:ascii="Arial" w:eastAsia="Times New Roman" w:hAnsi="Arial" w:cs="Arial"/>
          <w:b/>
          <w:bCs/>
          <w:kern w:val="0"/>
          <w:sz w:val="27"/>
          <w:szCs w:val="27"/>
          <w:lang w:eastAsia="en-GB"/>
          <w14:ligatures w14:val="none"/>
        </w:rPr>
      </w:pPr>
      <w:r w:rsidRPr="0037314F">
        <w:rPr>
          <w:rFonts w:ascii="Arial" w:eastAsia="Times New Roman" w:hAnsi="Arial" w:cs="Arial"/>
          <w:b/>
          <w:bCs/>
          <w:kern w:val="0"/>
          <w:sz w:val="27"/>
          <w:szCs w:val="27"/>
          <w:lang w:eastAsia="en-GB"/>
          <w14:ligatures w14:val="none"/>
        </w:rPr>
        <w:t>3.2.4. Representative Metocean Scenarios and Spatial Dynamics</w:t>
      </w:r>
    </w:p>
    <w:p w14:paraId="6D3A17F1" w14:textId="77777777" w:rsidR="0037314F" w:rsidRPr="0037314F" w:rsidRDefault="0037314F" w:rsidP="0037314F">
      <w:p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kern w:val="0"/>
          <w:lang w:eastAsia="en-GB"/>
          <w14:ligatures w14:val="none"/>
        </w:rPr>
        <w:t xml:space="preserve">Rather than imposing arbitrary seasonal constraints to define the testing periods, this study employs an empirical, data-driven approach. By extracting the absolute minimum and maximum of the 7-day rolling average of $H_s$ over the entire year, the algorithm identified the true meteorological extremes of the Aberdeen site. To provide a comprehensive evaluation, a third "Base-Case" scenario was introduced by extracting the 7-day window closest to the annual median $H_s$. This ensures the logistical model is stress-tested against genuine 'Best-Case' and 'Worst-Case' operational scenarios, accurately reflecting the stochastic nature of offshore environments where optimal weather windows can unexpectedly occur outside of traditional summer months. </w:t>
      </w:r>
    </w:p>
    <w:p w14:paraId="68B56BCA" w14:textId="77777777" w:rsidR="0037314F" w:rsidRPr="0037314F" w:rsidRDefault="0037314F" w:rsidP="0037314F">
      <w:p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kern w:val="0"/>
          <w:lang w:eastAsia="en-GB"/>
          <w14:ligatures w14:val="none"/>
        </w:rPr>
        <w:t>To validate these scenarios and assess the resolution of the metocean data, a spatial variance analysis was executed across the five critical coordinates of the wind farm (Center, North-West, North-East, South-West, South-East).</w:t>
      </w:r>
    </w:p>
    <w:p w14:paraId="12F50C29" w14:textId="77777777" w:rsidR="0037314F" w:rsidRPr="0037314F" w:rsidRDefault="0037314F" w:rsidP="0037314F">
      <w:pPr>
        <w:numPr>
          <w:ilvl w:val="0"/>
          <w:numId w:val="5"/>
        </w:num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b/>
          <w:bCs/>
          <w:kern w:val="0"/>
          <w:lang w:eastAsia="en-GB"/>
          <w14:ligatures w14:val="none"/>
        </w:rPr>
        <w:t>Best-Case Scenario (High-Availability):</w:t>
      </w:r>
      <w:r w:rsidRPr="0037314F">
        <w:rPr>
          <w:rFonts w:ascii="Arial" w:eastAsia="Times New Roman" w:hAnsi="Arial" w:cs="Arial"/>
          <w:kern w:val="0"/>
          <w:lang w:eastAsia="en-GB"/>
          <w14:ligatures w14:val="none"/>
        </w:rPr>
        <w:t xml:space="preserve"> The Significant Wave Height ($H_s$) remains universally below the 1.3m CTV operational limit for the entire campaign. Spatial variance is negligible, allowing operations to proceed unhindered.</w:t>
      </w:r>
    </w:p>
    <w:p w14:paraId="5DE04A53" w14:textId="77777777" w:rsidR="0037314F" w:rsidRPr="0037314F" w:rsidRDefault="0037314F" w:rsidP="0037314F">
      <w:pPr>
        <w:numPr>
          <w:ilvl w:val="0"/>
          <w:numId w:val="5"/>
        </w:num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b/>
          <w:bCs/>
          <w:kern w:val="0"/>
          <w:lang w:eastAsia="en-GB"/>
          <w14:ligatures w14:val="none"/>
        </w:rPr>
        <w:t>Base-Case Scenario (Typical Operations):</w:t>
      </w:r>
      <w:r w:rsidRPr="0037314F">
        <w:rPr>
          <w:rFonts w:ascii="Arial" w:eastAsia="Times New Roman" w:hAnsi="Arial" w:cs="Arial"/>
          <w:kern w:val="0"/>
          <w:lang w:eastAsia="en-GB"/>
          <w14:ligatures w14:val="none"/>
        </w:rPr>
        <w:t xml:space="preserve"> This scenario represents the critical logistical trade-off. $H_s$ fluctuates closely around the 1.3m threshold while remaining safely below the 3.5m SOV limit. Spatial divergence becomes noticeable during minor wave peaks, creating intermittent access windows that heavily penalize CTVs while favoring SOVs.</w:t>
      </w:r>
    </w:p>
    <w:p w14:paraId="00902C4C" w14:textId="77777777" w:rsidR="0037314F" w:rsidRPr="0037314F" w:rsidRDefault="0037314F" w:rsidP="0037314F">
      <w:pPr>
        <w:numPr>
          <w:ilvl w:val="0"/>
          <w:numId w:val="5"/>
        </w:num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b/>
          <w:bCs/>
          <w:kern w:val="0"/>
          <w:lang w:eastAsia="en-GB"/>
          <w14:ligatures w14:val="none"/>
        </w:rPr>
        <w:t>Worst-Case Scenario (High-Downtime):</w:t>
      </w:r>
      <w:r w:rsidRPr="0037314F">
        <w:rPr>
          <w:rFonts w:ascii="Arial" w:eastAsia="Times New Roman" w:hAnsi="Arial" w:cs="Arial"/>
          <w:kern w:val="0"/>
          <w:lang w:eastAsia="en-GB"/>
          <w14:ligatures w14:val="none"/>
        </w:rPr>
        <w:t xml:space="preserve"> During severe low-pressure passages, $H_s$ significantly exceeds all vessel limits. As illustrated by the spatial extraction, a distinct East-West gradient was observed during low-pressure passages. The wave height difference between the South-East and North-West boundaries reached nearly 1 meter, confirming the theoretical existence of localized micro-windows on the farm's edges. </w:t>
      </w:r>
    </w:p>
    <w:p w14:paraId="3600006E" w14:textId="77777777" w:rsidR="0037314F" w:rsidRPr="0037314F" w:rsidRDefault="0037314F" w:rsidP="0037314F">
      <w:p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kern w:val="0"/>
          <w:lang w:eastAsia="en-GB"/>
          <w14:ligatures w14:val="none"/>
        </w:rPr>
        <w:t xml:space="preserve">While a highly complex routing algorithm could theoretically exploit these micro-windows, this study maintains the assumption of a single reference point at the farm's center to prevent an explosion of algorithmic complexity, which would shift the project into a dynamic spatio-temporal routing problem beyond the intended scope. Consequently, all daily weather gates in the simulation are evaluated against the barycenter's environmental state. </w:t>
      </w:r>
    </w:p>
    <w:p w14:paraId="4C797207" w14:textId="77777777" w:rsidR="0037314F" w:rsidRDefault="0037314F" w:rsidP="008C491F"/>
    <w:p w14:paraId="2757853D" w14:textId="77777777" w:rsidR="008567BB" w:rsidRDefault="008567BB" w:rsidP="008C491F"/>
    <w:p w14:paraId="670420FF" w14:textId="77777777" w:rsidR="008567BB" w:rsidRPr="008567BB" w:rsidRDefault="008567BB" w:rsidP="008567B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567BB">
        <w:rPr>
          <w:rFonts w:ascii="Times New Roman" w:eastAsia="Times New Roman" w:hAnsi="Times New Roman" w:cs="Times New Roman"/>
          <w:b/>
          <w:bCs/>
          <w:kern w:val="0"/>
          <w:sz w:val="27"/>
          <w:szCs w:val="27"/>
          <w:lang w:eastAsia="en-GB"/>
          <w14:ligatures w14:val="none"/>
        </w:rPr>
        <w:lastRenderedPageBreak/>
        <w:t>Le Plan de Bataille (L'Exécution de la Matrice)</w:t>
      </w:r>
    </w:p>
    <w:p w14:paraId="2472D019" w14:textId="77777777" w:rsidR="008567BB" w:rsidRPr="008567BB" w:rsidRDefault="008567BB" w:rsidP="008567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Pour avoir des résultats complets à présenter à ton jury, tu vas devoir faire tourner ton modèle pour couvrir toutes les combinaisons de ta matrice de recherche. Tu as 12 simulations à générer au total :</w:t>
      </w:r>
    </w:p>
    <w:p w14:paraId="63A6136A" w14:textId="77777777" w:rsidR="008567BB" w:rsidRPr="008567BB" w:rsidRDefault="008567BB" w:rsidP="008567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b/>
          <w:bCs/>
          <w:kern w:val="0"/>
          <w:lang w:eastAsia="en-GB"/>
          <w14:ligatures w14:val="none"/>
        </w:rPr>
        <w:t>1. Scénario "Best-Case" (La semaine d'été calme)</w:t>
      </w:r>
    </w:p>
    <w:p w14:paraId="7543BC85" w14:textId="77777777" w:rsidR="008567BB" w:rsidRPr="008567BB" w:rsidRDefault="008567BB" w:rsidP="008567BB">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CTV</w:t>
      </w:r>
    </w:p>
    <w:p w14:paraId="42A4338D" w14:textId="77777777" w:rsidR="008567BB" w:rsidRPr="008567BB" w:rsidRDefault="008567BB" w:rsidP="008567BB">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SOV</w:t>
      </w:r>
    </w:p>
    <w:p w14:paraId="305A7E04" w14:textId="77777777" w:rsidR="008567BB" w:rsidRPr="008567BB" w:rsidRDefault="008567BB" w:rsidP="008567BB">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CTV</w:t>
      </w:r>
    </w:p>
    <w:p w14:paraId="1AA13878" w14:textId="77777777" w:rsidR="008567BB" w:rsidRPr="008567BB" w:rsidRDefault="008567BB" w:rsidP="008567BB">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SOV</w:t>
      </w:r>
    </w:p>
    <w:p w14:paraId="36002557" w14:textId="77777777" w:rsidR="008567BB" w:rsidRPr="008567BB" w:rsidRDefault="008567BB" w:rsidP="008567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b/>
          <w:bCs/>
          <w:kern w:val="0"/>
          <w:lang w:eastAsia="en-GB"/>
          <w14:ligatures w14:val="none"/>
        </w:rPr>
        <w:t>2. Scénario "Base-Case" (La semaine typique/médiane)</w:t>
      </w:r>
    </w:p>
    <w:p w14:paraId="3EA55AF7" w14:textId="77777777" w:rsidR="008567BB" w:rsidRPr="008567BB" w:rsidRDefault="008567BB" w:rsidP="008567BB">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CTV</w:t>
      </w:r>
    </w:p>
    <w:p w14:paraId="689F7FD5" w14:textId="77777777" w:rsidR="008567BB" w:rsidRPr="008567BB" w:rsidRDefault="008567BB" w:rsidP="008567BB">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SOV</w:t>
      </w:r>
    </w:p>
    <w:p w14:paraId="49F800DE" w14:textId="77777777" w:rsidR="008567BB" w:rsidRPr="008567BB" w:rsidRDefault="008567BB" w:rsidP="008567BB">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CTV</w:t>
      </w:r>
    </w:p>
    <w:p w14:paraId="4A463378" w14:textId="77777777" w:rsidR="008567BB" w:rsidRPr="008567BB" w:rsidRDefault="008567BB" w:rsidP="008567BB">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SOV</w:t>
      </w:r>
    </w:p>
    <w:p w14:paraId="02314EE0" w14:textId="77777777" w:rsidR="008567BB" w:rsidRPr="008567BB" w:rsidRDefault="008567BB" w:rsidP="008567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b/>
          <w:bCs/>
          <w:kern w:val="0"/>
          <w:lang w:eastAsia="en-GB"/>
          <w14:ligatures w14:val="none"/>
        </w:rPr>
        <w:t>3. Scénario "Worst-Case" (La tempête d'hiver)</w:t>
      </w:r>
    </w:p>
    <w:p w14:paraId="38AB9768" w14:textId="77777777" w:rsidR="008567BB" w:rsidRPr="008567BB" w:rsidRDefault="008567BB" w:rsidP="008567BB">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CTV</w:t>
      </w:r>
    </w:p>
    <w:p w14:paraId="29DC34D2" w14:textId="77777777" w:rsidR="008567BB" w:rsidRPr="008567BB" w:rsidRDefault="008567BB" w:rsidP="008567BB">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SOV</w:t>
      </w:r>
    </w:p>
    <w:p w14:paraId="7FE32411" w14:textId="77777777" w:rsidR="008567BB" w:rsidRPr="008567BB" w:rsidRDefault="008567BB" w:rsidP="008567BB">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CTV</w:t>
      </w:r>
    </w:p>
    <w:p w14:paraId="47EBA0D4" w14:textId="77777777" w:rsidR="008567BB" w:rsidRPr="008567BB" w:rsidRDefault="008567BB" w:rsidP="008567BB">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SOV</w:t>
      </w:r>
    </w:p>
    <w:p w14:paraId="6F78DDC2" w14:textId="77777777" w:rsidR="008567BB" w:rsidRDefault="008567BB" w:rsidP="008C491F"/>
    <w:p w14:paraId="5AFE9CD9" w14:textId="4D7C8866" w:rsidR="008567BB" w:rsidRDefault="008567BB" w:rsidP="008567BB">
      <w:pPr>
        <w:pStyle w:val="ListParagraph"/>
        <w:numPr>
          <w:ilvl w:val="0"/>
          <w:numId w:val="9"/>
        </w:numPr>
      </w:pPr>
      <w:r>
        <w:t>Contrairement au papers de frederiksen j’utilise seulement un vessel et je n’utilise pas la logique de bus stop qui dépose des techniciens et qui va à la prochaine WT pour déposer une autre équipe pui qui retourne chercher l’équipe d’avant une fois qu’ils ont fini car c’est trop complexe pour le temps imparti de la dissertation et aussi parce que ce nest pas le coeur meme de mon sujet de dissertation je ne minteresse pas vraiment a la logique de routing et d’optimisation de la logistique mais plutot de limpact meteo sur le choix de la strategie de maintenance</w:t>
      </w:r>
    </w:p>
    <w:p w14:paraId="73D4BD1F" w14:textId="0C2609D6" w:rsidR="004C05E3" w:rsidRDefault="004C05E3" w:rsidP="004C05E3">
      <w:pPr>
        <w:pStyle w:val="ListParagraph"/>
        <w:numPr>
          <w:ilvl w:val="0"/>
          <w:numId w:val="9"/>
        </w:numPr>
      </w:pPr>
      <w:r>
        <w:t>Tester 3 profils d’IA pour voir la sensibilité à la précision de l’IA de ma rentabilité financière (perfect, standard, mediocre)</w:t>
      </w:r>
    </w:p>
    <w:p w14:paraId="0F62AC9E" w14:textId="148F7FF3" w:rsidR="004C05E3" w:rsidRDefault="004C05E3" w:rsidP="004C05E3">
      <w:pPr>
        <w:pStyle w:val="ListParagraph"/>
        <w:numPr>
          <w:ilvl w:val="0"/>
          <w:numId w:val="9"/>
        </w:numPr>
      </w:pPr>
      <w:r>
        <w:t>Intécgré le vent si jai le temps if wind speed&gt;40 knots then safe=false (ou alors je garde cette option pour la section futur work de mon mémoire)</w:t>
      </w:r>
      <w:r w:rsidR="00536077">
        <w:t xml:space="preserve"> </w:t>
      </w:r>
      <w:r w:rsidR="00536077">
        <w:rPr>
          <w:rStyle w:val="citation-24"/>
          <w:rFonts w:ascii="Arial" w:hAnsi="Arial" w:cs="Arial"/>
        </w:rPr>
        <w:t>While safe Service Operation Vessel (SOV) deployments are constrained by both Significant Wave Height (</w:t>
      </w:r>
      <w:r w:rsidR="00536077">
        <w:rPr>
          <w:rStyle w:val="math-inline"/>
          <w:rFonts w:ascii="Arial" w:hAnsi="Arial" w:cs="Arial"/>
        </w:rPr>
        <w:t>$H_s$</w:t>
      </w:r>
      <w:r w:rsidR="00536077">
        <w:rPr>
          <w:rStyle w:val="citation-24"/>
          <w:rFonts w:ascii="Arial" w:hAnsi="Arial" w:cs="Arial"/>
        </w:rPr>
        <w:t xml:space="preserve"> limit of 3.5m) and wind speed (typically capped at 40 knots for safe gangway transfers), this simulation utilizes </w:t>
      </w:r>
      <w:r w:rsidR="00536077">
        <w:rPr>
          <w:rStyle w:val="math-inline"/>
          <w:rFonts w:ascii="Arial" w:hAnsi="Arial" w:cs="Arial"/>
        </w:rPr>
        <w:t>$H_s$</w:t>
      </w:r>
      <w:r w:rsidR="00536077">
        <w:rPr>
          <w:rStyle w:val="citation-24"/>
          <w:rFonts w:ascii="Arial" w:hAnsi="Arial" w:cs="Arial"/>
        </w:rPr>
        <w:t xml:space="preserve"> as a standalone proxy for metocean severity. A review of the Copernicus Global Ocean Wave dataset </w:t>
      </w:r>
      <w:r w:rsidR="00536077">
        <w:rPr>
          <w:rStyle w:val="citation-24"/>
          <w:rFonts w:ascii="Arial" w:hAnsi="Arial" w:cs="Arial"/>
        </w:rPr>
        <w:lastRenderedPageBreak/>
        <w:t xml:space="preserve">(GLOBAL_ANALYSISFORECAST_WAV_001_027) </w:t>
      </w:r>
      <w:r w:rsidR="00536077">
        <w:rPr>
          <w:rFonts w:ascii="Arial" w:hAnsi="Arial" w:cs="Arial"/>
        </w:rPr>
        <w:t>confirmed that raw atmospheric wind variables are not exported within the wave model outputs. Because extreme wind events in the Aberdeen offshore region are overwhelmingly correlated with high sea states exceeding the 3.5m threshold, introducing a secondary meteorological constraint would exponentially increase the data-fetching architecture without substantially altering the vessel's 'No-Go' daily matrix. The integration of a multi-variable weather gate (Wind + Waves) relying on overlapping satellite datasets represents a highly relevant avenue for future model expansions.</w:t>
      </w:r>
    </w:p>
    <w:p w14:paraId="745A1119" w14:textId="2C61EE0D" w:rsidR="004C05E3" w:rsidRDefault="004C05E3" w:rsidP="004C05E3">
      <w:pPr>
        <w:pStyle w:val="ListParagraph"/>
        <w:numPr>
          <w:ilvl w:val="0"/>
          <w:numId w:val="9"/>
        </w:numPr>
      </w:pPr>
      <w:r>
        <w:t xml:space="preserve">Fuel SOV logique de standby consommation continue </w:t>
      </w:r>
    </w:p>
    <w:p w14:paraId="0397E00D" w14:textId="52EF7A78" w:rsidR="004C05E3" w:rsidRDefault="004C05E3" w:rsidP="004C05E3">
      <w:pPr>
        <w:pStyle w:val="ListParagraph"/>
        <w:numPr>
          <w:ilvl w:val="0"/>
          <w:numId w:val="9"/>
        </w:numPr>
      </w:pPr>
      <w:r>
        <w:t xml:space="preserve">Wind factor constant : </w:t>
      </w:r>
      <w:r>
        <w:t>Bien que les conditions éoliennes soient corrélées aux conditions de houle, cette étude isole la performance logistique en maintenant un facteur de vent (W_factor) constant de 0.9. Cette simplification permet d'évaluer l'impact pur des 'weather gates' maritimes sur la capacité de maintenance, sans introduire de biais économique lié à la variabilité de la production d'énergie, laquelle est traitée comme une constante de revenue potentielle.</w:t>
      </w:r>
    </w:p>
    <w:p w14:paraId="4CA4B4E5" w14:textId="77777777" w:rsidR="003E6C1C" w:rsidRDefault="003E6C1C" w:rsidP="003E6C1C">
      <w:pPr>
        <w:pStyle w:val="NormalWeb"/>
        <w:spacing w:before="0" w:beforeAutospacing="0"/>
        <w:rPr>
          <w:rFonts w:ascii="Arial" w:hAnsi="Arial" w:cs="Arial"/>
        </w:rPr>
      </w:pPr>
      <w:r>
        <w:rPr>
          <w:rFonts w:ascii="Arial" w:hAnsi="Arial" w:cs="Arial"/>
        </w:rPr>
        <w:t>Voici ta vraie matrice complète, optimisée et sans doublons :</w:t>
      </w:r>
    </w:p>
    <w:p w14:paraId="65BC8A28" w14:textId="77777777" w:rsidR="003E6C1C" w:rsidRDefault="003E6C1C" w:rsidP="003E6C1C">
      <w:pPr>
        <w:pStyle w:val="NormalWeb"/>
        <w:numPr>
          <w:ilvl w:val="0"/>
          <w:numId w:val="10"/>
        </w:numPr>
        <w:spacing w:before="0" w:beforeAutospacing="0"/>
        <w:rPr>
          <w:rFonts w:ascii="Arial" w:hAnsi="Arial" w:cs="Arial"/>
        </w:rPr>
      </w:pPr>
      <w:r>
        <w:rPr>
          <w:rFonts w:ascii="Arial" w:hAnsi="Arial" w:cs="Arial"/>
          <w:b/>
          <w:bCs/>
        </w:rPr>
        <w:t>Préventif (Indépendant de l'IA) :</w:t>
      </w:r>
      <w:r>
        <w:rPr>
          <w:rFonts w:ascii="Arial" w:hAnsi="Arial" w:cs="Arial"/>
        </w:rPr>
        <w:t xml:space="preserve"> 3 Météos </w:t>
      </w:r>
      <w:r>
        <w:rPr>
          <w:rStyle w:val="math-inline"/>
          <w:rFonts w:ascii="Arial" w:eastAsiaTheme="majorEastAsia" w:hAnsi="Arial" w:cs="Arial"/>
        </w:rPr>
        <w:t>$\times$</w:t>
      </w:r>
      <w:r>
        <w:rPr>
          <w:rFonts w:ascii="Arial" w:hAnsi="Arial" w:cs="Arial"/>
        </w:rPr>
        <w:t xml:space="preserve"> 2 Navires = </w:t>
      </w:r>
      <w:r>
        <w:rPr>
          <w:rFonts w:ascii="Arial" w:hAnsi="Arial" w:cs="Arial"/>
          <w:b/>
          <w:bCs/>
        </w:rPr>
        <w:t>6 simulations</w:t>
      </w:r>
      <w:r>
        <w:rPr>
          <w:rFonts w:ascii="Arial" w:hAnsi="Arial" w:cs="Arial"/>
        </w:rPr>
        <w:t>.</w:t>
      </w:r>
    </w:p>
    <w:p w14:paraId="0D0D1FFD" w14:textId="77777777" w:rsidR="003E6C1C" w:rsidRDefault="003E6C1C" w:rsidP="003E6C1C">
      <w:pPr>
        <w:pStyle w:val="NormalWeb"/>
        <w:numPr>
          <w:ilvl w:val="0"/>
          <w:numId w:val="10"/>
        </w:numPr>
        <w:spacing w:before="0" w:beforeAutospacing="0"/>
        <w:rPr>
          <w:rFonts w:ascii="Arial" w:hAnsi="Arial" w:cs="Arial"/>
        </w:rPr>
      </w:pPr>
      <w:r>
        <w:rPr>
          <w:rFonts w:ascii="Arial" w:hAnsi="Arial" w:cs="Arial"/>
          <w:b/>
          <w:bCs/>
        </w:rPr>
        <w:t>Prédictif (Dépendant de l'IA) :</w:t>
      </w:r>
      <w:r>
        <w:rPr>
          <w:rFonts w:ascii="Arial" w:hAnsi="Arial" w:cs="Arial"/>
        </w:rPr>
        <w:t xml:space="preserve"> 3 Météos </w:t>
      </w:r>
      <w:r>
        <w:rPr>
          <w:rStyle w:val="math-inline"/>
          <w:rFonts w:ascii="Arial" w:eastAsiaTheme="majorEastAsia" w:hAnsi="Arial" w:cs="Arial"/>
        </w:rPr>
        <w:t>$\times$</w:t>
      </w:r>
      <w:r>
        <w:rPr>
          <w:rFonts w:ascii="Arial" w:hAnsi="Arial" w:cs="Arial"/>
        </w:rPr>
        <w:t xml:space="preserve"> 2 Navires </w:t>
      </w:r>
      <w:r>
        <w:rPr>
          <w:rStyle w:val="math-inline"/>
          <w:rFonts w:ascii="Arial" w:eastAsiaTheme="majorEastAsia" w:hAnsi="Arial" w:cs="Arial"/>
        </w:rPr>
        <w:t>$\times$</w:t>
      </w:r>
      <w:r>
        <w:rPr>
          <w:rFonts w:ascii="Arial" w:hAnsi="Arial" w:cs="Arial"/>
        </w:rPr>
        <w:t xml:space="preserve"> 3 IA = </w:t>
      </w:r>
      <w:r>
        <w:rPr>
          <w:rFonts w:ascii="Arial" w:hAnsi="Arial" w:cs="Arial"/>
          <w:b/>
          <w:bCs/>
        </w:rPr>
        <w:t>18 simulations</w:t>
      </w:r>
      <w:r>
        <w:rPr>
          <w:rFonts w:ascii="Arial" w:hAnsi="Arial" w:cs="Arial"/>
        </w:rPr>
        <w:t>.</w:t>
      </w:r>
    </w:p>
    <w:p w14:paraId="4B90DF43" w14:textId="77777777" w:rsidR="003E6C1C" w:rsidRDefault="003E6C1C" w:rsidP="003E6C1C">
      <w:pPr>
        <w:pStyle w:val="NormalWeb"/>
        <w:numPr>
          <w:ilvl w:val="0"/>
          <w:numId w:val="10"/>
        </w:numPr>
        <w:spacing w:before="0" w:beforeAutospacing="0"/>
        <w:rPr>
          <w:rFonts w:ascii="Arial" w:hAnsi="Arial" w:cs="Arial"/>
        </w:rPr>
      </w:pPr>
      <w:r>
        <w:rPr>
          <w:rFonts w:ascii="Arial" w:hAnsi="Arial" w:cs="Arial"/>
          <w:b/>
          <w:bCs/>
        </w:rPr>
        <w:t>Total = 24 simulations complètes.</w:t>
      </w:r>
      <w:r>
        <w:rPr>
          <w:rFonts w:ascii="Arial" w:hAnsi="Arial" w:cs="Arial"/>
        </w:rPr>
        <w:t xml:space="preserve"> Avec cela, tu couvres 100 % de ton sujet d'étude sans faire tourner ton ordinateur dans le vide.</w:t>
      </w:r>
    </w:p>
    <w:p w14:paraId="2241A54B" w14:textId="77777777" w:rsidR="00962DAD" w:rsidRDefault="00962DAD" w:rsidP="00962DAD">
      <w:pPr>
        <w:pStyle w:val="NormalWeb"/>
      </w:pPr>
      <w:r>
        <w:t xml:space="preserve">Quand tu lanceras </w:t>
      </w:r>
      <w:r>
        <w:rPr>
          <w:rStyle w:val="HTMLCode"/>
          <w:rFonts w:eastAsiaTheme="majorEastAsia"/>
        </w:rPr>
        <w:t>run_all.py</w:t>
      </w:r>
      <w:r>
        <w:t xml:space="preserve">, ton dossier principal restera parfaitement propre. Il va se créer un dossier </w:t>
      </w:r>
      <w:r>
        <w:rPr>
          <w:rStyle w:val="HTMLCode"/>
          <w:rFonts w:eastAsiaTheme="majorEastAsia"/>
        </w:rPr>
        <w:t>Simulation_Results</w:t>
      </w:r>
      <w:r>
        <w:t xml:space="preserve"> qui ressemblera à ça :</w:t>
      </w:r>
    </w:p>
    <w:p w14:paraId="4B6EE970" w14:textId="77777777" w:rsidR="00962DAD" w:rsidRDefault="00962DAD" w:rsidP="00962DAD">
      <w:pPr>
        <w:pStyle w:val="NormalWeb"/>
        <w:numPr>
          <w:ilvl w:val="0"/>
          <w:numId w:val="11"/>
        </w:numPr>
      </w:pPr>
      <w:r>
        <w:rPr>
          <w:rFonts w:ascii="Apple Color Emoji" w:hAnsi="Apple Color Emoji" w:cs="Apple Color Emoji"/>
        </w:rPr>
        <w:t>📁</w:t>
      </w:r>
      <w:r>
        <w:t xml:space="preserve"> </w:t>
      </w:r>
      <w:r>
        <w:rPr>
          <w:rStyle w:val="HTMLCode"/>
          <w:rFonts w:eastAsiaTheme="majorEastAsia"/>
        </w:rPr>
        <w:t>Simulation_Results</w:t>
      </w:r>
    </w:p>
    <w:p w14:paraId="78FE5A8E" w14:textId="77777777" w:rsidR="00962DAD" w:rsidRDefault="00962DAD" w:rsidP="00962DAD">
      <w:pPr>
        <w:pStyle w:val="NormalWeb"/>
        <w:numPr>
          <w:ilvl w:val="1"/>
          <w:numId w:val="11"/>
        </w:numPr>
      </w:pPr>
      <w:r>
        <w:rPr>
          <w:rFonts w:ascii="Apple Color Emoji" w:hAnsi="Apple Color Emoji" w:cs="Apple Color Emoji"/>
        </w:rPr>
        <w:t>📁</w:t>
      </w:r>
      <w:r>
        <w:t xml:space="preserve"> </w:t>
      </w:r>
      <w:r>
        <w:rPr>
          <w:rStyle w:val="HTMLCode"/>
          <w:rFonts w:eastAsiaTheme="majorEastAsia"/>
        </w:rPr>
        <w:t>Best-Case_Perfect_AI</w:t>
      </w:r>
    </w:p>
    <w:p w14:paraId="50E4F6DE"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Routes</w:t>
      </w:r>
      <w:r>
        <w:t xml:space="preserve"> (Contiendra </w:t>
      </w:r>
      <w:r>
        <w:rPr>
          <w:i/>
          <w:iCs/>
        </w:rPr>
        <w:t>Route_Day_1.png</w:t>
      </w:r>
      <w:r>
        <w:t xml:space="preserve">, </w:t>
      </w:r>
      <w:r>
        <w:rPr>
          <w:i/>
          <w:iCs/>
        </w:rPr>
        <w:t>Route_Day_2.png</w:t>
      </w:r>
      <w:r>
        <w:t>, etc.)</w:t>
      </w:r>
    </w:p>
    <w:p w14:paraId="7ADF7118"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Tables</w:t>
      </w:r>
      <w:r>
        <w:t xml:space="preserve"> (Contiendra </w:t>
      </w:r>
      <w:r>
        <w:rPr>
          <w:i/>
          <w:iCs/>
        </w:rPr>
        <w:t>Financial_Summary.png</w:t>
      </w:r>
      <w:r>
        <w:t xml:space="preserve">, </w:t>
      </w:r>
      <w:r>
        <w:rPr>
          <w:i/>
          <w:iCs/>
        </w:rPr>
        <w:t>Downtime_Summary.png</w:t>
      </w:r>
      <w:r>
        <w:t>)</w:t>
      </w:r>
    </w:p>
    <w:p w14:paraId="6902ACBD"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Config_Log.txt</w:t>
      </w:r>
    </w:p>
    <w:p w14:paraId="26A9B4A4" w14:textId="77777777" w:rsidR="00962DAD" w:rsidRDefault="00962DAD" w:rsidP="00962DAD">
      <w:pPr>
        <w:pStyle w:val="NormalWeb"/>
        <w:numPr>
          <w:ilvl w:val="1"/>
          <w:numId w:val="11"/>
        </w:numPr>
      </w:pPr>
      <w:r>
        <w:rPr>
          <w:rFonts w:ascii="Apple Color Emoji" w:hAnsi="Apple Color Emoji" w:cs="Apple Color Emoji"/>
        </w:rPr>
        <w:t>📁</w:t>
      </w:r>
      <w:r>
        <w:t xml:space="preserve"> </w:t>
      </w:r>
      <w:r>
        <w:rPr>
          <w:rStyle w:val="HTMLCode"/>
          <w:rFonts w:eastAsiaTheme="majorEastAsia"/>
        </w:rPr>
        <w:t>Worst-Case_No_AI</w:t>
      </w:r>
    </w:p>
    <w:p w14:paraId="5783B338"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Routes</w:t>
      </w:r>
    </w:p>
    <w:p w14:paraId="727F5BA9"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Tables</w:t>
      </w:r>
    </w:p>
    <w:p w14:paraId="1AEC46F3"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Config_Log.txt</w:t>
      </w:r>
    </w:p>
    <w:p w14:paraId="756AA8F9" w14:textId="77777777" w:rsidR="00962DAD" w:rsidRDefault="00962DAD" w:rsidP="00962DAD">
      <w:pPr>
        <w:pStyle w:val="NormalWeb"/>
        <w:numPr>
          <w:ilvl w:val="1"/>
          <w:numId w:val="11"/>
        </w:numPr>
      </w:pPr>
      <w:r>
        <w:rPr>
          <w:i/>
          <w:iCs/>
        </w:rPr>
        <w:t>(etc. pour tes 24 simulations)</w:t>
      </w:r>
    </w:p>
    <w:sectPr w:rsidR="00962D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F0975"/>
    <w:multiLevelType w:val="multilevel"/>
    <w:tmpl w:val="042C6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0684C"/>
    <w:multiLevelType w:val="multilevel"/>
    <w:tmpl w:val="D4F2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245421"/>
    <w:multiLevelType w:val="multilevel"/>
    <w:tmpl w:val="91C4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A21D5"/>
    <w:multiLevelType w:val="multilevel"/>
    <w:tmpl w:val="4A22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EB3B18"/>
    <w:multiLevelType w:val="multilevel"/>
    <w:tmpl w:val="A95E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6C0187"/>
    <w:multiLevelType w:val="multilevel"/>
    <w:tmpl w:val="6AA81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2B10A8"/>
    <w:multiLevelType w:val="hybridMultilevel"/>
    <w:tmpl w:val="651C7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330103"/>
    <w:multiLevelType w:val="multilevel"/>
    <w:tmpl w:val="F3C8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946042"/>
    <w:multiLevelType w:val="hybridMultilevel"/>
    <w:tmpl w:val="23CA88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4E090F"/>
    <w:multiLevelType w:val="multilevel"/>
    <w:tmpl w:val="8F52B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2603D0"/>
    <w:multiLevelType w:val="multilevel"/>
    <w:tmpl w:val="F45E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9D2739"/>
    <w:multiLevelType w:val="multilevel"/>
    <w:tmpl w:val="F238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91072D"/>
    <w:multiLevelType w:val="multilevel"/>
    <w:tmpl w:val="D9B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A2962"/>
    <w:multiLevelType w:val="multilevel"/>
    <w:tmpl w:val="9E94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5A26DB"/>
    <w:multiLevelType w:val="multilevel"/>
    <w:tmpl w:val="C346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452716">
    <w:abstractNumId w:val="4"/>
  </w:num>
  <w:num w:numId="2" w16cid:durableId="1136098253">
    <w:abstractNumId w:val="1"/>
  </w:num>
  <w:num w:numId="3" w16cid:durableId="2046104017">
    <w:abstractNumId w:val="10"/>
  </w:num>
  <w:num w:numId="4" w16cid:durableId="1098715201">
    <w:abstractNumId w:val="8"/>
  </w:num>
  <w:num w:numId="5" w16cid:durableId="1372651733">
    <w:abstractNumId w:val="0"/>
  </w:num>
  <w:num w:numId="6" w16cid:durableId="1864198626">
    <w:abstractNumId w:val="2"/>
  </w:num>
  <w:num w:numId="7" w16cid:durableId="414713096">
    <w:abstractNumId w:val="7"/>
  </w:num>
  <w:num w:numId="8" w16cid:durableId="1190025026">
    <w:abstractNumId w:val="3"/>
  </w:num>
  <w:num w:numId="9" w16cid:durableId="1993094545">
    <w:abstractNumId w:val="6"/>
  </w:num>
  <w:num w:numId="10" w16cid:durableId="1076711656">
    <w:abstractNumId w:val="11"/>
  </w:num>
  <w:num w:numId="11" w16cid:durableId="935362017">
    <w:abstractNumId w:val="5"/>
  </w:num>
  <w:num w:numId="12" w16cid:durableId="1707095426">
    <w:abstractNumId w:val="13"/>
  </w:num>
  <w:num w:numId="13" w16cid:durableId="899708691">
    <w:abstractNumId w:val="14"/>
  </w:num>
  <w:num w:numId="14" w16cid:durableId="155270039">
    <w:abstractNumId w:val="12"/>
  </w:num>
  <w:num w:numId="15" w16cid:durableId="19857693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91F"/>
    <w:rsid w:val="0002169A"/>
    <w:rsid w:val="001579E4"/>
    <w:rsid w:val="0019006C"/>
    <w:rsid w:val="0037314F"/>
    <w:rsid w:val="00383FE5"/>
    <w:rsid w:val="003E6C1C"/>
    <w:rsid w:val="003F6D10"/>
    <w:rsid w:val="00492B6F"/>
    <w:rsid w:val="004C05E3"/>
    <w:rsid w:val="0051687B"/>
    <w:rsid w:val="00536077"/>
    <w:rsid w:val="005C4437"/>
    <w:rsid w:val="005C7AC4"/>
    <w:rsid w:val="006B2F38"/>
    <w:rsid w:val="00764162"/>
    <w:rsid w:val="008567BB"/>
    <w:rsid w:val="00870ED1"/>
    <w:rsid w:val="008C491F"/>
    <w:rsid w:val="008E5087"/>
    <w:rsid w:val="00962DAD"/>
    <w:rsid w:val="009D2A17"/>
    <w:rsid w:val="00A9697D"/>
    <w:rsid w:val="00B2233B"/>
    <w:rsid w:val="00BA12C1"/>
    <w:rsid w:val="00C83FF7"/>
    <w:rsid w:val="00CA2B25"/>
    <w:rsid w:val="00DE3B3A"/>
    <w:rsid w:val="00F637BF"/>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326CEDC3"/>
  <w15:chartTrackingRefBased/>
  <w15:docId w15:val="{1D0D5A47-7CD4-A447-9F3D-A9154B88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4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4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4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4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91F"/>
    <w:rPr>
      <w:rFonts w:eastAsiaTheme="majorEastAsia" w:cstheme="majorBidi"/>
      <w:color w:val="272727" w:themeColor="text1" w:themeTint="D8"/>
    </w:rPr>
  </w:style>
  <w:style w:type="paragraph" w:styleId="Title">
    <w:name w:val="Title"/>
    <w:basedOn w:val="Normal"/>
    <w:next w:val="Normal"/>
    <w:link w:val="TitleChar"/>
    <w:uiPriority w:val="10"/>
    <w:qFormat/>
    <w:rsid w:val="008C4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91F"/>
    <w:pPr>
      <w:spacing w:before="160"/>
      <w:jc w:val="center"/>
    </w:pPr>
    <w:rPr>
      <w:i/>
      <w:iCs/>
      <w:color w:val="404040" w:themeColor="text1" w:themeTint="BF"/>
    </w:rPr>
  </w:style>
  <w:style w:type="character" w:customStyle="1" w:styleId="QuoteChar">
    <w:name w:val="Quote Char"/>
    <w:basedOn w:val="DefaultParagraphFont"/>
    <w:link w:val="Quote"/>
    <w:uiPriority w:val="29"/>
    <w:rsid w:val="008C491F"/>
    <w:rPr>
      <w:i/>
      <w:iCs/>
      <w:color w:val="404040" w:themeColor="text1" w:themeTint="BF"/>
    </w:rPr>
  </w:style>
  <w:style w:type="paragraph" w:styleId="ListParagraph">
    <w:name w:val="List Paragraph"/>
    <w:basedOn w:val="Normal"/>
    <w:uiPriority w:val="34"/>
    <w:qFormat/>
    <w:rsid w:val="008C491F"/>
    <w:pPr>
      <w:ind w:left="720"/>
      <w:contextualSpacing/>
    </w:pPr>
  </w:style>
  <w:style w:type="character" w:styleId="IntenseEmphasis">
    <w:name w:val="Intense Emphasis"/>
    <w:basedOn w:val="DefaultParagraphFont"/>
    <w:uiPriority w:val="21"/>
    <w:qFormat/>
    <w:rsid w:val="008C491F"/>
    <w:rPr>
      <w:i/>
      <w:iCs/>
      <w:color w:val="0F4761" w:themeColor="accent1" w:themeShade="BF"/>
    </w:rPr>
  </w:style>
  <w:style w:type="paragraph" w:styleId="IntenseQuote">
    <w:name w:val="Intense Quote"/>
    <w:basedOn w:val="Normal"/>
    <w:next w:val="Normal"/>
    <w:link w:val="IntenseQuoteChar"/>
    <w:uiPriority w:val="30"/>
    <w:qFormat/>
    <w:rsid w:val="008C4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91F"/>
    <w:rPr>
      <w:i/>
      <w:iCs/>
      <w:color w:val="0F4761" w:themeColor="accent1" w:themeShade="BF"/>
    </w:rPr>
  </w:style>
  <w:style w:type="character" w:styleId="IntenseReference">
    <w:name w:val="Intense Reference"/>
    <w:basedOn w:val="DefaultParagraphFont"/>
    <w:uiPriority w:val="32"/>
    <w:qFormat/>
    <w:rsid w:val="008C491F"/>
    <w:rPr>
      <w:b/>
      <w:bCs/>
      <w:smallCaps/>
      <w:color w:val="0F4761" w:themeColor="accent1" w:themeShade="BF"/>
      <w:spacing w:val="5"/>
    </w:rPr>
  </w:style>
  <w:style w:type="paragraph" w:styleId="NormalWeb">
    <w:name w:val="Normal (Web)"/>
    <w:basedOn w:val="Normal"/>
    <w:uiPriority w:val="99"/>
    <w:unhideWhenUsed/>
    <w:rsid w:val="008C491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8C491F"/>
    <w:rPr>
      <w:i/>
      <w:iCs/>
    </w:rPr>
  </w:style>
  <w:style w:type="character" w:styleId="HTMLCode">
    <w:name w:val="HTML Code"/>
    <w:basedOn w:val="DefaultParagraphFont"/>
    <w:uiPriority w:val="99"/>
    <w:semiHidden/>
    <w:unhideWhenUsed/>
    <w:rsid w:val="008C491F"/>
    <w:rPr>
      <w:rFonts w:ascii="Courier New" w:eastAsia="Times New Roman" w:hAnsi="Courier New" w:cs="Courier New"/>
      <w:sz w:val="20"/>
      <w:szCs w:val="20"/>
    </w:rPr>
  </w:style>
  <w:style w:type="character" w:styleId="Strong">
    <w:name w:val="Strong"/>
    <w:basedOn w:val="DefaultParagraphFont"/>
    <w:uiPriority w:val="22"/>
    <w:qFormat/>
    <w:rsid w:val="008C491F"/>
    <w:rPr>
      <w:b/>
      <w:bCs/>
    </w:rPr>
  </w:style>
  <w:style w:type="character" w:customStyle="1" w:styleId="math-inline">
    <w:name w:val="math-inline"/>
    <w:basedOn w:val="DefaultParagraphFont"/>
    <w:rsid w:val="006B2F38"/>
  </w:style>
  <w:style w:type="character" w:customStyle="1" w:styleId="citation-54">
    <w:name w:val="citation-54"/>
    <w:basedOn w:val="DefaultParagraphFont"/>
    <w:rsid w:val="00A9697D"/>
  </w:style>
  <w:style w:type="character" w:customStyle="1" w:styleId="citation-136">
    <w:name w:val="citation-136"/>
    <w:basedOn w:val="DefaultParagraphFont"/>
    <w:rsid w:val="0037314F"/>
  </w:style>
  <w:style w:type="character" w:customStyle="1" w:styleId="citation-135">
    <w:name w:val="citation-135"/>
    <w:basedOn w:val="DefaultParagraphFont"/>
    <w:rsid w:val="0037314F"/>
  </w:style>
  <w:style w:type="character" w:customStyle="1" w:styleId="citation-134">
    <w:name w:val="citation-134"/>
    <w:basedOn w:val="DefaultParagraphFont"/>
    <w:rsid w:val="0037314F"/>
  </w:style>
  <w:style w:type="character" w:customStyle="1" w:styleId="citation-133">
    <w:name w:val="citation-133"/>
    <w:basedOn w:val="DefaultParagraphFont"/>
    <w:rsid w:val="0037314F"/>
  </w:style>
  <w:style w:type="character" w:customStyle="1" w:styleId="citation-132">
    <w:name w:val="citation-132"/>
    <w:basedOn w:val="DefaultParagraphFont"/>
    <w:rsid w:val="0037314F"/>
  </w:style>
  <w:style w:type="character" w:customStyle="1" w:styleId="citation-24">
    <w:name w:val="citation-24"/>
    <w:basedOn w:val="DefaultParagraphFont"/>
    <w:rsid w:val="005360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1957</TotalTime>
  <Pages>12</Pages>
  <Words>3474</Words>
  <Characters>19802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Bertola, Baptiste</dc:creator>
  <cp:keywords/>
  <dc:description/>
  <cp:lastModifiedBy>Bertola, Baptiste</cp:lastModifiedBy>
  <cp:revision>11</cp:revision>
  <dcterms:created xsi:type="dcterms:W3CDTF">2026-06-29T15:57:00Z</dcterms:created>
  <dcterms:modified xsi:type="dcterms:W3CDTF">2026-07-05T15:18:00Z</dcterms:modified>
</cp:coreProperties>
</file>