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BA9C5" w14:textId="77777777" w:rsidR="0074713B" w:rsidRPr="0074713B" w:rsidRDefault="0074713B" w:rsidP="006F1EC7">
      <w:pPr>
        <w:spacing w:before="100" w:beforeAutospacing="1" w:after="100" w:afterAutospacing="1" w:line="240" w:lineRule="auto"/>
        <w:outlineLvl w:val="2"/>
        <w:rPr>
          <w:rFonts w:ascii="Times New Roman" w:eastAsia="Times New Roman" w:hAnsi="Times New Roman" w:cs="Times New Roman"/>
          <w:b/>
          <w:bCs/>
          <w:kern w:val="0"/>
          <w:sz w:val="44"/>
          <w:szCs w:val="44"/>
          <w:lang w:eastAsia="en-GB"/>
          <w14:ligatures w14:val="none"/>
        </w:rPr>
      </w:pPr>
      <w:r w:rsidRPr="0074713B">
        <w:rPr>
          <w:rFonts w:ascii="Times New Roman" w:eastAsia="Times New Roman" w:hAnsi="Times New Roman" w:cs="Times New Roman"/>
          <w:b/>
          <w:bCs/>
          <w:kern w:val="0"/>
          <w:sz w:val="44"/>
          <w:szCs w:val="44"/>
          <w:lang w:eastAsia="en-GB"/>
          <w14:ligatures w14:val="none"/>
        </w:rPr>
        <w:t>DRAFT</w:t>
      </w:r>
    </w:p>
    <w:p w14:paraId="478CA9B8" w14:textId="31ECEC22" w:rsidR="006F1EC7" w:rsidRPr="005C7AC4" w:rsidRDefault="006F1EC7" w:rsidP="006F1E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C7AC4">
        <w:rPr>
          <w:rFonts w:ascii="Times New Roman" w:eastAsia="Times New Roman" w:hAnsi="Times New Roman" w:cs="Times New Roman"/>
          <w:b/>
          <w:bCs/>
          <w:kern w:val="0"/>
          <w:sz w:val="27"/>
          <w:szCs w:val="27"/>
          <w:lang w:eastAsia="en-GB"/>
          <w14:ligatures w14:val="none"/>
        </w:rPr>
        <w:t>Le plan d'attaque pour ton chapitre "Results"</w:t>
      </w:r>
    </w:p>
    <w:p w14:paraId="7A57E277" w14:textId="77777777" w:rsidR="006F1EC7" w:rsidRPr="005C7AC4" w:rsidRDefault="006F1EC7" w:rsidP="006F1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b/>
          <w:bCs/>
          <w:kern w:val="0"/>
          <w:lang w:eastAsia="en-GB"/>
          <w14:ligatures w14:val="none"/>
        </w:rPr>
        <w:t>Axe 1 : L'impact de la sévérité météo (Le duel CTV vs SOV)</w:t>
      </w:r>
      <w:r w:rsidRPr="005C7AC4">
        <w:rPr>
          <w:rFonts w:ascii="Times New Roman" w:eastAsia="Times New Roman" w:hAnsi="Times New Roman" w:cs="Times New Roman"/>
          <w:kern w:val="0"/>
          <w:lang w:eastAsia="en-GB"/>
          <w14:ligatures w14:val="none"/>
        </w:rPr>
        <w:t xml:space="preserve"> </w:t>
      </w:r>
      <w:r w:rsidRPr="005C7AC4">
        <w:rPr>
          <w:rFonts w:ascii="Times New Roman" w:eastAsia="Times New Roman" w:hAnsi="Times New Roman" w:cs="Times New Roman"/>
          <w:i/>
          <w:iCs/>
          <w:kern w:val="0"/>
          <w:lang w:eastAsia="en-GB"/>
          <w14:ligatures w14:val="none"/>
        </w:rPr>
        <w:t>Ici, on prouve que la météo change les règles du jeu logistique.</w:t>
      </w:r>
    </w:p>
    <w:p w14:paraId="1897DB48" w14:textId="77777777" w:rsidR="006F1EC7" w:rsidRPr="005C7AC4" w:rsidRDefault="006F1EC7" w:rsidP="006F1EC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kern w:val="0"/>
          <w:lang w:eastAsia="en-GB"/>
          <w14:ligatures w14:val="none"/>
        </w:rPr>
        <w:t xml:space="preserve">On va comparer les jours de "No-Go" et le profit net entre le CTV et le SOV dans le </w:t>
      </w:r>
      <w:r w:rsidRPr="005C7AC4">
        <w:rPr>
          <w:rFonts w:ascii="Times New Roman" w:eastAsia="Times New Roman" w:hAnsi="Times New Roman" w:cs="Times New Roman"/>
          <w:b/>
          <w:bCs/>
          <w:kern w:val="0"/>
          <w:lang w:eastAsia="en-GB"/>
          <w14:ligatures w14:val="none"/>
        </w:rPr>
        <w:t>Best-Case</w:t>
      </w:r>
      <w:r w:rsidRPr="005C7AC4">
        <w:rPr>
          <w:rFonts w:ascii="Times New Roman" w:eastAsia="Times New Roman" w:hAnsi="Times New Roman" w:cs="Times New Roman"/>
          <w:kern w:val="0"/>
          <w:lang w:eastAsia="en-GB"/>
          <w14:ligatures w14:val="none"/>
        </w:rPr>
        <w:t xml:space="preserve"> (été) et le </w:t>
      </w:r>
      <w:r w:rsidRPr="005C7AC4">
        <w:rPr>
          <w:rFonts w:ascii="Times New Roman" w:eastAsia="Times New Roman" w:hAnsi="Times New Roman" w:cs="Times New Roman"/>
          <w:b/>
          <w:bCs/>
          <w:kern w:val="0"/>
          <w:lang w:eastAsia="en-GB"/>
          <w14:ligatures w14:val="none"/>
        </w:rPr>
        <w:t>Worst-Case</w:t>
      </w:r>
      <w:r w:rsidRPr="005C7AC4">
        <w:rPr>
          <w:rFonts w:ascii="Times New Roman" w:eastAsia="Times New Roman" w:hAnsi="Times New Roman" w:cs="Times New Roman"/>
          <w:kern w:val="0"/>
          <w:lang w:eastAsia="en-GB"/>
          <w14:ligatures w14:val="none"/>
        </w:rPr>
        <w:t xml:space="preserve"> (hiver).</w:t>
      </w:r>
    </w:p>
    <w:p w14:paraId="14C409CA" w14:textId="77777777" w:rsidR="006F1EC7" w:rsidRPr="005C7AC4" w:rsidRDefault="006F1EC7" w:rsidP="006F1EC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i/>
          <w:iCs/>
          <w:kern w:val="0"/>
          <w:lang w:eastAsia="en-GB"/>
          <w14:ligatures w14:val="none"/>
        </w:rPr>
        <w:t>Hypothèse attendue :</w:t>
      </w:r>
      <w:r w:rsidRPr="005C7AC4">
        <w:rPr>
          <w:rFonts w:ascii="Times New Roman" w:eastAsia="Times New Roman" w:hAnsi="Times New Roman" w:cs="Times New Roman"/>
          <w:kern w:val="0"/>
          <w:lang w:eastAsia="en-GB"/>
          <w14:ligatures w14:val="none"/>
        </w:rPr>
        <w:t xml:space="preserve"> Le CTV est le plus rentable en été (car il coûte beaucoup moins cher), mais le SOV devient indispensable en hiver, car le CTV est cloué au port et les pénalités de pannes (Cost of Downtime) explosent.</w:t>
      </w:r>
      <w:r>
        <w:rPr>
          <w:rFonts w:ascii="Times New Roman" w:eastAsia="Times New Roman" w:hAnsi="Times New Roman" w:cs="Times New Roman"/>
          <w:kern w:val="0"/>
          <w:lang w:eastAsia="en-GB"/>
          <w14:ligatures w14:val="none"/>
        </w:rPr>
        <w:t xml:space="preserve"> (</w:t>
      </w:r>
      <w:r w:rsidRPr="00C83FF7">
        <w:rPr>
          <w:rFonts w:ascii="Times New Roman" w:eastAsia="Times New Roman" w:hAnsi="Times New Roman" w:cs="Times New Roman"/>
          <w:color w:val="EE0000"/>
          <w:kern w:val="0"/>
          <w:lang w:eastAsia="en-GB"/>
          <w14:ligatures w14:val="none"/>
        </w:rPr>
        <w:t>NON à CHANGER</w:t>
      </w:r>
      <w:r>
        <w:rPr>
          <w:rFonts w:ascii="Times New Roman" w:eastAsia="Times New Roman" w:hAnsi="Times New Roman" w:cs="Times New Roman"/>
          <w:kern w:val="0"/>
          <w:lang w:eastAsia="en-GB"/>
          <w14:ligatures w14:val="none"/>
        </w:rPr>
        <w:t>)</w:t>
      </w:r>
    </w:p>
    <w:p w14:paraId="3FB83970" w14:textId="77777777" w:rsidR="006F1EC7" w:rsidRPr="005C7AC4" w:rsidRDefault="006F1EC7" w:rsidP="006F1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b/>
          <w:bCs/>
          <w:kern w:val="0"/>
          <w:lang w:eastAsia="en-GB"/>
          <w14:ligatures w14:val="none"/>
        </w:rPr>
        <w:t>Axe 2 : La rentabilité du Préventif vs Prédictif (La zone de conflit)</w:t>
      </w:r>
      <w:r w:rsidRPr="005C7AC4">
        <w:rPr>
          <w:rFonts w:ascii="Times New Roman" w:eastAsia="Times New Roman" w:hAnsi="Times New Roman" w:cs="Times New Roman"/>
          <w:kern w:val="0"/>
          <w:lang w:eastAsia="en-GB"/>
          <w14:ligatures w14:val="none"/>
        </w:rPr>
        <w:t xml:space="preserve"> </w:t>
      </w:r>
      <w:r w:rsidRPr="005C7AC4">
        <w:rPr>
          <w:rFonts w:ascii="Times New Roman" w:eastAsia="Times New Roman" w:hAnsi="Times New Roman" w:cs="Times New Roman"/>
          <w:i/>
          <w:iCs/>
          <w:kern w:val="0"/>
          <w:lang w:eastAsia="en-GB"/>
          <w14:ligatures w14:val="none"/>
        </w:rPr>
        <w:t>Ici, on répond au cœur de ta question de recherche.</w:t>
      </w:r>
    </w:p>
    <w:p w14:paraId="19805A3A" w14:textId="77777777" w:rsidR="006F1EC7" w:rsidRPr="005C7AC4" w:rsidRDefault="006F1EC7" w:rsidP="006F1EC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kern w:val="0"/>
          <w:lang w:eastAsia="en-GB"/>
          <w14:ligatures w14:val="none"/>
        </w:rPr>
        <w:t xml:space="preserve">On va se concentrer sur le </w:t>
      </w:r>
      <w:r w:rsidRPr="005C7AC4">
        <w:rPr>
          <w:rFonts w:ascii="Times New Roman" w:eastAsia="Times New Roman" w:hAnsi="Times New Roman" w:cs="Times New Roman"/>
          <w:b/>
          <w:bCs/>
          <w:kern w:val="0"/>
          <w:lang w:eastAsia="en-GB"/>
          <w14:ligatures w14:val="none"/>
        </w:rPr>
        <w:t>Base-Case</w:t>
      </w:r>
      <w:r w:rsidRPr="005C7AC4">
        <w:rPr>
          <w:rFonts w:ascii="Times New Roman" w:eastAsia="Times New Roman" w:hAnsi="Times New Roman" w:cs="Times New Roman"/>
          <w:kern w:val="0"/>
          <w:lang w:eastAsia="en-GB"/>
          <w14:ligatures w14:val="none"/>
        </w:rPr>
        <w:t xml:space="preserve"> (la semaine moyenne).</w:t>
      </w:r>
    </w:p>
    <w:p w14:paraId="6C12230F" w14:textId="77777777" w:rsidR="006F1EC7" w:rsidRPr="005C7AC4" w:rsidRDefault="006F1EC7" w:rsidP="006F1EC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kern w:val="0"/>
          <w:lang w:eastAsia="en-GB"/>
          <w14:ligatures w14:val="none"/>
        </w:rPr>
        <w:t>On comparera le profit généré par le Préventif (qui répare tout sur son passage mais subit des pannes inattendues) face au Prédictif (qui cible les risques mais laisse des turbines de côté).</w:t>
      </w:r>
    </w:p>
    <w:p w14:paraId="0ED7D4F0" w14:textId="77777777" w:rsidR="006F1EC7" w:rsidRPr="005C7AC4" w:rsidRDefault="006F1EC7" w:rsidP="006F1EC7">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b/>
          <w:bCs/>
          <w:kern w:val="0"/>
          <w:lang w:eastAsia="en-GB"/>
          <w14:ligatures w14:val="none"/>
        </w:rPr>
        <w:t>Axe 3 : La sensibilité à l'IA (Le point de bascule)</w:t>
      </w:r>
      <w:r w:rsidRPr="005C7AC4">
        <w:rPr>
          <w:rFonts w:ascii="Times New Roman" w:eastAsia="Times New Roman" w:hAnsi="Times New Roman" w:cs="Times New Roman"/>
          <w:kern w:val="0"/>
          <w:lang w:eastAsia="en-GB"/>
          <w14:ligatures w14:val="none"/>
        </w:rPr>
        <w:t xml:space="preserve"> </w:t>
      </w:r>
      <w:r w:rsidRPr="005C7AC4">
        <w:rPr>
          <w:rFonts w:ascii="Times New Roman" w:eastAsia="Times New Roman" w:hAnsi="Times New Roman" w:cs="Times New Roman"/>
          <w:i/>
          <w:iCs/>
          <w:kern w:val="0"/>
          <w:lang w:eastAsia="en-GB"/>
          <w14:ligatures w14:val="none"/>
        </w:rPr>
        <w:t>Ici, tu montres ton expertise de modélisateur.</w:t>
      </w:r>
    </w:p>
    <w:p w14:paraId="0910B09D" w14:textId="77777777" w:rsidR="006F1EC7" w:rsidRPr="005C7AC4" w:rsidRDefault="006F1EC7" w:rsidP="006F1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kern w:val="0"/>
          <w:lang w:eastAsia="en-GB"/>
          <w14:ligatures w14:val="none"/>
        </w:rPr>
        <w:t>On prendra tes résultats Prédictifs sous les 3 profils : Perfect, Standard, et Mediocre.</w:t>
      </w:r>
    </w:p>
    <w:p w14:paraId="60543E11" w14:textId="77777777" w:rsidR="006F1EC7" w:rsidRPr="005C7AC4" w:rsidRDefault="006F1EC7" w:rsidP="006F1EC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7AC4">
        <w:rPr>
          <w:rFonts w:ascii="Times New Roman" w:eastAsia="Times New Roman" w:hAnsi="Times New Roman" w:cs="Times New Roman"/>
          <w:kern w:val="0"/>
          <w:lang w:eastAsia="en-GB"/>
          <w14:ligatures w14:val="none"/>
        </w:rPr>
        <w:t>On démontrera à partir de quel taux d'erreur (False Negatives / True Positives) l'intelligence artificielle devient en réalité un gouffre financier par rapport à un bête calendrier préventif.</w:t>
      </w:r>
    </w:p>
    <w:p w14:paraId="1ADDF383" w14:textId="77777777" w:rsidR="006F1EC7" w:rsidRDefault="006F1EC7" w:rsidP="006F1EC7"/>
    <w:p w14:paraId="4FD39A31" w14:textId="77777777" w:rsidR="006F1EC7" w:rsidRDefault="006F1EC7" w:rsidP="006F1EC7">
      <w:r>
        <w:t>Axe 1:</w:t>
      </w:r>
    </w:p>
    <w:p w14:paraId="03CF2D16" w14:textId="77777777" w:rsidR="006F1EC7" w:rsidRDefault="006F1EC7" w:rsidP="006F1EC7">
      <w:r>
        <w:t>1. Le Scénario de Référence (Temps Calme / Best-Case)</w:t>
      </w:r>
    </w:p>
    <w:p w14:paraId="3E014BF5" w14:textId="77777777" w:rsidR="006F1EC7" w:rsidRDefault="006F1EC7" w:rsidP="006F1EC7">
      <w:r>
        <w:t>Lorsque la météo n'est pas un obstacle, le goulot d'étranglement est purement financier :</w:t>
      </w:r>
    </w:p>
    <w:p w14:paraId="52CBBADD" w14:textId="77777777" w:rsidR="006F1EC7" w:rsidRDefault="006F1EC7" w:rsidP="006F1EC7">
      <w:r>
        <w:t>Pour le CTV (Navire léger) : Le Prédictif est la stratégie gagnante (+ 1 360 € de profit net par rapport au préventif). L'IA permet d'optimiser les cibles à moindre coût.</w:t>
      </w:r>
    </w:p>
    <w:p w14:paraId="6CCC8759" w14:textId="77777777" w:rsidR="006F1EC7" w:rsidRDefault="006F1EC7" w:rsidP="006F1EC7">
      <w:r>
        <w:t>Pour le SOV (Navire lourd) : Le Préventif écrase le Prédictif (+ 41 178 € d'écart !). Pourquoi ? Parce que sans contrainte de vagues, la seule façon de rentabiliser les 35 000 € de frais journaliers du SOV est la démobilisation anticipée (terminer la mission en 3 ou 4 jours via un nettoyage spatial systématique du parc). L'IA prédictive, en forçant le SOV à faire des détours ou à attendre que les risques augmentent, le maintient en mer et détruit sa rentabilité.</w:t>
      </w:r>
    </w:p>
    <w:p w14:paraId="7D716414" w14:textId="77777777" w:rsidR="006F1EC7" w:rsidRDefault="006F1EC7" w:rsidP="006F1EC7">
      <w:r>
        <w:lastRenderedPageBreak/>
        <w:t>2. Le Choc de la Tempête (Sévérité Extrême / Worst-Case)</w:t>
      </w:r>
    </w:p>
    <w:p w14:paraId="02195220" w14:textId="77777777" w:rsidR="006F1EC7" w:rsidRDefault="006F1EC7" w:rsidP="006F1EC7">
      <w:r>
        <w:t>Quand l'hiver frappe, la logique s'effondre et s'inverse complètement :</w:t>
      </w:r>
    </w:p>
    <w:p w14:paraId="207036AC" w14:textId="77777777" w:rsidR="006F1EC7" w:rsidRDefault="006F1EC7" w:rsidP="006F1EC7">
      <w:r>
        <w:t>Le naufrage du CTV : Les fenêtres météo sous 1.3m sont si rares que la mission est un échec total (4 éoliennes sauvées seulement). Le coût par intervention explose à près de 24 000 €. Dans ce contexte de survie, l'IA devient obsolète. La différence entre le prédictif et le préventif relève du bruit statistique. Face à une fenêtre météo de quelques heures, la seule stratégie viable est l'opportunisme préventif ("Hit and Run" sur ce qui est le plus proche).</w:t>
      </w:r>
    </w:p>
    <w:p w14:paraId="0BEE1BF0" w14:textId="77777777" w:rsidR="006F1EC7" w:rsidRDefault="006F1EC7" w:rsidP="006F1EC7">
      <w:r>
        <w:t>La revanche de l'IA sur le SOV : Contrairement à l'été, le SOV est forcé de rester en mer les 7 jours complets car ses propres limites (3.5m) sont parfois dépassées. La démobilisation anticipée est impossible. Puisque les 297 500 € de coûts fixes vont être payés quoi qu'il arrive, la stratégie Prédictive redevient la meilleure (+ 1 930 € de gain net face au préventif). L'algorithme permet au SOV de minimiser le Cost of Downtime pendant qu'il navigue péniblement dans la tempête.</w:t>
      </w:r>
    </w:p>
    <w:p w14:paraId="2FCC63E5" w14:textId="50F9D1A9" w:rsidR="008E5087" w:rsidRPr="0074713B" w:rsidRDefault="0074713B" w:rsidP="0074713B">
      <w:pPr>
        <w:rPr>
          <w:sz w:val="48"/>
          <w:szCs w:val="48"/>
        </w:rPr>
      </w:pPr>
      <w:r w:rsidRPr="0074713B">
        <w:rPr>
          <w:sz w:val="48"/>
          <w:szCs w:val="48"/>
        </w:rPr>
        <w:t>PLAN</w:t>
      </w:r>
    </w:p>
    <w:p w14:paraId="69E19C9D" w14:textId="77777777" w:rsidR="00B51DF7" w:rsidRPr="00B51DF7" w:rsidRDefault="00B51DF7" w:rsidP="00B51DF7">
      <w:pPr>
        <w:spacing w:after="100" w:afterAutospacing="1" w:line="240" w:lineRule="auto"/>
        <w:outlineLvl w:val="3"/>
        <w:rPr>
          <w:rFonts w:ascii="Arial" w:eastAsia="Times New Roman" w:hAnsi="Arial" w:cs="Arial"/>
          <w:b/>
          <w:bCs/>
          <w:kern w:val="0"/>
          <w:lang w:eastAsia="en-GB"/>
          <w14:ligatures w14:val="none"/>
        </w:rPr>
      </w:pPr>
      <w:r w:rsidRPr="00B51DF7">
        <w:rPr>
          <w:rFonts w:ascii="Arial" w:eastAsia="Times New Roman" w:hAnsi="Arial" w:cs="Arial"/>
          <w:b/>
          <w:bCs/>
          <w:kern w:val="0"/>
          <w:lang w:eastAsia="en-GB"/>
          <w14:ligatures w14:val="none"/>
        </w:rPr>
        <w:t>4.1. The Logistical Bottleneck: SOV vs. CTV under Metocean Constraints</w:t>
      </w:r>
    </w:p>
    <w:p w14:paraId="0F422B60" w14:textId="77777777" w:rsidR="00B51DF7" w:rsidRPr="00B51DF7" w:rsidRDefault="00B51DF7" w:rsidP="00B51DF7">
      <w:p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i/>
          <w:iCs/>
          <w:kern w:val="0"/>
          <w:lang w:eastAsia="en-GB"/>
          <w14:ligatures w14:val="none"/>
        </w:rPr>
        <w:t>Objectif : Répondre à ta Sub-Question et prouver que les parcs de petite taille sont "condamnés" à subir la météo via le CTV.</w:t>
      </w:r>
    </w:p>
    <w:p w14:paraId="7886AA68" w14:textId="77777777" w:rsidR="00B51DF7" w:rsidRPr="00B51DF7" w:rsidRDefault="00B51DF7" w:rsidP="00B51DF7">
      <w:pPr>
        <w:numPr>
          <w:ilvl w:val="0"/>
          <w:numId w:val="4"/>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4.1.1. Operational Resiliency vs. Financial Viability</w:t>
      </w:r>
    </w:p>
    <w:p w14:paraId="6144623F" w14:textId="77777777" w:rsidR="00B51DF7" w:rsidRPr="00B51DF7" w:rsidRDefault="00B51DF7" w:rsidP="00B51DF7">
      <w:pPr>
        <w:numPr>
          <w:ilvl w:val="1"/>
          <w:numId w:val="4"/>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Utilise tes données du </w:t>
      </w:r>
      <w:r w:rsidRPr="00B51DF7">
        <w:rPr>
          <w:rFonts w:ascii="Arial" w:eastAsia="Times New Roman" w:hAnsi="Arial" w:cs="Arial"/>
          <w:i/>
          <w:iCs/>
          <w:kern w:val="0"/>
          <w:lang w:eastAsia="en-GB"/>
          <w14:ligatures w14:val="none"/>
        </w:rPr>
        <w:t>Worst-Case</w:t>
      </w:r>
      <w:r w:rsidRPr="00B51DF7">
        <w:rPr>
          <w:rFonts w:ascii="Arial" w:eastAsia="Times New Roman" w:hAnsi="Arial" w:cs="Arial"/>
          <w:kern w:val="0"/>
          <w:lang w:eastAsia="en-GB"/>
          <w14:ligatures w14:val="none"/>
        </w:rPr>
        <w:t xml:space="preserve"> pour montrer que techniquement, le SOV remplit son rôle d'atténuation des délais. </w:t>
      </w:r>
    </w:p>
    <w:p w14:paraId="1779FE81" w14:textId="77777777" w:rsidR="00B51DF7" w:rsidRPr="00B51DF7" w:rsidRDefault="00B51DF7" w:rsidP="00B51DF7">
      <w:pPr>
        <w:numPr>
          <w:ilvl w:val="1"/>
          <w:numId w:val="4"/>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Démontre le gouffre financier : bien que le SOV soit efficace techniquement, les pertes générées dépassent régulièrement les 250 000 €. </w:t>
      </w:r>
    </w:p>
    <w:p w14:paraId="3E2558C1" w14:textId="77777777" w:rsidR="00B51DF7" w:rsidRPr="00B51DF7" w:rsidRDefault="00B51DF7" w:rsidP="00B51DF7">
      <w:pPr>
        <w:numPr>
          <w:ilvl w:val="0"/>
          <w:numId w:val="4"/>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4.1.2. The 'Cost per Serviced Turbine' Paradox</w:t>
      </w:r>
    </w:p>
    <w:p w14:paraId="39CABF4D" w14:textId="77777777" w:rsidR="00B51DF7" w:rsidRPr="00B51DF7" w:rsidRDefault="00B51DF7" w:rsidP="00B51DF7">
      <w:pPr>
        <w:numPr>
          <w:ilvl w:val="1"/>
          <w:numId w:val="4"/>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Intègre ton KPI innovant : Le SOV est intrinsèquement plus efficace par turbine (environ 17 400 € / WT) face à la tempête par rapport au CTV (24 090 € / WT). </w:t>
      </w:r>
    </w:p>
    <w:p w14:paraId="3219C8FC" w14:textId="77777777" w:rsidR="00B51DF7" w:rsidRPr="00B51DF7" w:rsidRDefault="00B51DF7" w:rsidP="00B51DF7">
      <w:pPr>
        <w:numPr>
          <w:ilvl w:val="1"/>
          <w:numId w:val="4"/>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Conclusion de la section :</w:t>
      </w:r>
      <w:r w:rsidRPr="00B51DF7">
        <w:rPr>
          <w:rFonts w:ascii="Arial" w:eastAsia="Times New Roman" w:hAnsi="Arial" w:cs="Arial"/>
          <w:kern w:val="0"/>
          <w:lang w:eastAsia="en-GB"/>
          <w14:ligatures w14:val="none"/>
        </w:rPr>
        <w:t xml:space="preserve"> L'utilisation d'un navire lourd relève d'une logique d'économie d'échelle. Pour un parc de 20 turbines, l'opérateur est forcé de préserver sa trésorerie en utilisant un CTV météo-dépendant. Cela valide la nécessité d'étudier l'optimisation par l'IA sous contrainte. </w:t>
      </w:r>
    </w:p>
    <w:p w14:paraId="2240477C" w14:textId="77777777" w:rsidR="00B51DF7" w:rsidRPr="00B51DF7" w:rsidRDefault="00B51DF7" w:rsidP="00B51DF7">
      <w:pPr>
        <w:spacing w:after="100" w:afterAutospacing="1" w:line="240" w:lineRule="auto"/>
        <w:outlineLvl w:val="3"/>
        <w:rPr>
          <w:rFonts w:ascii="Arial" w:eastAsia="Times New Roman" w:hAnsi="Arial" w:cs="Arial"/>
          <w:b/>
          <w:bCs/>
          <w:kern w:val="0"/>
          <w:lang w:eastAsia="en-GB"/>
          <w14:ligatures w14:val="none"/>
        </w:rPr>
      </w:pPr>
      <w:r w:rsidRPr="00B51DF7">
        <w:rPr>
          <w:rFonts w:ascii="Arial" w:eastAsia="Times New Roman" w:hAnsi="Arial" w:cs="Arial"/>
          <w:b/>
          <w:bCs/>
          <w:kern w:val="0"/>
          <w:lang w:eastAsia="en-GB"/>
          <w14:ligatures w14:val="none"/>
        </w:rPr>
        <w:t>4.2. Evaluating Predictive Maintenance Across the Weather Gradient</w:t>
      </w:r>
    </w:p>
    <w:p w14:paraId="17033505" w14:textId="77777777" w:rsidR="00B51DF7" w:rsidRPr="00B51DF7" w:rsidRDefault="00B51DF7" w:rsidP="00B51DF7">
      <w:p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i/>
          <w:iCs/>
          <w:kern w:val="0"/>
          <w:lang w:eastAsia="en-GB"/>
          <w14:ligatures w14:val="none"/>
        </w:rPr>
        <w:t>Objectif : Ton "Axe 1" et "Axe 2" fusionnés. Répondre à ta Main RQ en évaluant l'IA sur le CTV sous différentes sévérités météo.</w:t>
      </w:r>
    </w:p>
    <w:p w14:paraId="7115B38A" w14:textId="77777777" w:rsidR="00B51DF7" w:rsidRPr="00B51DF7" w:rsidRDefault="00B51DF7" w:rsidP="00B51DF7">
      <w:pPr>
        <w:numPr>
          <w:ilvl w:val="0"/>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4.2.1. Unconstrained Operations (The Best-Case Scenario)</w:t>
      </w:r>
    </w:p>
    <w:p w14:paraId="6895B436" w14:textId="77777777" w:rsidR="00B51DF7" w:rsidRPr="00B51DF7" w:rsidRDefault="00B51DF7" w:rsidP="00B51DF7">
      <w:pPr>
        <w:numPr>
          <w:ilvl w:val="1"/>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lastRenderedPageBreak/>
        <w:t xml:space="preserve">Analyse l'été. Le CTV n'est pas bloqué. Le Prédictif est la stratégie gagnante. </w:t>
      </w:r>
    </w:p>
    <w:p w14:paraId="522F57DA" w14:textId="77777777" w:rsidR="00B51DF7" w:rsidRPr="00B51DF7" w:rsidRDefault="00B51DF7" w:rsidP="00B51DF7">
      <w:pPr>
        <w:numPr>
          <w:ilvl w:val="1"/>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Mentionne l'effet inverse sur le SOV : sans contrainte de vagues, l'IA détruit la rentabilité du SOV en l'empêchant de démobiliser de manière anticipée. </w:t>
      </w:r>
    </w:p>
    <w:p w14:paraId="7D4A3709" w14:textId="77777777" w:rsidR="00B51DF7" w:rsidRPr="00B51DF7" w:rsidRDefault="00B51DF7" w:rsidP="00B51DF7">
      <w:pPr>
        <w:numPr>
          <w:ilvl w:val="0"/>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4.2.2. Extreme Constraints and the 'Do Nothing is Cheaper' Bias (The Worst-Case Scenario)</w:t>
      </w:r>
    </w:p>
    <w:p w14:paraId="232E433E" w14:textId="77777777" w:rsidR="00B51DF7" w:rsidRPr="00B51DF7" w:rsidRDefault="00B51DF7" w:rsidP="00B51DF7">
      <w:pPr>
        <w:numPr>
          <w:ilvl w:val="1"/>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L'hiver frappe. Explique le biais contre-intuitif du profit net sur 7 jours (le CTV semble moins perdre en hiver, -8 574 €, qu'en été, -11 076 €). </w:t>
      </w:r>
    </w:p>
    <w:p w14:paraId="40D65573" w14:textId="77777777" w:rsidR="00B51DF7" w:rsidRPr="00B51DF7" w:rsidRDefault="00B51DF7" w:rsidP="00B51DF7">
      <w:pPr>
        <w:numPr>
          <w:ilvl w:val="1"/>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Démontre qu'en réalité, la mission est un échec avec un </w:t>
      </w:r>
      <w:r w:rsidRPr="00B51DF7">
        <w:rPr>
          <w:rFonts w:ascii="Arial" w:eastAsia="Times New Roman" w:hAnsi="Arial" w:cs="Arial"/>
          <w:i/>
          <w:iCs/>
          <w:kern w:val="0"/>
          <w:lang w:eastAsia="en-GB"/>
          <w14:ligatures w14:val="none"/>
        </w:rPr>
        <w:t>backlog</w:t>
      </w:r>
      <w:r w:rsidRPr="00B51DF7">
        <w:rPr>
          <w:rFonts w:ascii="Arial" w:eastAsia="Times New Roman" w:hAnsi="Arial" w:cs="Arial"/>
          <w:kern w:val="0"/>
          <w:lang w:eastAsia="en-GB"/>
          <w14:ligatures w14:val="none"/>
        </w:rPr>
        <w:t xml:space="preserve"> critique (seules 4 turbines sur 20 sont réparées). </w:t>
      </w:r>
    </w:p>
    <w:p w14:paraId="7998F1E5" w14:textId="77777777" w:rsidR="00B51DF7" w:rsidRPr="00B51DF7" w:rsidRDefault="00B51DF7" w:rsidP="00B51DF7">
      <w:pPr>
        <w:numPr>
          <w:ilvl w:val="1"/>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Conclus que sous contraintes extrêmes, la raréfaction des fenêtres d'accès neutralise totalement l'avantage du ciblage prédictif pour les CTV au profit d'un préventif opportuniste ("Hit and Run"). </w:t>
      </w:r>
    </w:p>
    <w:p w14:paraId="7B84C537" w14:textId="77777777" w:rsidR="00B51DF7" w:rsidRPr="00B51DF7" w:rsidRDefault="00B51DF7" w:rsidP="00B51DF7">
      <w:pPr>
        <w:numPr>
          <w:ilvl w:val="0"/>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4.2.3. The 'Conflict Zone' (The Base-Case Scenario)</w:t>
      </w:r>
    </w:p>
    <w:p w14:paraId="2F8EC5E5" w14:textId="77777777" w:rsidR="00B51DF7" w:rsidRPr="00B51DF7" w:rsidRDefault="00B51DF7" w:rsidP="00B51DF7">
      <w:pPr>
        <w:numPr>
          <w:ilvl w:val="1"/>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Justifie le choix de la semaine du 20 au 27 mars : une zone de transition printanière offrant des fenêtres intermittentes autour de la limite de 1.3m du CTV. </w:t>
      </w:r>
    </w:p>
    <w:p w14:paraId="134A9FDC" w14:textId="77777777" w:rsidR="00B51DF7" w:rsidRPr="00B51DF7" w:rsidRDefault="00B51DF7" w:rsidP="00B51DF7">
      <w:pPr>
        <w:numPr>
          <w:ilvl w:val="1"/>
          <w:numId w:val="5"/>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Démontre que c'est ici que l'IA tire son épingle du jeu pour le CTV en sauvant 1 369 € , prouvant que l'O&amp;M prédictif doit être strictement couplé aux limites météorologiques du navire pour être rentable. N'oublie pas d'inclure le coût d'implémentation de l'IA de 500 € dans le bilan. </w:t>
      </w:r>
    </w:p>
    <w:p w14:paraId="30E38135" w14:textId="77777777" w:rsidR="00B51DF7" w:rsidRPr="00B51DF7" w:rsidRDefault="00B51DF7" w:rsidP="00B51DF7">
      <w:pPr>
        <w:spacing w:after="100" w:afterAutospacing="1" w:line="240" w:lineRule="auto"/>
        <w:outlineLvl w:val="3"/>
        <w:rPr>
          <w:rFonts w:ascii="Arial" w:eastAsia="Times New Roman" w:hAnsi="Arial" w:cs="Arial"/>
          <w:b/>
          <w:bCs/>
          <w:kern w:val="0"/>
          <w:lang w:eastAsia="en-GB"/>
          <w14:ligatures w14:val="none"/>
        </w:rPr>
      </w:pPr>
      <w:r w:rsidRPr="00B51DF7">
        <w:rPr>
          <w:rFonts w:ascii="Arial" w:eastAsia="Times New Roman" w:hAnsi="Arial" w:cs="Arial"/>
          <w:b/>
          <w:bCs/>
          <w:kern w:val="0"/>
          <w:lang w:eastAsia="en-GB"/>
          <w14:ligatures w14:val="none"/>
        </w:rPr>
        <w:t>4.3. Algorithmic Sensitivity: The Financial Cost of Uncertainty</w:t>
      </w:r>
    </w:p>
    <w:p w14:paraId="22E09045" w14:textId="77777777" w:rsidR="00B51DF7" w:rsidRPr="00B51DF7" w:rsidRDefault="00B51DF7" w:rsidP="00B51DF7">
      <w:p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i/>
          <w:iCs/>
          <w:kern w:val="0"/>
          <w:lang w:eastAsia="en-GB"/>
          <w14:ligatures w14:val="none"/>
        </w:rPr>
        <w:t>Objectif : Ton "Axe 3". Démontrer l'expertise du modélisateur.</w:t>
      </w:r>
    </w:p>
    <w:p w14:paraId="1C0B5B85" w14:textId="77777777" w:rsidR="00B51DF7" w:rsidRPr="00B51DF7" w:rsidRDefault="00B51DF7" w:rsidP="00B51DF7">
      <w:pPr>
        <w:numPr>
          <w:ilvl w:val="0"/>
          <w:numId w:val="6"/>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4.3.1. The Elasticity of Predictive ROI</w:t>
      </w:r>
    </w:p>
    <w:p w14:paraId="7AC2B67C" w14:textId="77777777" w:rsidR="00B51DF7" w:rsidRPr="00B51DF7" w:rsidRDefault="00B51DF7" w:rsidP="00B51DF7">
      <w:pPr>
        <w:numPr>
          <w:ilvl w:val="1"/>
          <w:numId w:val="6"/>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Compare l'IA </w:t>
      </w:r>
      <w:r w:rsidRPr="00B51DF7">
        <w:rPr>
          <w:rFonts w:ascii="Arial" w:eastAsia="Times New Roman" w:hAnsi="Arial" w:cs="Arial"/>
          <w:i/>
          <w:iCs/>
          <w:kern w:val="0"/>
          <w:lang w:eastAsia="en-GB"/>
          <w14:ligatures w14:val="none"/>
        </w:rPr>
        <w:t>Perfect</w:t>
      </w:r>
      <w:r w:rsidRPr="00B51DF7">
        <w:rPr>
          <w:rFonts w:ascii="Arial" w:eastAsia="Times New Roman" w:hAnsi="Arial" w:cs="Arial"/>
          <w:kern w:val="0"/>
          <w:lang w:eastAsia="en-GB"/>
          <w14:ligatures w14:val="none"/>
        </w:rPr>
        <w:t xml:space="preserve"> à l'IA </w:t>
      </w:r>
      <w:r w:rsidRPr="00B51DF7">
        <w:rPr>
          <w:rFonts w:ascii="Arial" w:eastAsia="Times New Roman" w:hAnsi="Arial" w:cs="Arial"/>
          <w:i/>
          <w:iCs/>
          <w:kern w:val="0"/>
          <w:lang w:eastAsia="en-GB"/>
          <w14:ligatures w14:val="none"/>
        </w:rPr>
        <w:t>Standard</w:t>
      </w:r>
      <w:r w:rsidRPr="00B51DF7">
        <w:rPr>
          <w:rFonts w:ascii="Arial" w:eastAsia="Times New Roman" w:hAnsi="Arial" w:cs="Arial"/>
          <w:kern w:val="0"/>
          <w:lang w:eastAsia="en-GB"/>
          <w14:ligatures w14:val="none"/>
        </w:rPr>
        <w:t xml:space="preserve"> pendant la Base Week. La dégradation de la précision ampute une grande partie des gains financiers potentiels, illustrant le coût des faux positifs/négatifs.</w:t>
      </w:r>
    </w:p>
    <w:p w14:paraId="1ADFA397" w14:textId="77777777" w:rsidR="00B51DF7" w:rsidRPr="00B51DF7" w:rsidRDefault="00B51DF7" w:rsidP="00B51DF7">
      <w:pPr>
        <w:numPr>
          <w:ilvl w:val="0"/>
          <w:numId w:val="6"/>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4.3.2. The Tipping Point of Algorithmic Failure</w:t>
      </w:r>
    </w:p>
    <w:p w14:paraId="1093AAF4" w14:textId="77777777" w:rsidR="00B51DF7" w:rsidRPr="00B51DF7" w:rsidRDefault="00B51DF7" w:rsidP="00B51DF7">
      <w:pPr>
        <w:numPr>
          <w:ilvl w:val="1"/>
          <w:numId w:val="6"/>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kern w:val="0"/>
          <w:lang w:eastAsia="en-GB"/>
          <w14:ligatures w14:val="none"/>
        </w:rPr>
        <w:t xml:space="preserve">Introduis l'IA </w:t>
      </w:r>
      <w:r w:rsidRPr="00B51DF7">
        <w:rPr>
          <w:rFonts w:ascii="Arial" w:eastAsia="Times New Roman" w:hAnsi="Arial" w:cs="Arial"/>
          <w:i/>
          <w:iCs/>
          <w:kern w:val="0"/>
          <w:lang w:eastAsia="en-GB"/>
          <w14:ligatures w14:val="none"/>
        </w:rPr>
        <w:t>Mediocre</w:t>
      </w:r>
      <w:r w:rsidRPr="00B51DF7">
        <w:rPr>
          <w:rFonts w:ascii="Arial" w:eastAsia="Times New Roman" w:hAnsi="Arial" w:cs="Arial"/>
          <w:kern w:val="0"/>
          <w:lang w:eastAsia="en-GB"/>
          <w14:ligatures w14:val="none"/>
        </w:rPr>
        <w:t xml:space="preserve">. Démontre qu'une dégradation de la fiabilité prédictive transforme l'algorithme en handicap majeur. </w:t>
      </w:r>
    </w:p>
    <w:p w14:paraId="0C1216FB" w14:textId="77777777" w:rsidR="00B51DF7" w:rsidRPr="00B51DF7" w:rsidRDefault="00B51DF7" w:rsidP="00B51DF7">
      <w:pPr>
        <w:numPr>
          <w:ilvl w:val="1"/>
          <w:numId w:val="6"/>
        </w:numPr>
        <w:spacing w:after="100" w:afterAutospacing="1" w:line="240" w:lineRule="auto"/>
        <w:rPr>
          <w:rFonts w:ascii="Arial" w:eastAsia="Times New Roman" w:hAnsi="Arial" w:cs="Arial"/>
          <w:kern w:val="0"/>
          <w:lang w:eastAsia="en-GB"/>
          <w14:ligatures w14:val="none"/>
        </w:rPr>
      </w:pPr>
      <w:r w:rsidRPr="00B51DF7">
        <w:rPr>
          <w:rFonts w:ascii="Arial" w:eastAsia="Times New Roman" w:hAnsi="Arial" w:cs="Arial"/>
          <w:b/>
          <w:bCs/>
          <w:kern w:val="0"/>
          <w:lang w:eastAsia="en-GB"/>
          <w14:ligatures w14:val="none"/>
        </w:rPr>
        <w:t>Conclusion finale :</w:t>
      </w:r>
      <w:r w:rsidRPr="00B51DF7">
        <w:rPr>
          <w:rFonts w:ascii="Arial" w:eastAsia="Times New Roman" w:hAnsi="Arial" w:cs="Arial"/>
          <w:kern w:val="0"/>
          <w:lang w:eastAsia="en-GB"/>
          <w14:ligatures w14:val="none"/>
        </w:rPr>
        <w:t xml:space="preserve"> L'adoption d'un routage prédictif dynamique sous contrainte météorologique ne se justifie que si l'opérateur peut garantir un seuil de précision strict ; en deçà, un préventif classique reste supérieur. </w:t>
      </w:r>
    </w:p>
    <w:p w14:paraId="67DC5EE1" w14:textId="77777777" w:rsidR="00B51DF7" w:rsidRDefault="00B51DF7"/>
    <w:p w14:paraId="04041399" w14:textId="66152A80" w:rsidR="00B51DF7" w:rsidRPr="0074713B" w:rsidRDefault="00B51DF7">
      <w:pPr>
        <w:rPr>
          <w:sz w:val="44"/>
          <w:szCs w:val="44"/>
        </w:rPr>
      </w:pPr>
      <w:r w:rsidRPr="0074713B">
        <w:rPr>
          <w:sz w:val="44"/>
          <w:szCs w:val="44"/>
        </w:rPr>
        <w:t>INTRO Results</w:t>
      </w:r>
    </w:p>
    <w:p w14:paraId="098FE8E5" w14:textId="77777777" w:rsidR="00B51DF7" w:rsidRDefault="00B51DF7" w:rsidP="00B51DF7">
      <w:pPr>
        <w:pStyle w:val="NormalWeb"/>
        <w:spacing w:before="0" w:beforeAutospacing="0"/>
        <w:rPr>
          <w:rFonts w:ascii="Arial" w:hAnsi="Arial" w:cs="Arial"/>
        </w:rPr>
      </w:pPr>
      <w:r>
        <w:rPr>
          <w:rFonts w:ascii="Arial" w:hAnsi="Arial" w:cs="Arial"/>
        </w:rPr>
        <w:t xml:space="preserve">Evaluating the short-term cost-effectiveness of predictive maintenance in high-wave environments requires a multidimensional analysis. As established in the methodology, severe metocean constraints do not merely delay offshore operations; they fundamentally alter the financial viability of the logistical assets deployed to execute them. </w:t>
      </w:r>
      <w:r>
        <w:rPr>
          <w:rStyle w:val="citation-112"/>
          <w:rFonts w:ascii="Arial" w:eastAsiaTheme="majorEastAsia" w:hAnsi="Arial" w:cs="Arial"/>
        </w:rPr>
        <w:t xml:space="preserve">Consequently, answering the primary research question—how these </w:t>
      </w:r>
      <w:r>
        <w:rPr>
          <w:rStyle w:val="citation-112"/>
          <w:rFonts w:ascii="Arial" w:eastAsiaTheme="majorEastAsia" w:hAnsi="Arial" w:cs="Arial"/>
        </w:rPr>
        <w:lastRenderedPageBreak/>
        <w:t>constraints impact the profitability of Artificial Intelligence (AI) driven routing compared to traditional preventive strategies—necessitates first resolving the logistical bottleneck created by the vessel selection</w:t>
      </w:r>
      <w:r>
        <w:rPr>
          <w:rFonts w:ascii="Arial" w:hAnsi="Arial" w:cs="Arial"/>
        </w:rPr>
        <w:t xml:space="preserve">. </w:t>
      </w:r>
    </w:p>
    <w:p w14:paraId="70E63FA1" w14:textId="77777777" w:rsidR="00B51DF7" w:rsidRDefault="00B51DF7" w:rsidP="00B51DF7">
      <w:pPr>
        <w:pStyle w:val="NormalWeb"/>
        <w:spacing w:before="0" w:beforeAutospacing="0"/>
        <w:rPr>
          <w:rFonts w:ascii="Arial" w:hAnsi="Arial" w:cs="Arial"/>
        </w:rPr>
      </w:pPr>
      <w:r>
        <w:rPr>
          <w:rFonts w:ascii="Arial" w:hAnsi="Arial" w:cs="Arial"/>
        </w:rPr>
        <w:t>The results of the Python-based simulations are therefore presented sequentially, bridging the gap between macro-logistical vessel constraints and micro-algorithmic sensitivity. This chapter is structured to guide the reader through the compounding layers of offshore operational challenges:</w:t>
      </w:r>
    </w:p>
    <w:p w14:paraId="4C23E44C" w14:textId="77777777" w:rsidR="00B51DF7" w:rsidRDefault="00B51DF7" w:rsidP="00B51DF7">
      <w:pPr>
        <w:pStyle w:val="NormalWeb"/>
        <w:numPr>
          <w:ilvl w:val="0"/>
          <w:numId w:val="7"/>
        </w:numPr>
        <w:spacing w:before="0" w:beforeAutospacing="0"/>
        <w:rPr>
          <w:rFonts w:ascii="Arial" w:hAnsi="Arial" w:cs="Arial"/>
        </w:rPr>
      </w:pPr>
      <w:r>
        <w:rPr>
          <w:rFonts w:ascii="Arial" w:hAnsi="Arial" w:cs="Arial"/>
          <w:b/>
          <w:bCs/>
        </w:rPr>
        <w:t>Section 4.2 (The Logistical Bottleneck):</w:t>
      </w:r>
      <w:r>
        <w:rPr>
          <w:rFonts w:ascii="Arial" w:hAnsi="Arial" w:cs="Arial"/>
        </w:rPr>
        <w:t xml:space="preserve"> This section directly addresses the sub-research question by comparing the operational resiliency and financial viability of Service Operation Vessels (SOVs) against Crew Transfer Vessels (CTVs) under extreme weather conditions. </w:t>
      </w:r>
      <w:r>
        <w:rPr>
          <w:rStyle w:val="citation-111"/>
          <w:rFonts w:ascii="Arial" w:eastAsiaTheme="majorEastAsia" w:hAnsi="Arial" w:cs="Arial"/>
        </w:rPr>
        <w:t>It establishes the baseline logistical constraints that operators of small-scale wind farms are forced to accept</w:t>
      </w:r>
      <w:r>
        <w:rPr>
          <w:rFonts w:ascii="Arial" w:hAnsi="Arial" w:cs="Arial"/>
        </w:rPr>
        <w:t xml:space="preserve">. </w:t>
      </w:r>
    </w:p>
    <w:p w14:paraId="17FA052A" w14:textId="77777777" w:rsidR="00B51DF7" w:rsidRDefault="00B51DF7" w:rsidP="00B51DF7">
      <w:pPr>
        <w:pStyle w:val="NormalWeb"/>
        <w:numPr>
          <w:ilvl w:val="0"/>
          <w:numId w:val="7"/>
        </w:numPr>
        <w:spacing w:before="0" w:beforeAutospacing="0"/>
        <w:rPr>
          <w:rFonts w:ascii="Arial" w:hAnsi="Arial" w:cs="Arial"/>
        </w:rPr>
      </w:pPr>
      <w:r>
        <w:rPr>
          <w:rFonts w:ascii="Arial" w:hAnsi="Arial" w:cs="Arial"/>
          <w:b/>
          <w:bCs/>
        </w:rPr>
        <w:t>Section 4.3 (Evaluating Predictive O&amp;M Across the Weather Gradient):</w:t>
      </w:r>
      <w:r>
        <w:rPr>
          <w:rFonts w:ascii="Arial" w:hAnsi="Arial" w:cs="Arial"/>
        </w:rPr>
        <w:t xml:space="preserve"> Building upon the established logistical constraints, this section answers the core research question. </w:t>
      </w:r>
      <w:r>
        <w:rPr>
          <w:rStyle w:val="citation-110"/>
          <w:rFonts w:ascii="Arial" w:eastAsiaTheme="majorEastAsia" w:hAnsi="Arial" w:cs="Arial"/>
        </w:rPr>
        <w:t>It confronts the predictive and preventive maintenance strategies across a full meteorological spectrum (Best-Case, Base-Case, and Worst-Case scenarios), revealing the specific "conflict zone" where AI-driven routing yields a tangible financial advantage</w:t>
      </w:r>
      <w:r>
        <w:rPr>
          <w:rFonts w:ascii="Arial" w:hAnsi="Arial" w:cs="Arial"/>
        </w:rPr>
        <w:t xml:space="preserve">. </w:t>
      </w:r>
    </w:p>
    <w:p w14:paraId="6DA4CFA8" w14:textId="77777777" w:rsidR="00B51DF7" w:rsidRDefault="00B51DF7" w:rsidP="00B51DF7">
      <w:pPr>
        <w:pStyle w:val="NormalWeb"/>
        <w:numPr>
          <w:ilvl w:val="0"/>
          <w:numId w:val="7"/>
        </w:numPr>
        <w:spacing w:before="0" w:beforeAutospacing="0"/>
        <w:rPr>
          <w:rFonts w:ascii="Arial" w:hAnsi="Arial" w:cs="Arial"/>
        </w:rPr>
      </w:pPr>
      <w:r>
        <w:rPr>
          <w:rFonts w:ascii="Arial" w:hAnsi="Arial" w:cs="Arial"/>
          <w:b/>
          <w:bCs/>
        </w:rPr>
        <w:t>Section 4.4 (Algorithmic Sensitivity Analysis):</w:t>
      </w:r>
      <w:r>
        <w:rPr>
          <w:rFonts w:ascii="Arial" w:hAnsi="Arial" w:cs="Arial"/>
        </w:rPr>
        <w:t xml:space="preserve"> Finally, the discussion narrows to the intrinsic reliability of the predictive model itself. </w:t>
      </w:r>
      <w:r>
        <w:rPr>
          <w:rStyle w:val="citation-109"/>
          <w:rFonts w:ascii="Arial" w:eastAsiaTheme="majorEastAsia" w:hAnsi="Arial" w:cs="Arial"/>
        </w:rPr>
        <w:t>By comparing Perfect, Standard, and Mediocre AI profiles during critical weather windows, this section quantifies the financial cost of algorithmic uncertainty and defines the minimum accuracy threshold required to outperform conventional maintenance schedules</w:t>
      </w:r>
      <w:r>
        <w:rPr>
          <w:rFonts w:ascii="Arial" w:hAnsi="Arial" w:cs="Arial"/>
        </w:rPr>
        <w:t xml:space="preserve">. </w:t>
      </w:r>
    </w:p>
    <w:p w14:paraId="66BF5119" w14:textId="77777777" w:rsidR="00B51DF7" w:rsidRDefault="00B51DF7" w:rsidP="00B51DF7">
      <w:pPr>
        <w:pStyle w:val="NormalWeb"/>
        <w:spacing w:before="0" w:beforeAutospacing="0"/>
        <w:rPr>
          <w:rFonts w:ascii="Arial" w:hAnsi="Arial" w:cs="Arial"/>
        </w:rPr>
      </w:pPr>
      <w:r>
        <w:rPr>
          <w:rFonts w:ascii="Arial" w:hAnsi="Arial" w:cs="Arial"/>
        </w:rPr>
        <w:t>Through this tiered analysis, the following findings will demonstrate that the profitability of predictive maintenance is not absolute, but rather strictly subordinated to the physical capabilities of the marine fleet and the severity of the metocean environment.</w:t>
      </w:r>
    </w:p>
    <w:p w14:paraId="54B7AFD4" w14:textId="5243838D" w:rsidR="00B51DF7" w:rsidRDefault="00DA5580">
      <w:r>
        <w:t>Partie 1</w:t>
      </w:r>
    </w:p>
    <w:p w14:paraId="0C23E76E" w14:textId="77777777" w:rsidR="00DA5580" w:rsidRPr="00DA5580" w:rsidRDefault="00DA5580" w:rsidP="00DA5580">
      <w:pPr>
        <w:spacing w:after="100" w:afterAutospacing="1" w:line="240" w:lineRule="auto"/>
        <w:outlineLvl w:val="2"/>
        <w:rPr>
          <w:rFonts w:ascii="Arial" w:eastAsia="Times New Roman" w:hAnsi="Arial" w:cs="Arial"/>
          <w:b/>
          <w:bCs/>
          <w:kern w:val="0"/>
          <w:sz w:val="27"/>
          <w:szCs w:val="27"/>
          <w:lang w:eastAsia="en-GB"/>
          <w14:ligatures w14:val="none"/>
        </w:rPr>
      </w:pPr>
      <w:r w:rsidRPr="00DA5580">
        <w:rPr>
          <w:rFonts w:ascii="Arial" w:eastAsia="Times New Roman" w:hAnsi="Arial" w:cs="Arial"/>
          <w:b/>
          <w:bCs/>
          <w:kern w:val="0"/>
          <w:sz w:val="27"/>
          <w:szCs w:val="27"/>
          <w:lang w:eastAsia="en-GB"/>
          <w14:ligatures w14:val="none"/>
        </w:rPr>
        <w:t>4.2. The Logistical Bottleneck: SOV vs. CTV under Metocean Constraints</w:t>
      </w:r>
    </w:p>
    <w:p w14:paraId="58720CCC"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kern w:val="0"/>
          <w:lang w:eastAsia="en-GB"/>
          <w14:ligatures w14:val="none"/>
        </w:rPr>
        <w:t>This section addresses the sub-research question by evaluating how the deployment of Service Operation Vessels (SOVs) mitigates weather-induced delays compared to traditional Crew Transfer Vessels (CTVs), establishing the baseline constraints under which predictive algorithms must operate.</w:t>
      </w:r>
    </w:p>
    <w:p w14:paraId="2A61E3E6"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b/>
          <w:bCs/>
          <w:kern w:val="0"/>
          <w:lang w:eastAsia="en-GB"/>
          <w14:ligatures w14:val="none"/>
        </w:rPr>
        <w:t>4.2.1. Operational Resiliency vs. Financial Viability</w:t>
      </w:r>
    </w:p>
    <w:p w14:paraId="0870B6B7"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kern w:val="0"/>
          <w:lang w:eastAsia="en-GB"/>
          <w14:ligatures w14:val="none"/>
        </w:rPr>
        <w:t xml:space="preserve">In high-wave environments, the SOV technically fulfills its primary logistical purpose: bypassing severe metocean constraints. During the Worst-Case scenario (characterized by severe winter storms), the SOV successfully serviced all 20 wind turbines within the maintenance window. Consequently, the Cost of Downtime (CoD) </w:t>
      </w:r>
      <w:r w:rsidRPr="00DA5580">
        <w:rPr>
          <w:rFonts w:ascii="Arial" w:eastAsia="Times New Roman" w:hAnsi="Arial" w:cs="Arial"/>
          <w:kern w:val="0"/>
          <w:lang w:eastAsia="en-GB"/>
          <w14:ligatures w14:val="none"/>
        </w:rPr>
        <w:lastRenderedPageBreak/>
        <w:t xml:space="preserve">remained relatively contained, demonstrating the vessel's operational resiliency and its ability to mitigate weather-induced delays. </w:t>
      </w:r>
    </w:p>
    <w:p w14:paraId="671E3AE2"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kern w:val="0"/>
          <w:lang w:eastAsia="en-GB"/>
          <w14:ligatures w14:val="none"/>
        </w:rPr>
        <w:t xml:space="preserve">However, for a small-scale wind farm, this technical mitigation introduces a severe financial burden. The fixed operational costs (Total CST) of deploying an SOV reach €297,500 for the week. Due to the limited revenue generated by a 20-turbine layout, the net profit plunges to catastrophic levels, regularly exceeding losses of €250,000 (e.g., -€261,414 under the preventive strategy). </w:t>
      </w:r>
    </w:p>
    <w:p w14:paraId="0DC5D6FB"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kern w:val="0"/>
          <w:lang w:eastAsia="en-GB"/>
          <w14:ligatures w14:val="none"/>
        </w:rPr>
        <w:t xml:space="preserve">Conversely, the CTV severely failed its logistical mission during the same winter storm, managing to repair only 4 out of 20 turbines due to a lack of workable weather windows. Yet, because of its drastically lower charter and fuel costs, the CTV limited the operator's overall net profit loss to merely -€8,574. </w:t>
      </w:r>
    </w:p>
    <w:p w14:paraId="79D51DB7"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b/>
          <w:bCs/>
          <w:kern w:val="0"/>
          <w:lang w:eastAsia="en-GB"/>
          <w14:ligatures w14:val="none"/>
        </w:rPr>
        <w:t>4.2.2. The 'Cost per Serviced Turbine' Paradox</w:t>
      </w:r>
    </w:p>
    <w:p w14:paraId="7FE20111"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kern w:val="0"/>
          <w:lang w:eastAsia="en-GB"/>
          <w14:ligatures w14:val="none"/>
        </w:rPr>
        <w:t xml:space="preserve">This stark contrast in net profit masks a fundamental paradox in offshore Asset Management, which is revealed when analyzing the unitary cost per serviced wind turbine. Despite generating massive total financial losses, the SOV exhibits superior intrinsic efficiency during the Worst-Case scenario. By successfully maintaining the entire farm and dividing its fixed costs across all assets, the SOV operates at approximately €17,460 per serviced WT under the preventive strategy. In contrast, the CTV's inability to operate effectively during the storm drives its unitary cost up to €24,090 per serviced WT. </w:t>
      </w:r>
    </w:p>
    <w:p w14:paraId="1C4FF8AA"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kern w:val="0"/>
          <w:lang w:eastAsia="en-GB"/>
          <w14:ligatures w14:val="none"/>
        </w:rPr>
        <w:t xml:space="preserve">This metric highlights that mitigating weather delays with a heavy-duty vessel relies entirely on economies of scale. An SOV only becomes financially viable if the wind farm is large enough (e.g., 60 to 100+ turbines) to generate sufficient baseline revenue to absorb the vessel's massive mobilization costs. For a small 20-turbine layout, the operator is financially forced to accept the logistical inefficiency and the resulting downtime backlog of the CTV during winter in order to preserve short-term cash flow. </w:t>
      </w:r>
    </w:p>
    <w:p w14:paraId="4303659A" w14:textId="77777777" w:rsidR="00DA5580" w:rsidRPr="00DA5580" w:rsidRDefault="00DA5580" w:rsidP="00DA5580">
      <w:pPr>
        <w:spacing w:after="100" w:afterAutospacing="1" w:line="240" w:lineRule="auto"/>
        <w:rPr>
          <w:rFonts w:ascii="Arial" w:eastAsia="Times New Roman" w:hAnsi="Arial" w:cs="Arial"/>
          <w:kern w:val="0"/>
          <w:lang w:eastAsia="en-GB"/>
          <w14:ligatures w14:val="none"/>
        </w:rPr>
      </w:pPr>
      <w:r w:rsidRPr="00DA5580">
        <w:rPr>
          <w:rFonts w:ascii="Arial" w:eastAsia="Times New Roman" w:hAnsi="Arial" w:cs="Arial"/>
          <w:kern w:val="0"/>
          <w:lang w:eastAsia="en-GB"/>
          <w14:ligatures w14:val="none"/>
        </w:rPr>
        <w:t xml:space="preserve">Ultimately, this confirms that for small-scale offshore wind farms, vessel selection is dictated by the asset's financial amortization capacity rather than metocean resiliency alone. Consequently, operators of smaller farms are condemned to remain highly dependent on weather-sensitive CTVs year-round. This logistical reality validates the critical need to evaluate how predictive maintenance strategies perform when algorithms are forced to operate under these unavoidable metocean constraints. </w:t>
      </w:r>
    </w:p>
    <w:p w14:paraId="308FBCE3" w14:textId="5161FB24" w:rsidR="00DA5580" w:rsidRDefault="00BB451E">
      <w:r>
        <w:t>Partie 2</w:t>
      </w:r>
    </w:p>
    <w:p w14:paraId="2960E99A" w14:textId="77777777" w:rsidR="00BB451E" w:rsidRDefault="00BB451E"/>
    <w:sectPr w:rsidR="00BB4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E58"/>
    <w:multiLevelType w:val="multilevel"/>
    <w:tmpl w:val="4A364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B1D2C"/>
    <w:multiLevelType w:val="multilevel"/>
    <w:tmpl w:val="CE6A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66FCE"/>
    <w:multiLevelType w:val="multilevel"/>
    <w:tmpl w:val="E83C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1072D"/>
    <w:multiLevelType w:val="multilevel"/>
    <w:tmpl w:val="D9B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A2962"/>
    <w:multiLevelType w:val="multilevel"/>
    <w:tmpl w:val="9E9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A26DB"/>
    <w:multiLevelType w:val="multilevel"/>
    <w:tmpl w:val="C34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D37C0"/>
    <w:multiLevelType w:val="multilevel"/>
    <w:tmpl w:val="20F6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095426">
    <w:abstractNumId w:val="4"/>
  </w:num>
  <w:num w:numId="2" w16cid:durableId="899708691">
    <w:abstractNumId w:val="5"/>
  </w:num>
  <w:num w:numId="3" w16cid:durableId="155270039">
    <w:abstractNumId w:val="3"/>
  </w:num>
  <w:num w:numId="4" w16cid:durableId="139228048">
    <w:abstractNumId w:val="0"/>
  </w:num>
  <w:num w:numId="5" w16cid:durableId="1558786503">
    <w:abstractNumId w:val="1"/>
  </w:num>
  <w:num w:numId="6" w16cid:durableId="1835679392">
    <w:abstractNumId w:val="2"/>
  </w:num>
  <w:num w:numId="7" w16cid:durableId="7173579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C7"/>
    <w:rsid w:val="0002169A"/>
    <w:rsid w:val="006F1EC7"/>
    <w:rsid w:val="0074713B"/>
    <w:rsid w:val="008E5087"/>
    <w:rsid w:val="00B51DF7"/>
    <w:rsid w:val="00BA12C1"/>
    <w:rsid w:val="00BB451E"/>
    <w:rsid w:val="00DA558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109B787"/>
  <w15:chartTrackingRefBased/>
  <w15:docId w15:val="{C0D9A252-EB56-A942-B8E0-807B11CB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EC7"/>
  </w:style>
  <w:style w:type="paragraph" w:styleId="Heading1">
    <w:name w:val="heading 1"/>
    <w:basedOn w:val="Normal"/>
    <w:next w:val="Normal"/>
    <w:link w:val="Heading1Char"/>
    <w:uiPriority w:val="9"/>
    <w:qFormat/>
    <w:rsid w:val="006F1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1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1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EC7"/>
    <w:rPr>
      <w:rFonts w:eastAsiaTheme="majorEastAsia" w:cstheme="majorBidi"/>
      <w:color w:val="272727" w:themeColor="text1" w:themeTint="D8"/>
    </w:rPr>
  </w:style>
  <w:style w:type="paragraph" w:styleId="Title">
    <w:name w:val="Title"/>
    <w:basedOn w:val="Normal"/>
    <w:next w:val="Normal"/>
    <w:link w:val="TitleChar"/>
    <w:uiPriority w:val="10"/>
    <w:qFormat/>
    <w:rsid w:val="006F1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EC7"/>
    <w:pPr>
      <w:spacing w:before="160"/>
      <w:jc w:val="center"/>
    </w:pPr>
    <w:rPr>
      <w:i/>
      <w:iCs/>
      <w:color w:val="404040" w:themeColor="text1" w:themeTint="BF"/>
    </w:rPr>
  </w:style>
  <w:style w:type="character" w:customStyle="1" w:styleId="QuoteChar">
    <w:name w:val="Quote Char"/>
    <w:basedOn w:val="DefaultParagraphFont"/>
    <w:link w:val="Quote"/>
    <w:uiPriority w:val="29"/>
    <w:rsid w:val="006F1EC7"/>
    <w:rPr>
      <w:i/>
      <w:iCs/>
      <w:color w:val="404040" w:themeColor="text1" w:themeTint="BF"/>
    </w:rPr>
  </w:style>
  <w:style w:type="paragraph" w:styleId="ListParagraph">
    <w:name w:val="List Paragraph"/>
    <w:basedOn w:val="Normal"/>
    <w:uiPriority w:val="34"/>
    <w:qFormat/>
    <w:rsid w:val="006F1EC7"/>
    <w:pPr>
      <w:ind w:left="720"/>
      <w:contextualSpacing/>
    </w:pPr>
  </w:style>
  <w:style w:type="character" w:styleId="IntenseEmphasis">
    <w:name w:val="Intense Emphasis"/>
    <w:basedOn w:val="DefaultParagraphFont"/>
    <w:uiPriority w:val="21"/>
    <w:qFormat/>
    <w:rsid w:val="006F1EC7"/>
    <w:rPr>
      <w:i/>
      <w:iCs/>
      <w:color w:val="0F4761" w:themeColor="accent1" w:themeShade="BF"/>
    </w:rPr>
  </w:style>
  <w:style w:type="paragraph" w:styleId="IntenseQuote">
    <w:name w:val="Intense Quote"/>
    <w:basedOn w:val="Normal"/>
    <w:next w:val="Normal"/>
    <w:link w:val="IntenseQuoteChar"/>
    <w:uiPriority w:val="30"/>
    <w:qFormat/>
    <w:rsid w:val="006F1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EC7"/>
    <w:rPr>
      <w:i/>
      <w:iCs/>
      <w:color w:val="0F4761" w:themeColor="accent1" w:themeShade="BF"/>
    </w:rPr>
  </w:style>
  <w:style w:type="character" w:styleId="IntenseReference">
    <w:name w:val="Intense Reference"/>
    <w:basedOn w:val="DefaultParagraphFont"/>
    <w:uiPriority w:val="32"/>
    <w:qFormat/>
    <w:rsid w:val="006F1EC7"/>
    <w:rPr>
      <w:b/>
      <w:bCs/>
      <w:smallCaps/>
      <w:color w:val="0F4761" w:themeColor="accent1" w:themeShade="BF"/>
      <w:spacing w:val="5"/>
    </w:rPr>
  </w:style>
  <w:style w:type="paragraph" w:styleId="NormalWeb">
    <w:name w:val="Normal (Web)"/>
    <w:basedOn w:val="Normal"/>
    <w:uiPriority w:val="99"/>
    <w:semiHidden/>
    <w:unhideWhenUsed/>
    <w:rsid w:val="00B51D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39">
    <w:name w:val="citation-39"/>
    <w:basedOn w:val="DefaultParagraphFont"/>
    <w:rsid w:val="00B51DF7"/>
  </w:style>
  <w:style w:type="character" w:customStyle="1" w:styleId="citation-38">
    <w:name w:val="citation-38"/>
    <w:basedOn w:val="DefaultParagraphFont"/>
    <w:rsid w:val="00B51DF7"/>
  </w:style>
  <w:style w:type="character" w:customStyle="1" w:styleId="citation-37">
    <w:name w:val="citation-37"/>
    <w:basedOn w:val="DefaultParagraphFont"/>
    <w:rsid w:val="00B51DF7"/>
  </w:style>
  <w:style w:type="character" w:customStyle="1" w:styleId="citation-36">
    <w:name w:val="citation-36"/>
    <w:basedOn w:val="DefaultParagraphFont"/>
    <w:rsid w:val="00B51DF7"/>
  </w:style>
  <w:style w:type="character" w:customStyle="1" w:styleId="citation-35">
    <w:name w:val="citation-35"/>
    <w:basedOn w:val="DefaultParagraphFont"/>
    <w:rsid w:val="00B51DF7"/>
  </w:style>
  <w:style w:type="character" w:customStyle="1" w:styleId="citation-34">
    <w:name w:val="citation-34"/>
    <w:basedOn w:val="DefaultParagraphFont"/>
    <w:rsid w:val="00B51DF7"/>
  </w:style>
  <w:style w:type="character" w:customStyle="1" w:styleId="citation-33">
    <w:name w:val="citation-33"/>
    <w:basedOn w:val="DefaultParagraphFont"/>
    <w:rsid w:val="00B51DF7"/>
  </w:style>
  <w:style w:type="character" w:customStyle="1" w:styleId="citation-32">
    <w:name w:val="citation-32"/>
    <w:basedOn w:val="DefaultParagraphFont"/>
    <w:rsid w:val="00B51DF7"/>
  </w:style>
  <w:style w:type="character" w:customStyle="1" w:styleId="citation-31">
    <w:name w:val="citation-31"/>
    <w:basedOn w:val="DefaultParagraphFont"/>
    <w:rsid w:val="00B51DF7"/>
  </w:style>
  <w:style w:type="character" w:customStyle="1" w:styleId="citation-30">
    <w:name w:val="citation-30"/>
    <w:basedOn w:val="DefaultParagraphFont"/>
    <w:rsid w:val="00B51DF7"/>
  </w:style>
  <w:style w:type="character" w:customStyle="1" w:styleId="citation-29">
    <w:name w:val="citation-29"/>
    <w:basedOn w:val="DefaultParagraphFont"/>
    <w:rsid w:val="00B51DF7"/>
  </w:style>
  <w:style w:type="character" w:customStyle="1" w:styleId="citation-28">
    <w:name w:val="citation-28"/>
    <w:basedOn w:val="DefaultParagraphFont"/>
    <w:rsid w:val="00B51DF7"/>
  </w:style>
  <w:style w:type="character" w:customStyle="1" w:styleId="citation-27">
    <w:name w:val="citation-27"/>
    <w:basedOn w:val="DefaultParagraphFont"/>
    <w:rsid w:val="00B51DF7"/>
  </w:style>
  <w:style w:type="character" w:customStyle="1" w:styleId="citation-26">
    <w:name w:val="citation-26"/>
    <w:basedOn w:val="DefaultParagraphFont"/>
    <w:rsid w:val="00B51DF7"/>
  </w:style>
  <w:style w:type="character" w:customStyle="1" w:styleId="citation-25">
    <w:name w:val="citation-25"/>
    <w:basedOn w:val="DefaultParagraphFont"/>
    <w:rsid w:val="00B51DF7"/>
  </w:style>
  <w:style w:type="character" w:customStyle="1" w:styleId="citation-24">
    <w:name w:val="citation-24"/>
    <w:basedOn w:val="DefaultParagraphFont"/>
    <w:rsid w:val="00B51DF7"/>
  </w:style>
  <w:style w:type="character" w:customStyle="1" w:styleId="citation-23">
    <w:name w:val="citation-23"/>
    <w:basedOn w:val="DefaultParagraphFont"/>
    <w:rsid w:val="00B51DF7"/>
  </w:style>
  <w:style w:type="character" w:customStyle="1" w:styleId="citation-112">
    <w:name w:val="citation-112"/>
    <w:basedOn w:val="DefaultParagraphFont"/>
    <w:rsid w:val="00B51DF7"/>
  </w:style>
  <w:style w:type="character" w:customStyle="1" w:styleId="citation-111">
    <w:name w:val="citation-111"/>
    <w:basedOn w:val="DefaultParagraphFont"/>
    <w:rsid w:val="00B51DF7"/>
  </w:style>
  <w:style w:type="character" w:customStyle="1" w:styleId="citation-110">
    <w:name w:val="citation-110"/>
    <w:basedOn w:val="DefaultParagraphFont"/>
    <w:rsid w:val="00B51DF7"/>
  </w:style>
  <w:style w:type="character" w:customStyle="1" w:styleId="citation-109">
    <w:name w:val="citation-109"/>
    <w:basedOn w:val="DefaultParagraphFont"/>
    <w:rsid w:val="00B51DF7"/>
  </w:style>
  <w:style w:type="character" w:customStyle="1" w:styleId="citation-176">
    <w:name w:val="citation-176"/>
    <w:basedOn w:val="DefaultParagraphFont"/>
    <w:rsid w:val="00DA5580"/>
  </w:style>
  <w:style w:type="character" w:customStyle="1" w:styleId="citation-175">
    <w:name w:val="citation-175"/>
    <w:basedOn w:val="DefaultParagraphFont"/>
    <w:rsid w:val="00DA5580"/>
  </w:style>
  <w:style w:type="character" w:customStyle="1" w:styleId="citation-174">
    <w:name w:val="citation-174"/>
    <w:basedOn w:val="DefaultParagraphFont"/>
    <w:rsid w:val="00DA5580"/>
  </w:style>
  <w:style w:type="character" w:customStyle="1" w:styleId="citation-173">
    <w:name w:val="citation-173"/>
    <w:basedOn w:val="DefaultParagraphFont"/>
    <w:rsid w:val="00DA5580"/>
  </w:style>
  <w:style w:type="character" w:customStyle="1" w:styleId="citation-172">
    <w:name w:val="citation-172"/>
    <w:basedOn w:val="DefaultParagraphFont"/>
    <w:rsid w:val="00DA5580"/>
  </w:style>
  <w:style w:type="character" w:customStyle="1" w:styleId="citation-171">
    <w:name w:val="citation-171"/>
    <w:basedOn w:val="DefaultParagraphFont"/>
    <w:rsid w:val="00DA5580"/>
  </w:style>
  <w:style w:type="character" w:customStyle="1" w:styleId="citation-170">
    <w:name w:val="citation-170"/>
    <w:basedOn w:val="DefaultParagraphFont"/>
    <w:rsid w:val="00DA5580"/>
  </w:style>
  <w:style w:type="character" w:customStyle="1" w:styleId="citation-169">
    <w:name w:val="citation-169"/>
    <w:basedOn w:val="DefaultParagraphFont"/>
    <w:rsid w:val="00DA5580"/>
  </w:style>
  <w:style w:type="character" w:customStyle="1" w:styleId="citation-168">
    <w:name w:val="citation-168"/>
    <w:basedOn w:val="DefaultParagraphFont"/>
    <w:rsid w:val="00DA5580"/>
  </w:style>
  <w:style w:type="character" w:customStyle="1" w:styleId="citation-167">
    <w:name w:val="citation-167"/>
    <w:basedOn w:val="DefaultParagraphFont"/>
    <w:rsid w:val="00DA5580"/>
  </w:style>
  <w:style w:type="character" w:customStyle="1" w:styleId="citation-166">
    <w:name w:val="citation-166"/>
    <w:basedOn w:val="DefaultParagraphFont"/>
    <w:rsid w:val="00DA5580"/>
  </w:style>
  <w:style w:type="character" w:customStyle="1" w:styleId="citation-165">
    <w:name w:val="citation-165"/>
    <w:basedOn w:val="DefaultParagraphFont"/>
    <w:rsid w:val="00DA5580"/>
  </w:style>
  <w:style w:type="character" w:customStyle="1" w:styleId="citation-164">
    <w:name w:val="citation-164"/>
    <w:basedOn w:val="DefaultParagraphFont"/>
    <w:rsid w:val="00DA5580"/>
  </w:style>
  <w:style w:type="character" w:customStyle="1" w:styleId="citation-163">
    <w:name w:val="citation-163"/>
    <w:basedOn w:val="DefaultParagraphFont"/>
    <w:rsid w:val="00DA5580"/>
  </w:style>
  <w:style w:type="character" w:customStyle="1" w:styleId="citation-162">
    <w:name w:val="citation-162"/>
    <w:basedOn w:val="DefaultParagraphFont"/>
    <w:rsid w:val="00DA5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DCD8E-6C3A-D048-BEC4-2994CFF93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Bertola, Baptiste</dc:creator>
  <cp:keywords/>
  <dc:description/>
  <cp:lastModifiedBy>Bertola, Baptiste</cp:lastModifiedBy>
  <cp:revision>3</cp:revision>
  <dcterms:created xsi:type="dcterms:W3CDTF">2026-07-05T15:18:00Z</dcterms:created>
  <dcterms:modified xsi:type="dcterms:W3CDTF">2026-07-05T15:57:00Z</dcterms:modified>
</cp:coreProperties>
</file>