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DD13" w14:textId="77777777" w:rsidR="00B57326" w:rsidRDefault="00B57326" w:rsidP="00B57326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78CEDD14" w14:textId="27F403B9" w:rsidR="00B57326" w:rsidRDefault="004A48D8" w:rsidP="00B57326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78CEDD18" w14:textId="7A870E15" w:rsidR="00B57326" w:rsidRPr="0073033C" w:rsidRDefault="004A48D8" w:rsidP="0073033C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78CEDD19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:rsidRPr="005B31C6" w14:paraId="78CEDD1C" w14:textId="77777777" w:rsidTr="005558A0">
        <w:tc>
          <w:tcPr>
            <w:tcW w:w="988" w:type="dxa"/>
            <w:vAlign w:val="center"/>
          </w:tcPr>
          <w:p w14:paraId="78CEDD1A" w14:textId="77777777" w:rsidR="00B57326" w:rsidRPr="005B31C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78CEDDAC" wp14:editId="78CEDDAD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8CEDD1B" w14:textId="77777777" w:rsidR="00B57326" w:rsidRPr="005B31C6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B57326" w:rsidRPr="005B31C6" w14:paraId="78CEDD1E" w14:textId="77777777" w:rsidTr="005558A0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78CEDD1D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78CEDD1F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4A48D8" w14:paraId="3AC01B40" w14:textId="77777777" w:rsidTr="004A48D8">
        <w:tc>
          <w:tcPr>
            <w:tcW w:w="3402" w:type="dxa"/>
          </w:tcPr>
          <w:p w14:paraId="7EF3958E" w14:textId="77777777" w:rsidR="004A48D8" w:rsidRDefault="004A48D8" w:rsidP="00B57326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Master recherche (DEA) en réseaux Adhoc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2010</w:t>
              <w:br/>
            </w:r>
          </w:p>
        </w:tc>
        <w:tc>
          <w:tcPr>
            <w:tcW w:w="6803" w:type="dxa"/>
          </w:tcPr>
          <w:p w14:paraId="61BD6B09" w14:textId="77777777" w:rsidR="004A48D8" w:rsidRDefault="004A48D8" w:rsidP="00B57326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France – Tunis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Ingénieur de l’Ecole Nationale des sciences de l’Informatique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2009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Tunis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Formation Scrum master PSM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2019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Kaglium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Formation C# avancée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2015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IT-ACADEMY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Formation Finance de marchés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2014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Talan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CNAM modules GFN 203-204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2012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CNAM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Formation C++ avancée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2011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Smart-futur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Formation SQL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2011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Oradist (Certifié Oracle Certified Expert)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Formation finance CORE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2010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Sungard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402CAFC4" w14:textId="77777777" w:rsidR="00AF2CD0" w:rsidRDefault="00AF2CD0" w:rsidP="00B57326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14:paraId="78CEDD30" w14:textId="77777777" w:rsidTr="005558A0">
        <w:tc>
          <w:tcPr>
            <w:tcW w:w="988" w:type="dxa"/>
            <w:vAlign w:val="center"/>
          </w:tcPr>
          <w:p w14:paraId="78CEDD2E" w14:textId="77777777" w:rsidR="00B5732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78CEDDAE" wp14:editId="78CEDDAF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8CEDD2F" w14:textId="77777777" w:rsidR="00B57326" w:rsidRPr="005B31C6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B57326" w14:paraId="78CEDD32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78CEDD31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78CEDD33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</w:rPr>
      </w:pPr>
    </w:p>
    <w:p w14:paraId="78CEDD34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78CEDD35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</w:rPr>
      </w:pPr>
      <w:r>
        <w:rPr>
          <w:rFonts w:ascii="Arial Black" w:eastAsiaTheme="minorHAnsi" w:hAnsi="Arial Black" w:cs="Arial"/>
          <w:b/>
          <w:color w:val="273782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84"/>
      </w:tblGrid>
      <w:tr w:rsidR="00B57326" w:rsidRPr="00BF47B4" w14:paraId="78CEDD3A" w14:textId="77777777" w:rsidTr="004A48D8">
        <w:tc>
          <w:tcPr>
            <w:tcW w:w="3402" w:type="dxa"/>
          </w:tcPr>
          <w:p w14:paraId="78CEDD36" w14:textId="55C48CBE" w:rsidR="00B57326" w:rsidRPr="00BF47B4" w:rsidRDefault="00B57326" w:rsidP="005558A0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</w:r>
          </w:p>
        </w:tc>
        <w:tc>
          <w:tcPr>
            <w:tcW w:w="6803" w:type="dxa"/>
          </w:tcPr>
          <w:p w14:paraId="78CEDD39" w14:textId="3DC9BE9F" w:rsidR="00AF2CD0" w:rsidRPr="00BF47B4" w:rsidRDefault="00AF2CD0" w:rsidP="004A48D8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 xml:space="preserve">C#, SQL, T-SQL, PLSQL, Angular, TypeScript, C++, Java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Framework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.Net, MVC, TPL, Dapper, AutoMapper, Nunit, WCF, REMOTE, ODP, ADO, EF6, Infragestics 2.0, Infragestics 4.0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Base de données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SQL Server, Oracle 10G/11G, MYSQL, Sybase, PostgreSQL, MongoDB, Sybase, M.SQL server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Logiciels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Visual Studio 17/19/22, TFS, ReSharper, Profiler, Valgrind/callgrind, Confluence, Jira, Eclipse, Netbeans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Librairie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Axios, Swagger-code, NSubstitute, Moq, FluentAssertions, Selininium, Postman, Jmeter, CtrlmQ, Shell, Netfilter, Iptable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Bibliothèque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Wpf, Winforms, MFC, Owin, ActiveMQ JMS, MSMQ, ZeroMQ, Kafka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Système d'exploitation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Windows, Unix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Serveur d'application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IIS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Indicateurs métiers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Dérivés listés, Equity, futre, option, swapp, obligation, Booking, RFQ/Hedge, Pricing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Produits financiers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Dérivés listés, Equity, futre, option, swapp, obligation, Booking, RFQ/Hedge, Pricing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Fonctionnel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Front to Back, Salle de Marché, Sell-Side, Vente/Négociation, Risk, Asset Managment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Réglémentation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MIFID2, EMIR, DFA, BALE 3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Outils dataviz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SSIS, SSRS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Autres outils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NuGet, Nexus, ProGet, Azure Artificats, Bitbucket, TeamCity, XLDeploy, XLRelease, SonarQube, QonarLint, CodeBashing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Méthodologie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Scrum, Kanban, Lean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Api design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Rest, SOAP, GraphQL, Rpc, Remoting, Corba, FIX 4.4, FIX 4.2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Cloud computing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Azure, AWS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Devops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Azure DevOps, CI/CD, Jenkins, Gradle </w:t>
              <w:br/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78CEDD58" w14:textId="77777777" w:rsidR="00B57326" w:rsidRPr="002A5142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78CEDD59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 xml:space="preserve">Compétences </w:t>
      </w: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fonctionnelles</w:t>
      </w:r>
    </w:p>
    <w:p w14:paraId="78CEDD5A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6468"/>
      </w:tblGrid>
      <w:tr w:rsidR="00B57326" w:rsidRPr="00BF47B4" w14:paraId="78CEDD5F" w14:textId="77777777" w:rsidTr="005558A0">
        <w:tc>
          <w:tcPr>
            <w:tcW w:w="2548" w:type="dxa"/>
          </w:tcPr>
          <w:p w14:paraId="78CEDD5B" w14:textId="35DC2BAB" w:rsidR="00B57326" w:rsidRPr="00BF47B4" w:rsidRDefault="00B57326" w:rsidP="005558A0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</w:p>
        </w:tc>
        <w:tc>
          <w:tcPr>
            <w:tcW w:w="6468" w:type="dxa"/>
          </w:tcPr>
          <w:p w14:paraId="78CEDD5E" w14:textId="77777777" w:rsidR="00B57326" w:rsidRPr="00BF47B4" w:rsidRDefault="00B57326" w:rsidP="004A48D8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</w:p>
        </w:tc>
      </w:tr>
    </w:tbl>
    <w:p w14:paraId="78CEDD63" w14:textId="77777777" w:rsidR="00B57326" w:rsidRPr="002A5142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78CEDD64" w14:textId="77777777" w:rsidR="00B57326" w:rsidRPr="002A5142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78CEDD65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78CEDD66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6468"/>
      </w:tblGrid>
      <w:tr w:rsidR="00B57326" w:rsidRPr="00BF47B4" w14:paraId="78CEDD69" w14:textId="77777777" w:rsidTr="004A48D8">
        <w:tc>
          <w:tcPr>
            <w:tcW w:w="3402" w:type="dxa"/>
          </w:tcPr>
          <w:p w14:paraId="78CEDD67" w14:textId="5A8414D6" w:rsidR="00B57326" w:rsidRPr="00BF47B4" w:rsidRDefault="00B57326" w:rsidP="005558A0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Français </w:t>
              <w:br/>
            </w:r>
          </w:p>
        </w:tc>
        <w:tc>
          <w:tcPr>
            <w:tcW w:w="6803" w:type="dxa"/>
          </w:tcPr>
          <w:p w14:paraId="78CEDD68" w14:textId="4B1BFCD1" w:rsidR="00B57326" w:rsidRPr="00BF47B4" w:rsidRDefault="00B57326" w:rsidP="005558A0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Bilingue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Anglais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Courant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Arabe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Courant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78CEDD6A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p w14:paraId="78CEDD6B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14:paraId="78CEDD6E" w14:textId="77777777" w:rsidTr="005558A0">
        <w:tc>
          <w:tcPr>
            <w:tcW w:w="988" w:type="dxa"/>
            <w:vAlign w:val="center"/>
          </w:tcPr>
          <w:p w14:paraId="78CEDD6C" w14:textId="77777777" w:rsidR="00B5732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78CEDDB0" wp14:editId="78CEDDB1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8CEDD6D" w14:textId="771A84B8" w:rsidR="00B57326" w:rsidRPr="00F34812" w:rsidRDefault="00B57326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8D545C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8D545C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B57326" w14:paraId="78CEDD70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78CEDD6F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57E1693" w14:textId="77777777" w:rsidR="00AF2CD0" w:rsidRDefault="00AF2CD0" w:rsidP="00AF2CD0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87"/>
      </w:tblGrid>
      <w:tr w:rsidR="004A48D8" w14:paraId="4C36435A" w14:textId="77777777" w:rsidTr="003B2A31">
        <w:tc>
          <w:tcPr>
            <w:tcW w:w="5669" w:type="dxa"/>
            <w:shd w:fill="008BD2"/>
          </w:tcPr>
          <w:p w14:paraId="54F636FD" w14:textId="77777777" w:rsidR="004A48D8" w:rsidRDefault="004A48D8" w:rsidP="00AF2CD0">
            <w:pPr>
              <w:rPr>
                <w:rFonts w:ascii="Arial Black" w:eastAsiaTheme="minorHAnsi" w:hAnsi="Arial Black" w:cs="Arial"/>
                <w:b/>
                <w:color w:val="273782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OSTRUM ASSET MANAGEMENT</w:t>
            </w:r>
          </w:p>
        </w:tc>
        <w:tc>
          <w:tcPr>
            <w:tcW w:w="2268" w:type="dxa"/>
            <w:shd w:fill="008BD2"/>
          </w:tcPr>
          <w:p w14:paraId="04A86BA5" w14:textId="77777777" w:rsidR="004A48D8" w:rsidRDefault="004A48D8" w:rsidP="00AF2CD0">
            <w:pPr>
              <w:jc w:val="right"/>
              <w:rPr>
                <w:rFonts w:ascii="Arial Black" w:eastAsiaTheme="minorHAnsi" w:hAnsi="Arial Black" w:cs="Arial"/>
                <w:b/>
                <w:color w:val="273782"/>
                <w:lang w:val="en-US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Septembre 2020 – Septembre 2023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Consultant : Développeur .Net/Api/Wpf/Angular – Lead Api – (Data management)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Au sein de l’équipe Demeter qui a vocation de gérer l’acquisition des données de marchés fournis par les différents</w:t>
              <w:br/>
              <w:t>providers de la place relatives aux indicateurs, instruments financiers, tiers et autres données ainsi qu’à leurs</w:t>
              <w:br/>
              <w:t>publication vers le référentiel centrale d’Ostrum et ses partenaire externes comme LBPAM, j’ai eu comme rôle</w:t>
              <w:br/>
              <w:t>principale d’accompagner l’équipe sur plusieurs sujets sensibles liés principalement à la refactorisation, l’APIsation, le</w:t>
              <w:br/>
              <w:t>développements, la maintenance et le support en cas de besoin. (70% backend, 30% front – WPF et Angular)</w:t>
              <w:br/>
              <w:br/>
              <w:t>Projet Transverse API : Mise en place d'une base commune pour l'APIsation des solutions.</w:t>
              <w:br/>
              <w:br/>
              <w:t>✓ Développement d'un nouveau squelette de projets pour prendre en charge l'APIsation.</w:t>
              <w:br/>
              <w:t>✓ Migration des composants pour prendre en charge diverses méthodes d'authentification, y compris JWT et</w:t>
              <w:br/>
              <w:t>OAuth, en plus de SAML.</w:t>
              <w:br/>
              <w:t>✓ Garantie de la conformité avec les directives API de Natixis, en particulier pour les API externes.</w:t>
              <w:br/>
              <w:t>✓ Création d'un package Nuget ApiHelper pour la gestion des API, comprenant ApiConfig, ApiScope,</w:t>
              <w:br/>
              <w:t>ApiMiddleware, ApiPolicy, ApiPage, ApiResource, ApiLogging, ApiHealth, etc.</w:t>
              <w:br/>
              <w:t>✓ Intégration avec la passerelle AxWay pour les autorisations de type "credential flow" et "code flow".</w:t>
              <w:br/>
              <w:t>✓ Intégration avec les outils d'administration, tels que Kibana pour les journaux et Theia pour les requêtes.</w:t>
              <w:br/>
              <w:t>✓ Assistance aux équipes dans l'utilisation des API sur les différents environnements.</w:t>
              <w:br/>
              <w:t>✓ Optimisation des traitements SQL et C# pour éviter les timeout Gateway et base de données</w:t>
              <w:br/>
              <w:t>✓ Migration des End Points WCF vers des API REST.</w:t>
              <w:br/>
              <w:t>✓ Configuration des pipelines CI/CD pour chaque projet API (Bitbucket, TeamCity, XLDeploy, XLRelease).</w:t>
              <w:br/>
              <w:t>✓ Mise en place de tests unitaires, d'acceptance et de charge avec Postman et JMeter.</w:t>
              <w:br/>
              <w:t>✓ Définition des politiques telles que la gestion de Scope, le "Rate limite." et le "Open close."</w:t>
              <w:br/>
              <w:t>✓ Participation aux tests d'intrusion avec une tierce partie externe.</w:t>
              <w:br/>
              <w:t>✓ Support technique lié aux sujets des APIs.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NET 4.8/C#/WebApi/Rest/Swagger/SwaggerGen/StopLight/Postman/Jmeter/T-Sql/Sybase/TeamCity/Xl-deploy/Xl-release/ Wpf/Angular13/TypeScript/T-Sql/Sybase/SonarQube/QonarLint/CodeBashing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ENGIE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Février 2020 – Aout 2020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Consultant : Développeur Netcore/Devops/Angular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Au sein d'une équipe/ digital factory transverse dédiée pour plusieurs business unit de GEM j'ai assumé plusieurs</w:t>
              <w:br/>
              <w:t>rôles allant du développeur angular/netcore au chef de projet en fonction des interlocuteurs. Dans un context agile,</w:t>
              <w:br/>
              <w:t>multi bord et d'amélioration continue des produits liée à l'office management, ressource humaine, la gestion des rôles</w:t>
              <w:br/>
              <w:t>et la sécurité contre les fraudes, j'ai eu à accompagner plusieurs BU dans le développement quotidien de leurs</w:t>
              <w:br/>
              <w:t>produits et plus particulièrement à dégager les améliorations techniques et ergonomiques pertinentes pour la</w:t>
              <w:br/>
              <w:t>recherche budgétaire :</w:t>
              <w:br/>
              <w:br/>
              <w:t>✓ Qualification au fil de l'eau des besoins et démos quotidiennes avec les utilisateurs ou les POs</w:t>
              <w:br/>
              <w:t>✓ Pricing des développements et découpage en stories et sous tâches</w:t>
              <w:br/>
              <w:t>✓ Développement des Features sur des sprints d'une semaine ou 2 semaines en fonction des BU</w:t>
              <w:br/>
              <w:t>✓ Factorisation et optimisation du code dans un contexte d'amélioration continue</w:t>
              <w:br/>
              <w:t>✓ Mise à jour des tests et la couverture du code pour Sonar.</w:t>
              <w:br/>
              <w:t>✓ Faire passer les process datamart - traitement des flux, sur les pipelines Azure DevOps</w:t>
              <w:br/>
              <w:t>✓ Identifications des améliorations pour la planification budgétaire.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NetCore2.1/3 /C#//Web.Api/Rest/Angular7/TypeScript/T-Sql/Azure/Devops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EXANE DÉRIVATIVES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Juin 2016 – Février 2020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Consultant : Chef de projet technique - Développeur .Net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Mission : Au sein de l'équipe Vente Dérivée, je participe au développement et maintenance des OMS sur les produits</w:t>
              <w:br/>
              <w:t>dérivés listés (options/futures/bond/convertibles) sur la partie back-end des serveurs/web services et interfaces coté</w:t>
              <w:br/>
              <w:t>clients. Je participe aussi à la refonte des ces OMS pour passer la directive MIFID2 (Gestion des workflows</w:t>
              <w:br/>
              <w:t>ordres/Quote/transactions et exécutions marchés).</w:t>
              <w:br/>
              <w:br/>
              <w:t>✓ Etude et chiffrage des développements, point régulier, méthodologie scrum &amp; maison</w:t>
              <w:br/>
              <w:t>✓ Développement &amp; maintenance sur plusieurs serveurs/clients synchronisés en mode active/active (Index pour</w:t>
              <w:br/>
              <w:t>les convertibles, Codex pour les options/futures, Référentiel pour les instruments-CrmTier pour la gestion des</w:t>
              <w:br/>
              <w:t>collaborateurs et la contrepartie</w:t>
              <w:br/>
              <w:t>✓ Optimisation &amp; maintenance de la gestion du cache distribué (remoting .Net et IOP) entre plusieurs instances</w:t>
              <w:br/>
              <w:t>codex et synchronisation avec les interfaces (architecture en bus)</w:t>
              <w:br/>
              <w:t>✓ Mise en place de la passerelle FIX 4.4 pour les RFQ externes (Demandes de Prix sur CVT)</w:t>
              <w:br/>
              <w:t>✓ Maintenances sur la passerelle FIX 4.2 pour les ordres externes sur Options/Futures (EMSX)</w:t>
              <w:br/>
              <w:t>✓ Mise en place de SSL/TLS sur les sessions FIX avec le fournisseur Bloomberg</w:t>
              <w:br/>
              <w:t>✓ Etude de performances du bus ActiveMQ entre la vente et le trading pour la refonte</w:t>
              <w:br/>
              <w:t>✓ Mise en place d'une partie du moteur de transition d'états pour le workflow intérêt/ordre.</w:t>
              <w:br/>
              <w:t>✓ Synchronisation entre l’ancienne architecture du Post-trade) et la nouvelle architecture du Pre-trade</w:t>
              <w:br/>
              <w:t>✓ Mise en place du service de reporting (transprency transactions report) pour le DataWare</w:t>
              <w:br/>
              <w:t>✓ Evolution MFC pour les anciennes interfaces et WinForm pour les nouvelles</w:t>
              <w:br/>
              <w:t>✓ Déploiement des patches en productions.</w:t>
              <w:br/>
              <w:t>✓ Supervision et support en salle pour les vendeurs et market maker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Net/C#/WebService/WCF/remoting/Json/Protobuf/ActiveMq/Winform/MFC/C++/CLICorba/Java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CRÉDIT AGRICOLE CIB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Mars 2015 – Mai 2016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Consultant .NET/C#/C++/SQL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Au sein de l'équipe IR/SUMMIT/BO responsable des développements Back office sur le progiciel SUMMIT</w:t>
              <w:br/>
              <w:t>principalement sur la partie clearing, la maintenance du processus de paiements STP et l’évolution des IHM :</w:t>
              <w:br/>
              <w:br/>
              <w:t>Maintenance et Évolutions ( IHM et Serveur)</w:t>
              <w:br/>
              <w:br/>
              <w:t>✓ Résolution des anomalies sur le clearing CME, LCH et accompagnement du support N3</w:t>
              <w:br/>
              <w:t>✓ Evolution des règles de defaulting des Trades (C#/infragestics 2.0/C++ serveur/ SQL-Entity)</w:t>
              <w:br/>
              <w:t>✓ Maintenance au niveau du calcul du Netting (C#/infragestics 2.0/C++ serveur/ SQL-Entity)</w:t>
              <w:br/>
              <w:t>✓ Evolution du clearing LCH (swapclear) sur les devises USD/BRL en incluant la Ptax (c++)</w:t>
              <w:br/>
              <w:t>✓ Ajouter le traitement des flux manquant (CIN) pour le clearing CME (C++/SQL)</w:t>
              <w:br/>
              <w:t>✓ Maintenance des annulations des deals et gestion de la contrepartie avec les chambres de compensations</w:t>
              <w:br/>
              <w:t>(c++)</w:t>
              <w:br/>
              <w:br/>
              <w:t>Projet Eurex (Calcul des appels de marges)</w:t>
              <w:br/>
              <w:br/>
              <w:t>✓ Rédaction des spécifications techniques et chiffrage</w:t>
              <w:br/>
              <w:t>✓ Factorisation de l’ancienne solution en proposer une nouvelle architecture plus générique</w:t>
              <w:br/>
              <w:t>✓ Développement de tout le process de clearing pour Eurex (C++/SQL/SQL-ENTITY)</w:t>
              <w:br/>
              <w:t>✓ Création des fenêtres pour la visualisation des rapports de validation (C#/infragestics 2.0)</w:t>
              <w:br/>
              <w:t>✓ Configuration des batches hebdomadaires suivant le calendrier Eurex (CtrlmQ/Shell)</w:t>
              <w:br/>
              <w:br/>
              <w:t>Projet NPV clearing (Intégration du Net Present value dans les transactions)</w:t>
              <w:br/>
              <w:br/>
              <w:t>✓ Rédaction des spécifications Techniques et chiffrage</w:t>
              <w:br/>
              <w:t>✓ Développement du Loader des données des différentes chambres (C++/Multithreading/CSV)</w:t>
              <w:br/>
              <w:t>✓ Persistance et intégration du NPV au niveau des transactions Summit (C++/Bulk-Sql)</w:t>
              <w:br/>
              <w:t>✓ Modification au niveau de l’exportateur des deals (C++/XML)</w:t>
              <w:br/>
              <w:t>✓ Evolution du convertisseur de format de représentation des deals selon le modèle CACIB</w:t>
              <w:br/>
              <w:br/>
              <w:t>Projet DFA/EMIR (Intégration des évolutions)</w:t>
              <w:br/>
              <w:br/>
              <w:t>✓ Gestion des Snapshot de rapports et modification des IHM (C# IHM /C++ serveur)</w:t>
              <w:br/>
              <w:t>✓ Gestion des UTI (Unique trade identifier-ISDA) (C# IHM /C++ serveur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NET/C#/C++/C/Winforms/Infragestics-2.0/SQL/SQL-Entity/Sybase/Unix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SOCIÉTÉ GÉNÉRALE CIB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Juillet 2012 – Février 2015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Consultant .NET/C#/C++/SQL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Au Sein de l’équipe ITEC/RRF/CFI responsable principal des développements et des optimisations sur le projet Borne</w:t>
              <w:br/>
              <w:t>(valorisation, calcul et initialisation du PNL annuel), maintenance sur le pricer Agreg évolutions sur les Blotters</w:t>
              <w:br/>
              <w:t>RiskOne, et maintenance des process réglementaires</w:t>
              <w:br/>
              <w:br/>
              <w:t>✓ Analyse des spécifications fonctionnelles.</w:t>
              <w:br/>
              <w:t>✓ Chiffrage et développements.</w:t>
              <w:br/>
              <w:t>✓ Maintenance évolutive et corrective sur le pricer AGREG (C++/C#).</w:t>
              <w:br/>
              <w:t>✓ Hybridation sur le pricer RISKONE (C#/WPF/infragestics 4.0).</w:t>
              <w:br/>
              <w:t>✓ Optimisation des solutions et des processus.</w:t>
              <w:br/>
              <w:t>✓ Tests de non régression (Smoke Tests)</w:t>
              <w:br/>
              <w:t>✓ Support niveau 3.</w:t>
              <w:br/>
              <w:br/>
              <w:t>Maintenance et Évolutions ( IHM et Pricer)</w:t>
              <w:br/>
              <w:br/>
              <w:t>✓ Maintenance des soultes annulées sur l’OPA Agreg (c++)</w:t>
              <w:br/>
              <w:t>✓ Evolution du defaulting sur le blotter des analyses de Riskone (C#/WPF/Infragestics 4.0)</w:t>
              <w:br/>
              <w:t>✓ Evolution au niveau du Pilote Agreg pour le regroupement des cubes/portefeuille (c#)</w:t>
              <w:br/>
              <w:br/>
              <w:t>Projets Bornes (Création des bornes de fin d’année, sauvegarde du PastCash et initialisation du PNL YTD)</w:t>
              <w:br/>
              <w:br/>
              <w:t>✓ Évolution, maintenance et optimisation de l’ancienne application (C#/File/SQL/PLSQL).</w:t>
              <w:br/>
              <w:t>✓ Lancement en production, investigation des anomalies, astreintes et support.</w:t>
              <w:br/>
              <w:t>✓ Evolution des algorithmes de calcul du PNL pour les sous catégories d’instruments (C#)</w:t>
              <w:br/>
              <w:t>✓ Refonte entière de l’ancienne solution en proposant le nouveau workflow</w:t>
              <w:br/>
              <w:t>✓ Rédaction des spécifications techniques, des cahiers de tests et des itérations</w:t>
              <w:br/>
              <w:t>✓ Automatisation de la solution et migration vers SSIS/C#/SQL/PLSQL.</w:t>
              <w:br/>
              <w:t>✓ Conception du schéma de la base de données et développement des packages PLSQL</w:t>
              <w:br/>
              <w:t>✓ Développement de la couche logique de la solution et des méthodes de relances (C#/SQL).</w:t>
              <w:br/>
              <w:t>✓ Automatisation de l’interfaçage avec Agreg pour le lancement des analyses (C#/Multi-thrading)</w:t>
              <w:br/>
              <w:t>✓ Optimisation des performances en mémoire et du temps d’exécution des requêtes (Sql/Hints)</w:t>
              <w:br/>
              <w:t>✓ Automatisation du processus des tests de non régression</w:t>
              <w:br/>
              <w:t>✓ Former l’équipe de Bangalore et effectuer la revue du code.</w:t>
              <w:br/>
              <w:t>✓ Développement des outils de contrôle, de vérification et de consolidation.(C#/CSV/Excel)</w:t>
              <w:br/>
              <w:br/>
              <w:t>Projet Delta de Borne (Post Borne-gestion des changements rétroactifs des deals)</w:t>
              <w:br/>
              <w:br/>
              <w:t>✓ Maintenance de l'application des deltas sur les instruments OTC (C#/SQL)</w:t>
              <w:br/>
              <w:t>✓ Développement du delta de borne pour les instruments listés (C#/SQL/PLSQL)</w:t>
              <w:br/>
              <w:t>✓ Création des rapports pour les BA (C#/CSV)</w:t>
              <w:br/>
              <w:br/>
              <w:t>Projet Liquidité (Bale 3 : Calcul du gap de liquidité sur 1 mois avec projection par portefeuille/instrument)</w:t>
              <w:br/>
              <w:br/>
              <w:t>✓ Décommissionnement de l’ancienne application de C++/SQL/ORACLE vers C#//SSIS/MSQL.</w:t>
              <w:br/>
              <w:t>✓ Conception du Workflow (Config des portefeuilles, automatisation des analyses et des rapports)</w:t>
              <w:br/>
              <w:t>✓ Schématisation des tables d’historisation du MTM et du MTM stressé (M.SQL server).</w:t>
              <w:br/>
              <w:t>✓ Développement d’une API pour faciliter la création des rapports à la demande (C#/Excel)</w:t>
              <w:br/>
              <w:t>✓ Intégration des règles d’alertes sur les Gaps et d’erreurs sur les données qui manquent (c#)</w:t>
              <w:br/>
              <w:t>✓ Gestion de relances sur les portefeuilles manquants (recherche dans les traces sur la Grille)</w:t>
              <w:br/>
              <w:t>✓ Automatisation du transfert des rapports vers les équipes risques (SFTP/Batch)</w:t>
              <w:br/>
              <w:br/>
              <w:t>Projet GammarBor (Income Attribution-Générateur de scénarios)</w:t>
              <w:br/>
              <w:br/>
              <w:t>✓ Rédaction de la spécification technique</w:t>
              <w:br/>
              <w:t>✓ Développement du générateur des scénarios de courbes croisées (C#/SQL)</w:t>
              <w:br/>
              <w:t>✓ Automatisation du lancement du pricer sur les scénarios obtenus</w:t>
              <w:br/>
              <w:t>✓ Transfert des données vers l’équipe IA3</w:t>
              <w:br/>
              <w:t>✓ Déploiement et support.</w:t>
              <w:br/>
              <w:br/>
              <w:t>Projet EMIR / DFA (Mise en place des analyses de Var et ajout des contreparties dans les cubes)</w:t>
              <w:br/>
              <w:br/>
              <w:t>✓ Développement de la chaine des deux process de valorisation (SVAR).</w:t>
              <w:br/>
              <w:t>✓ Optimisation des règles de load balancing (SQL/instrument/portefeuille).</w:t>
              <w:br/>
              <w:t>✓ Développement du décorateur des flux en ajoutant les contreparties (C#).</w:t>
              <w:br/>
              <w:t>✓ Transfert des données vers l’équipe concernée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NET/C#/C++, WPF, Infragestics 4.0, SSIS, SQL,PLSQL,TSQL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SUNGARD GLOBAL TRADING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Août 2010 – Juin 2012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Ingénieur-interne C++ / C++.NET / SQL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Responsable du développement et de la maintenance de deux applications Front et une troisième Back : Le "SLE"</w:t>
              <w:br/>
              <w:t>serveur de trading, Le "SELECTOR" pour le filtrage des ordres boursiers PreTrading et le produit “PKS” pour le maintien</w:t>
              <w:br/>
              <w:t>des positions PostTrading.</w:t>
              <w:br/>
              <w:br/>
              <w:t>✓ Analyser les besoins des clients (JPMorgan, SCB Hongkong)</w:t>
              <w:br/>
              <w:t>✓ Rédiger les spécifications fonctionnelles</w:t>
              <w:br/>
              <w:t>✓ Rédiger les spécifications techniques</w:t>
              <w:br/>
              <w:t>✓ Résolution des Bugs (~300 bugs)</w:t>
              <w:br/>
              <w:t>✓ Maintenir les évolutions effectuées (C++, traitement des SLA)</w:t>
              <w:br/>
              <w:t>✓ Développer des outils internes dans un souci d'amélioration continue (c#)</w:t>
              <w:br/>
              <w:t>✓ Étudier les performances en mémoire, CPU et optimisation (Valgrind/callgrind)</w:t>
              <w:br/>
              <w:t>✓ Participer à la revue du code</w:t>
              <w:br/>
              <w:t>✓ Intégrer les règles statiques de vérification de code (CppCheck)</w:t>
              <w:br/>
              <w:t>✓ Participer à l’analyse des anomalies avec les QA</w:t>
              <w:br/>
              <w:t>✓ Interagir avec les clients, et les équipes du support</w:t>
              <w:br/>
              <w:t>✓ Responsable du projet SELECTOR-OMS (C++/Pro*c)</w:t>
              <w:br/>
              <w:t>✓ Proposer une solutions pour améliorer les tests (interfaçage entre Perforce et Testlink)(C#)</w:t>
              <w:br/>
              <w:t>✓ Encadrement des stagiaires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C++, Pro*C, C#, SQL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INRIA NORD EUROPE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Septembre 2009 – Juillet 2010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Stage de Master en informatique (DEA : Mathématique appliqués aux réseaux sans fils)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Amélioration du débit des réseaux sans fils denses (réseaux de capteurs).</w:t>
              <w:br/>
              <w:br/>
              <w:t>✓ Proposer le modèle mathématique de la solution (Conférence et Publication effectué)</w:t>
              <w:br/>
              <w:t>✓ Validation du concept sur la simulation OMNET++ (C++, Pile protocolaire)</w:t>
              <w:br/>
              <w:t>✓ Implémentation de la solution directement sur des réseaux de capteurs (C-embarqué)</w:t>
              <w:br/>
              <w:t>✓ Publication des résultats (Conférence Tigera 2010).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C++, C-Embarqué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INRIA NORD EUROPE, LILLE / FRANCE TELECOM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Mars 2009 – Septembre 2009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Stage de projet de fin d’études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Amélioration du débit des réseaux télécom sur un réseau Adhoc.</w:t>
              <w:br/>
              <w:br/>
              <w:t>✓ Proposer un modèle mathématique prenant en compte les interférences entre fréquences.</w:t>
              <w:br/>
              <w:t>✓ Extension du simulateur Visidia (visidia.labri.fr) pour pouvoir lancer les algorithmes de simulations.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Eclipse, Java </w:t>
              <w:br/>
              <w:br/>
            </w:r>
          </w:p>
        </w:tc>
      </w:tr>
      <w:tr>
        <w:tc>
          <w:tcPr>
            <w:tcW w:type="dxa" w:w="5669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AGENCE NATIONALE DE LA SÉCURITÉ INFORMATIQUE</w:t>
            </w:r>
          </w:p>
        </w:tc>
        <w:tc>
          <w:tcPr>
            <w:tcW w:type="dxa" w:w="2268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Juillet 2008 – Octobre 2008</w:t>
            </w:r>
          </w:p>
        </w:tc>
      </w:tr>
      <w:tr>
        <w:tc>
          <w:tcPr>
            <w:tcW w:type="dxa" w:w="2268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Conception d’un boîtier de gestion de la bande passante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Étudier le trafic existant et choisir la solution QOS adéquate.</w:t>
              <w:br/>
              <w:t>✓ Développement du service web et du noyau de gestion des files d’attentes.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Netbeans, J2EE (Html/Jsp/Beans), Shell, Netfilter, Iptable </w:t>
              <w:br/>
              <w:br/>
            </w:r>
          </w:p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5669"/>
          </w:tcPr>
          <w:p/>
        </w:tc>
        <w:tc>
          <w:tcPr>
            <w:tcW w:type="dxa" w:w="2268"/>
          </w:tcPr>
          <w:p/>
        </w:tc>
      </w:tr>
    </w:tbl>
    <w:p w14:paraId="27845037" w14:textId="77777777" w:rsidR="004A48D8" w:rsidRDefault="004A48D8" w:rsidP="00AF2CD0">
      <w:pPr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4A48D8" w:rsidSect="001C0D7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FC35" w14:textId="77777777" w:rsidR="001C0D7E" w:rsidRDefault="001C0D7E" w:rsidP="005C791D">
      <w:r>
        <w:separator/>
      </w:r>
    </w:p>
  </w:endnote>
  <w:endnote w:type="continuationSeparator" w:id="0">
    <w:p w14:paraId="2F63D7DF" w14:textId="77777777" w:rsidR="001C0D7E" w:rsidRDefault="001C0D7E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8" w14:textId="77777777" w:rsidR="00FE4693" w:rsidRDefault="00FE46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9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78CEDDBA" w14:textId="77777777" w:rsidR="00282DC6" w:rsidRDefault="00282DC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C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78CEDDBD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D0E1" w14:textId="77777777" w:rsidR="001C0D7E" w:rsidRDefault="001C0D7E" w:rsidP="005C791D">
      <w:r>
        <w:separator/>
      </w:r>
    </w:p>
  </w:footnote>
  <w:footnote w:type="continuationSeparator" w:id="0">
    <w:p w14:paraId="088896E1" w14:textId="77777777" w:rsidR="001C0D7E" w:rsidRDefault="001C0D7E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6" w14:textId="77777777" w:rsidR="00FE4693" w:rsidRDefault="00FE46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7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78CEDDBE" wp14:editId="78CEDDBF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B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8CEDDC0" wp14:editId="78CEDDC1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6C"/>
    <w:multiLevelType w:val="hybridMultilevel"/>
    <w:tmpl w:val="3940CB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7493F"/>
    <w:multiLevelType w:val="hybridMultilevel"/>
    <w:tmpl w:val="6DEEC03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635D8"/>
    <w:multiLevelType w:val="hybridMultilevel"/>
    <w:tmpl w:val="CC624D6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12D3D"/>
    <w:multiLevelType w:val="hybridMultilevel"/>
    <w:tmpl w:val="31EEC06C"/>
    <w:lvl w:ilvl="0" w:tplc="8D84A88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C2982"/>
    <w:multiLevelType w:val="hybridMultilevel"/>
    <w:tmpl w:val="5442C75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839B3"/>
    <w:multiLevelType w:val="hybridMultilevel"/>
    <w:tmpl w:val="A2E6F2F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D117C"/>
    <w:multiLevelType w:val="hybridMultilevel"/>
    <w:tmpl w:val="08C4AB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271924"/>
    <w:multiLevelType w:val="hybridMultilevel"/>
    <w:tmpl w:val="0D22563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01C53"/>
    <w:multiLevelType w:val="hybridMultilevel"/>
    <w:tmpl w:val="F15CDD2C"/>
    <w:lvl w:ilvl="0" w:tplc="2DE4FEF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F1CF5"/>
    <w:multiLevelType w:val="hybridMultilevel"/>
    <w:tmpl w:val="1D06C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684D31"/>
    <w:multiLevelType w:val="hybridMultilevel"/>
    <w:tmpl w:val="11A40A5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B16F9"/>
    <w:multiLevelType w:val="hybridMultilevel"/>
    <w:tmpl w:val="FF0E693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94DDE"/>
    <w:multiLevelType w:val="hybridMultilevel"/>
    <w:tmpl w:val="E55ED26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86E34"/>
    <w:multiLevelType w:val="hybridMultilevel"/>
    <w:tmpl w:val="38C08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755436"/>
    <w:multiLevelType w:val="hybridMultilevel"/>
    <w:tmpl w:val="B4721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662AB"/>
    <w:multiLevelType w:val="hybridMultilevel"/>
    <w:tmpl w:val="F372F59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B7C20"/>
    <w:multiLevelType w:val="hybridMultilevel"/>
    <w:tmpl w:val="740C4AB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E629AF"/>
    <w:multiLevelType w:val="hybridMultilevel"/>
    <w:tmpl w:val="9F32D9A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5D2168"/>
    <w:multiLevelType w:val="hybridMultilevel"/>
    <w:tmpl w:val="A992B3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664A4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675CD0"/>
    <w:multiLevelType w:val="hybridMultilevel"/>
    <w:tmpl w:val="A0D6A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E03BB1"/>
    <w:multiLevelType w:val="hybridMultilevel"/>
    <w:tmpl w:val="69F8F1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31E38BD"/>
    <w:multiLevelType w:val="hybridMultilevel"/>
    <w:tmpl w:val="64603934"/>
    <w:lvl w:ilvl="0" w:tplc="2604C3F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A76CA4"/>
    <w:multiLevelType w:val="hybridMultilevel"/>
    <w:tmpl w:val="2606184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DD467D"/>
    <w:multiLevelType w:val="hybridMultilevel"/>
    <w:tmpl w:val="CF547F04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F78126C"/>
    <w:multiLevelType w:val="hybridMultilevel"/>
    <w:tmpl w:val="E76E16B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646F84"/>
    <w:multiLevelType w:val="hybridMultilevel"/>
    <w:tmpl w:val="EA7AF104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1578B9"/>
    <w:multiLevelType w:val="hybridMultilevel"/>
    <w:tmpl w:val="50EA7AB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57F505F"/>
    <w:multiLevelType w:val="hybridMultilevel"/>
    <w:tmpl w:val="421A566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87094A"/>
    <w:multiLevelType w:val="hybridMultilevel"/>
    <w:tmpl w:val="31F4DD34"/>
    <w:lvl w:ilvl="0" w:tplc="093A746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361A19"/>
    <w:multiLevelType w:val="hybridMultilevel"/>
    <w:tmpl w:val="DD28D4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3886041"/>
    <w:multiLevelType w:val="hybridMultilevel"/>
    <w:tmpl w:val="DA64C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8A2313"/>
    <w:multiLevelType w:val="hybridMultilevel"/>
    <w:tmpl w:val="9AB0C4B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647A75"/>
    <w:multiLevelType w:val="hybridMultilevel"/>
    <w:tmpl w:val="5F1C5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DDA2FE1"/>
    <w:multiLevelType w:val="hybridMultilevel"/>
    <w:tmpl w:val="28B2A7D0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EA5222E"/>
    <w:multiLevelType w:val="hybridMultilevel"/>
    <w:tmpl w:val="04E2994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507CBC"/>
    <w:multiLevelType w:val="hybridMultilevel"/>
    <w:tmpl w:val="79FE620E"/>
    <w:lvl w:ilvl="0" w:tplc="DE2A9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957101"/>
    <w:multiLevelType w:val="hybridMultilevel"/>
    <w:tmpl w:val="75024110"/>
    <w:lvl w:ilvl="0" w:tplc="BB183B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C277D4"/>
    <w:multiLevelType w:val="hybridMultilevel"/>
    <w:tmpl w:val="A7107A2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D80AC1"/>
    <w:multiLevelType w:val="hybridMultilevel"/>
    <w:tmpl w:val="DB6EB41C"/>
    <w:lvl w:ilvl="0" w:tplc="FDFA0B5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262791"/>
    <w:multiLevelType w:val="hybridMultilevel"/>
    <w:tmpl w:val="38B4D82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36249E"/>
    <w:multiLevelType w:val="hybridMultilevel"/>
    <w:tmpl w:val="8E56DE1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420420"/>
    <w:multiLevelType w:val="hybridMultilevel"/>
    <w:tmpl w:val="BA749AD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D40A6C"/>
    <w:multiLevelType w:val="hybridMultilevel"/>
    <w:tmpl w:val="00E002D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A5E44D9"/>
    <w:multiLevelType w:val="hybridMultilevel"/>
    <w:tmpl w:val="150A9FC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57271">
    <w:abstractNumId w:val="51"/>
  </w:num>
  <w:num w:numId="2" w16cid:durableId="760488309">
    <w:abstractNumId w:val="50"/>
  </w:num>
  <w:num w:numId="3" w16cid:durableId="1294824660">
    <w:abstractNumId w:val="61"/>
  </w:num>
  <w:num w:numId="4" w16cid:durableId="1717008081">
    <w:abstractNumId w:val="49"/>
  </w:num>
  <w:num w:numId="5" w16cid:durableId="392193073">
    <w:abstractNumId w:val="24"/>
  </w:num>
  <w:num w:numId="6" w16cid:durableId="1631323241">
    <w:abstractNumId w:val="39"/>
  </w:num>
  <w:num w:numId="7" w16cid:durableId="146435817">
    <w:abstractNumId w:val="33"/>
  </w:num>
  <w:num w:numId="8" w16cid:durableId="1667055331">
    <w:abstractNumId w:val="46"/>
  </w:num>
  <w:num w:numId="9" w16cid:durableId="743185648">
    <w:abstractNumId w:val="29"/>
  </w:num>
  <w:num w:numId="10" w16cid:durableId="370811431">
    <w:abstractNumId w:val="16"/>
  </w:num>
  <w:num w:numId="11" w16cid:durableId="1087582071">
    <w:abstractNumId w:val="17"/>
  </w:num>
  <w:num w:numId="12" w16cid:durableId="786511705">
    <w:abstractNumId w:val="28"/>
  </w:num>
  <w:num w:numId="13" w16cid:durableId="386807152">
    <w:abstractNumId w:val="0"/>
  </w:num>
  <w:num w:numId="14" w16cid:durableId="1042097789">
    <w:abstractNumId w:val="23"/>
  </w:num>
  <w:num w:numId="15" w16cid:durableId="1000084605">
    <w:abstractNumId w:val="35"/>
  </w:num>
  <w:num w:numId="16" w16cid:durableId="2070761633">
    <w:abstractNumId w:val="64"/>
  </w:num>
  <w:num w:numId="17" w16cid:durableId="563418219">
    <w:abstractNumId w:val="40"/>
  </w:num>
  <w:num w:numId="18" w16cid:durableId="159004804">
    <w:abstractNumId w:val="13"/>
  </w:num>
  <w:num w:numId="19" w16cid:durableId="692849102">
    <w:abstractNumId w:val="8"/>
  </w:num>
  <w:num w:numId="20" w16cid:durableId="541792669">
    <w:abstractNumId w:val="65"/>
  </w:num>
  <w:num w:numId="21" w16cid:durableId="1050812198">
    <w:abstractNumId w:val="63"/>
  </w:num>
  <w:num w:numId="22" w16cid:durableId="1001159645">
    <w:abstractNumId w:val="42"/>
  </w:num>
  <w:num w:numId="23" w16cid:durableId="2080202354">
    <w:abstractNumId w:val="7"/>
  </w:num>
  <w:num w:numId="24" w16cid:durableId="2087146198">
    <w:abstractNumId w:val="45"/>
  </w:num>
  <w:num w:numId="25" w16cid:durableId="923608728">
    <w:abstractNumId w:val="14"/>
  </w:num>
  <w:num w:numId="26" w16cid:durableId="832793333">
    <w:abstractNumId w:val="20"/>
  </w:num>
  <w:num w:numId="27" w16cid:durableId="1761366125">
    <w:abstractNumId w:val="3"/>
  </w:num>
  <w:num w:numId="28" w16cid:durableId="2054188920">
    <w:abstractNumId w:val="48"/>
  </w:num>
  <w:num w:numId="29" w16cid:durableId="1054162732">
    <w:abstractNumId w:val="5"/>
  </w:num>
  <w:num w:numId="30" w16cid:durableId="2140340306">
    <w:abstractNumId w:val="10"/>
  </w:num>
  <w:num w:numId="31" w16cid:durableId="1567455476">
    <w:abstractNumId w:val="58"/>
  </w:num>
  <w:num w:numId="32" w16cid:durableId="1847207709">
    <w:abstractNumId w:val="36"/>
  </w:num>
  <w:num w:numId="33" w16cid:durableId="94250991">
    <w:abstractNumId w:val="37"/>
  </w:num>
  <w:num w:numId="34" w16cid:durableId="1025519334">
    <w:abstractNumId w:val="57"/>
  </w:num>
  <w:num w:numId="35" w16cid:durableId="644625721">
    <w:abstractNumId w:val="6"/>
  </w:num>
  <w:num w:numId="36" w16cid:durableId="1272321644">
    <w:abstractNumId w:val="47"/>
  </w:num>
  <w:num w:numId="37" w16cid:durableId="85808047">
    <w:abstractNumId w:val="34"/>
  </w:num>
  <w:num w:numId="38" w16cid:durableId="230308644">
    <w:abstractNumId w:val="15"/>
  </w:num>
  <w:num w:numId="39" w16cid:durableId="738601459">
    <w:abstractNumId w:val="60"/>
  </w:num>
  <w:num w:numId="40" w16cid:durableId="2065565732">
    <w:abstractNumId w:val="2"/>
  </w:num>
  <w:num w:numId="41" w16cid:durableId="930549085">
    <w:abstractNumId w:val="55"/>
  </w:num>
  <w:num w:numId="42" w16cid:durableId="1137916294">
    <w:abstractNumId w:val="56"/>
  </w:num>
  <w:num w:numId="43" w16cid:durableId="831139187">
    <w:abstractNumId w:val="41"/>
  </w:num>
  <w:num w:numId="44" w16cid:durableId="371150473">
    <w:abstractNumId w:val="31"/>
  </w:num>
  <w:num w:numId="45" w16cid:durableId="1994721378">
    <w:abstractNumId w:val="38"/>
  </w:num>
  <w:num w:numId="46" w16cid:durableId="1187595118">
    <w:abstractNumId w:val="11"/>
  </w:num>
  <w:num w:numId="47" w16cid:durableId="999698642">
    <w:abstractNumId w:val="22"/>
  </w:num>
  <w:num w:numId="48" w16cid:durableId="1780877805">
    <w:abstractNumId w:val="53"/>
  </w:num>
  <w:num w:numId="49" w16cid:durableId="1110515510">
    <w:abstractNumId w:val="21"/>
  </w:num>
  <w:num w:numId="50" w16cid:durableId="2079983125">
    <w:abstractNumId w:val="43"/>
  </w:num>
  <w:num w:numId="51" w16cid:durableId="1507676058">
    <w:abstractNumId w:val="62"/>
  </w:num>
  <w:num w:numId="52" w16cid:durableId="40446937">
    <w:abstractNumId w:val="54"/>
  </w:num>
  <w:num w:numId="53" w16cid:durableId="2085295814">
    <w:abstractNumId w:val="52"/>
  </w:num>
  <w:num w:numId="54" w16cid:durableId="385908616">
    <w:abstractNumId w:val="4"/>
  </w:num>
  <w:num w:numId="55" w16cid:durableId="1812089932">
    <w:abstractNumId w:val="44"/>
  </w:num>
  <w:num w:numId="56" w16cid:durableId="1465662054">
    <w:abstractNumId w:val="26"/>
  </w:num>
  <w:num w:numId="57" w16cid:durableId="2137795444">
    <w:abstractNumId w:val="27"/>
  </w:num>
  <w:num w:numId="58" w16cid:durableId="1195534093">
    <w:abstractNumId w:val="18"/>
  </w:num>
  <w:num w:numId="59" w16cid:durableId="1536850429">
    <w:abstractNumId w:val="32"/>
  </w:num>
  <w:num w:numId="60" w16cid:durableId="70398772">
    <w:abstractNumId w:val="19"/>
  </w:num>
  <w:num w:numId="61" w16cid:durableId="154801997">
    <w:abstractNumId w:val="12"/>
  </w:num>
  <w:num w:numId="62" w16cid:durableId="911894698">
    <w:abstractNumId w:val="9"/>
  </w:num>
  <w:num w:numId="63" w16cid:durableId="805509564">
    <w:abstractNumId w:val="1"/>
  </w:num>
  <w:num w:numId="64" w16cid:durableId="706685615">
    <w:abstractNumId w:val="30"/>
  </w:num>
  <w:num w:numId="65" w16cid:durableId="488013693">
    <w:abstractNumId w:val="25"/>
  </w:num>
  <w:num w:numId="66" w16cid:durableId="200023097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30652"/>
    <w:rsid w:val="000469E8"/>
    <w:rsid w:val="00052AB1"/>
    <w:rsid w:val="00067F7E"/>
    <w:rsid w:val="00073736"/>
    <w:rsid w:val="000C7968"/>
    <w:rsid w:val="000D2A36"/>
    <w:rsid w:val="000D6671"/>
    <w:rsid w:val="000F24A2"/>
    <w:rsid w:val="000F4D51"/>
    <w:rsid w:val="00112CD3"/>
    <w:rsid w:val="0016245F"/>
    <w:rsid w:val="0017169A"/>
    <w:rsid w:val="00171E9B"/>
    <w:rsid w:val="001772D4"/>
    <w:rsid w:val="001A0F99"/>
    <w:rsid w:val="001C0D7E"/>
    <w:rsid w:val="001C5AD3"/>
    <w:rsid w:val="001D4EED"/>
    <w:rsid w:val="001F2243"/>
    <w:rsid w:val="001F33FB"/>
    <w:rsid w:val="00217DC5"/>
    <w:rsid w:val="00222854"/>
    <w:rsid w:val="0022331F"/>
    <w:rsid w:val="00223AAE"/>
    <w:rsid w:val="00236061"/>
    <w:rsid w:val="0024554B"/>
    <w:rsid w:val="00282DC6"/>
    <w:rsid w:val="00286C88"/>
    <w:rsid w:val="002876DB"/>
    <w:rsid w:val="002A614D"/>
    <w:rsid w:val="002B2C49"/>
    <w:rsid w:val="002D1300"/>
    <w:rsid w:val="002E26FE"/>
    <w:rsid w:val="00313878"/>
    <w:rsid w:val="003138BA"/>
    <w:rsid w:val="003255E2"/>
    <w:rsid w:val="0032601D"/>
    <w:rsid w:val="00331793"/>
    <w:rsid w:val="003325A0"/>
    <w:rsid w:val="00336FEF"/>
    <w:rsid w:val="003A1BD5"/>
    <w:rsid w:val="003A4B6D"/>
    <w:rsid w:val="003B2A31"/>
    <w:rsid w:val="003C72DF"/>
    <w:rsid w:val="003D18B6"/>
    <w:rsid w:val="00417808"/>
    <w:rsid w:val="00444C5A"/>
    <w:rsid w:val="0045549B"/>
    <w:rsid w:val="004778D3"/>
    <w:rsid w:val="00492ED2"/>
    <w:rsid w:val="004A48D8"/>
    <w:rsid w:val="004B6867"/>
    <w:rsid w:val="004D576E"/>
    <w:rsid w:val="004F37E5"/>
    <w:rsid w:val="004F5F26"/>
    <w:rsid w:val="005001FC"/>
    <w:rsid w:val="005131B1"/>
    <w:rsid w:val="00535F29"/>
    <w:rsid w:val="005367E1"/>
    <w:rsid w:val="00546E6D"/>
    <w:rsid w:val="0055225E"/>
    <w:rsid w:val="00552C86"/>
    <w:rsid w:val="0055523B"/>
    <w:rsid w:val="0057122B"/>
    <w:rsid w:val="00597B37"/>
    <w:rsid w:val="005B31C6"/>
    <w:rsid w:val="005B4BF6"/>
    <w:rsid w:val="005B4EA5"/>
    <w:rsid w:val="005C2CAD"/>
    <w:rsid w:val="005C791D"/>
    <w:rsid w:val="0060353A"/>
    <w:rsid w:val="00610AF7"/>
    <w:rsid w:val="00611F81"/>
    <w:rsid w:val="0062264E"/>
    <w:rsid w:val="006238CD"/>
    <w:rsid w:val="00647C26"/>
    <w:rsid w:val="0065699F"/>
    <w:rsid w:val="00670A0B"/>
    <w:rsid w:val="006911F5"/>
    <w:rsid w:val="006B0F76"/>
    <w:rsid w:val="006B4602"/>
    <w:rsid w:val="006B6E4F"/>
    <w:rsid w:val="0073033C"/>
    <w:rsid w:val="00741BB5"/>
    <w:rsid w:val="007519F4"/>
    <w:rsid w:val="0079406A"/>
    <w:rsid w:val="007B114E"/>
    <w:rsid w:val="007F101C"/>
    <w:rsid w:val="007F5B41"/>
    <w:rsid w:val="00810453"/>
    <w:rsid w:val="00844448"/>
    <w:rsid w:val="008807F8"/>
    <w:rsid w:val="00884013"/>
    <w:rsid w:val="00885E05"/>
    <w:rsid w:val="008914FE"/>
    <w:rsid w:val="008A24DC"/>
    <w:rsid w:val="008B37CF"/>
    <w:rsid w:val="008D545C"/>
    <w:rsid w:val="008F25F6"/>
    <w:rsid w:val="00900354"/>
    <w:rsid w:val="0093206E"/>
    <w:rsid w:val="00942658"/>
    <w:rsid w:val="00951815"/>
    <w:rsid w:val="00951915"/>
    <w:rsid w:val="00955828"/>
    <w:rsid w:val="00964BF9"/>
    <w:rsid w:val="00967F59"/>
    <w:rsid w:val="009773BD"/>
    <w:rsid w:val="00981A2E"/>
    <w:rsid w:val="00990CB4"/>
    <w:rsid w:val="00995EE8"/>
    <w:rsid w:val="009D01D3"/>
    <w:rsid w:val="009E5A3A"/>
    <w:rsid w:val="009E70EE"/>
    <w:rsid w:val="009F67FF"/>
    <w:rsid w:val="00A61740"/>
    <w:rsid w:val="00A83718"/>
    <w:rsid w:val="00A90CAA"/>
    <w:rsid w:val="00AA31C8"/>
    <w:rsid w:val="00AB4675"/>
    <w:rsid w:val="00AB5A3B"/>
    <w:rsid w:val="00AC1DC0"/>
    <w:rsid w:val="00AD1EB7"/>
    <w:rsid w:val="00AE1A77"/>
    <w:rsid w:val="00AF2CD0"/>
    <w:rsid w:val="00B069FD"/>
    <w:rsid w:val="00B1081B"/>
    <w:rsid w:val="00B13579"/>
    <w:rsid w:val="00B20B69"/>
    <w:rsid w:val="00B341ED"/>
    <w:rsid w:val="00B35169"/>
    <w:rsid w:val="00B404DF"/>
    <w:rsid w:val="00B46CBF"/>
    <w:rsid w:val="00B478E3"/>
    <w:rsid w:val="00B57326"/>
    <w:rsid w:val="00B66E03"/>
    <w:rsid w:val="00B71021"/>
    <w:rsid w:val="00B8178D"/>
    <w:rsid w:val="00B84077"/>
    <w:rsid w:val="00B93279"/>
    <w:rsid w:val="00BA4D22"/>
    <w:rsid w:val="00BA5708"/>
    <w:rsid w:val="00BB514F"/>
    <w:rsid w:val="00BB7EC7"/>
    <w:rsid w:val="00BC1136"/>
    <w:rsid w:val="00BC1984"/>
    <w:rsid w:val="00BC3915"/>
    <w:rsid w:val="00BD71FF"/>
    <w:rsid w:val="00BE4843"/>
    <w:rsid w:val="00BE4D02"/>
    <w:rsid w:val="00C2144A"/>
    <w:rsid w:val="00C22485"/>
    <w:rsid w:val="00C23867"/>
    <w:rsid w:val="00C54765"/>
    <w:rsid w:val="00C77A80"/>
    <w:rsid w:val="00CA1EF6"/>
    <w:rsid w:val="00CB09E5"/>
    <w:rsid w:val="00CC01BF"/>
    <w:rsid w:val="00CC0FAB"/>
    <w:rsid w:val="00CC72FB"/>
    <w:rsid w:val="00CE1757"/>
    <w:rsid w:val="00CE4EFA"/>
    <w:rsid w:val="00CF799B"/>
    <w:rsid w:val="00D00169"/>
    <w:rsid w:val="00D2472E"/>
    <w:rsid w:val="00D45AC9"/>
    <w:rsid w:val="00D60186"/>
    <w:rsid w:val="00D65C9E"/>
    <w:rsid w:val="00D67913"/>
    <w:rsid w:val="00D977B9"/>
    <w:rsid w:val="00DA6A28"/>
    <w:rsid w:val="00DD7694"/>
    <w:rsid w:val="00DE5B18"/>
    <w:rsid w:val="00DE6424"/>
    <w:rsid w:val="00E17D78"/>
    <w:rsid w:val="00E20344"/>
    <w:rsid w:val="00E31E50"/>
    <w:rsid w:val="00E322D9"/>
    <w:rsid w:val="00E37775"/>
    <w:rsid w:val="00E3799C"/>
    <w:rsid w:val="00E45E76"/>
    <w:rsid w:val="00E61AB6"/>
    <w:rsid w:val="00E62FEC"/>
    <w:rsid w:val="00E76EA7"/>
    <w:rsid w:val="00E80CF4"/>
    <w:rsid w:val="00E947CC"/>
    <w:rsid w:val="00EA507B"/>
    <w:rsid w:val="00EB0A4E"/>
    <w:rsid w:val="00EC60DC"/>
    <w:rsid w:val="00ED1132"/>
    <w:rsid w:val="00EE12AA"/>
    <w:rsid w:val="00EF3F3D"/>
    <w:rsid w:val="00F1157F"/>
    <w:rsid w:val="00F1484F"/>
    <w:rsid w:val="00F2443B"/>
    <w:rsid w:val="00F2546F"/>
    <w:rsid w:val="00F34812"/>
    <w:rsid w:val="00F74CCD"/>
    <w:rsid w:val="00F77942"/>
    <w:rsid w:val="00F8192C"/>
    <w:rsid w:val="00F83B5F"/>
    <w:rsid w:val="00F93191"/>
    <w:rsid w:val="00F9676C"/>
    <w:rsid w:val="00FB0BF7"/>
    <w:rsid w:val="00FC6DDA"/>
    <w:rsid w:val="00FD4DE1"/>
    <w:rsid w:val="00FE28E1"/>
    <w:rsid w:val="00FE3524"/>
    <w:rsid w:val="00FE4693"/>
    <w:rsid w:val="00FF000B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EDD13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D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A3MW56NDKMZT-958086666-8244</_dlc_DocId>
    <_dlc_DocIdUrl xmlns="1173bd88-38a7-4acf-a61a-45a0044f1121">
      <Url>https://newcopartners.sharepoint.com/sites/COMMERCIAL/_layouts/15/DocIdRedir.aspx?ID=A3MW56NDKMZT-958086666-8244</Url>
      <Description>A3MW56NDKMZT-958086666-8244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66C005-0968-4BD9-A00E-4A8AADB14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CFB11-F301-49B9-9371-314020B3068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8D4F0F-DB46-4961-A54A-8801B89B50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B980A7-D678-F544-A787-0F89760B214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59BCFC-8E6E-4E06-B180-99C7E458A3A4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139</cp:revision>
  <cp:lastPrinted>2021-04-16T10:25:00Z</cp:lastPrinted>
  <dcterms:created xsi:type="dcterms:W3CDTF">2021-05-05T08:36:00Z</dcterms:created>
  <dcterms:modified xsi:type="dcterms:W3CDTF">2024-01-09T13:47:00Z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5afef8b7-7bd9-484a-b106-2fbc76224674</vt:lpwstr>
  </property>
</Properties>
</file>