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Grenoble-INP ENSIMAG, UGA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2021-2025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Diploma in Financial and Computer Engineering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Grenoble-INP ENSIMAG, UGA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2021-2025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Master in Quantitative Finance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ENCPB Paris, France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2019-2021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Classe Préparatoires, MPSI/MP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Black-Scholes Model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May 2023</w:t>
              <w:br/>
            </w: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Monte Carlo Simulation for Options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June 2023</w:t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['Python', 'C', 'Java', 'SQL', 'Javascript']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['Pytorch', 'Spark NLP', 'HuggingFace', 'Docker', 'Airflow']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['SQL']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['Kafka', 'AWS']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Librairie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['Pandas']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Bibliothèque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['NLP techniques', 'Machine Learning methods']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Système d'exploitation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['Linux']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Cloud computing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['AWS']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Devops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['Docker', 'Airflow']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Autres outils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['JPEG encoder']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English </w:t>
              <w:br/>
            </w: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fluent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French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fluent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#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SCALENS, FINTECH</w:t>
            </w:r>
          </w:p>
        </w:tc>
        <w:tc>
          <w:tcPr>
            <w:tcW w:w="2835" w:type="dxa"/>
            <w:shd w:fill="#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June 2023 - December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Data scientist intern (NLP)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Python</w:t>
              <w:br/>
              <w:t>Pandas</w:t>
              <w:br/>
              <w:t>Pytorch</w:t>
              <w:br/>
              <w:t>Data scientist intern (NLP)</w:t>
              <w:br/>
              <w:t>Airflow</w:t>
              <w:br/>
              <w:t>OCR techniques for data extraction</w:t>
              <w:br/>
              <w:t>Spark NLP for data classification with Deep Learning models, including Transformers</w:t>
              <w:br/>
              <w:t>Kafka</w:t>
              <w:br/>
              <w:t>Machine Learning methods for data analysis</w:t>
              <w:br/>
              <w:t>C</w:t>
              <w:br/>
              <w:t>Utilisation of Kafka and Airflow for deploying NLP project</w:t>
              <w:br/>
              <w:t>Java</w:t>
              <w:br/>
              <w:t>Linux Project</w:t>
              <w:br/>
              <w:t>Docker</w:t>
              <w:br/>
              <w:t>SQL</w:t>
              <w:br/>
              <w:t>Javascript</w:t>
              <w:br/>
              <w:t>Pseudo-Java language compiler in Java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Python, Pandas, Pytorch, Airflow, Spark NLP, Kafka, C, Java, Linux, Docker, SQL, Javascript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HUGGINGFACE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January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Development in a team of 5 of a Java compiler for Java's object-oriented sub-language 'Deca'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AWS</w:t>
              <w:br/>
              <w:t>Development in a team of 5 of a Java compiler for Java's object-oriented sub-language 'Deca'.</w:t>
              <w:br/>
              <w:t>JPEG encoder in C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AWS, C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BLACK-SCHOLES MODEL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May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Project to complete the course on derivatives and stochastic calculations: Development of a program that implement the Black-Scholes option pricig model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Project to complete the course on derivatives and stochastic calculations: Development of a program that implement the Black-Scholes option pricig model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MONTE CARLO SIMULATION FOR OPTIONS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June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Development of a Monte Carlo simulation to price options, useful for complex options with various features and payoffs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Development of a Monte Carlo simulation to price options, useful for complex options with various features and payoffs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#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DATA SCIENTIST INTERN (NLP)</w:t>
            </w:r>
          </w:p>
        </w:tc>
        <w:tc>
          <w:tcPr>
            <w:tcW w:w="2835" w:type="dxa"/>
            <w:shd w:fill="#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June 2023 - December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Data scientist intern (NLP)</w:t>
              <w:br/>
              <w:t>Airflow OCR techniques for data extraction</w:t>
              <w:br/>
              <w:t>Spark NLP for data classification with Deep Learning models, including Transformers</w:t>
              <w:br/>
              <w:t>Kafka Machine Learning methods for data analysis</w:t>
              <w:br/>
              <w:t>Utilisation of Kafka and Airflow for deploying NLP project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DEVELOPMENT IN A TEAM OF 5 OF A JAVA COMPILER FOR JAVA'S OBJECT-ORIENTED SUB-LANGUAGE 'DECA'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January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Development in a team of 5 of a Java compiler for Java's object-oriented sub-language 'Deca'.</w:t>
              <w:br/>
              <w:t>Development of a JPEG encoder in a team of 3, in compliance with JPEG standards.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PROJECT TO COMPLETE THE COURSE ON DERIVATIVES AND STOCHASTIC CALCULATIONS: DEVELOPMENT OF A PROGRAM THAT IMPLEMENT THE BLACK-SCHOLES OPTION PRICIG MODEL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May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Project to complete the course on derivatives and stochastic calculations: Development of a program that implement the Black-Scholes option pricig model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DEVELOPMENT OF A MONTE CARLO SIMULATION TO PRICE OPTIONS, USEFUL FOR COMPLEX OPTIONS WITH VARIOUS FEATURES AND PAYOFFS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June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Development of a Monte Carlo simulation to price options, useful for complex options with various features and payoffs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