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1A0" w:rsidRDefault="00D501A0" w:rsidP="00D50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posOffset>-61884</wp:posOffset>
                </wp:positionV>
                <wp:extent cx="4904509" cy="1253837"/>
                <wp:effectExtent l="0" t="0" r="0" b="381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4509" cy="1253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01A0" w:rsidRPr="00D501A0" w:rsidRDefault="00D501A0" w:rsidP="00D501A0">
                            <w:pPr>
                              <w:spacing w:before="100" w:beforeAutospacing="1" w:after="100" w:afterAutospacing="1" w:line="240" w:lineRule="auto"/>
                              <w:jc w:val="center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u w:val="single"/>
                                <w:lang w:eastAsia="fr-FR"/>
                                <w14:ligatures w14:val="none"/>
                              </w:rPr>
                            </w:pPr>
                            <w:r w:rsidRPr="00D501A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u w:val="single"/>
                                <w:lang w:eastAsia="fr-FR"/>
                                <w14:ligatures w14:val="none"/>
                              </w:rPr>
                              <w:t>COMPARAISON D’UN ISOLAT FRANÇAIS AVEC LA SOUCHE DE REFERENCE WUHAN-HU-1</w:t>
                            </w:r>
                          </w:p>
                          <w:p w:rsidR="00D501A0" w:rsidRDefault="00D501A0" w:rsidP="00D501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0;margin-top:-4.85pt;width:386.2pt;height:98.7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" filled="f" stroked="f" strokeweight="1pt">
                <v:textbox>
                  <w:txbxContent>
                    <w:p w:rsidR="00D501A0" w:rsidRPr="00D501A0" w:rsidRDefault="00D501A0" w:rsidP="00D501A0">
                      <w:pPr>
                        <w:spacing w:before="100" w:beforeAutospacing="1" w:after="100" w:afterAutospacing="1" w:line="240" w:lineRule="auto"/>
                        <w:jc w:val="center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u w:val="single"/>
                          <w:lang w:eastAsia="fr-FR"/>
                          <w14:ligatures w14:val="none"/>
                        </w:rPr>
                      </w:pPr>
                      <w:r w:rsidRPr="00D501A0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u w:val="single"/>
                          <w:lang w:eastAsia="fr-FR"/>
                          <w14:ligatures w14:val="none"/>
                        </w:rPr>
                        <w:t>COMPARAISON D’UN ISOLAT FRANÇAIS AVEC LA SOUCHE DE REFERENCE WUHAN-HU-1</w:t>
                      </w:r>
                    </w:p>
                    <w:p w:rsidR="00D501A0" w:rsidRDefault="00D501A0" w:rsidP="00D501A0">
                      <w:pPr>
                        <w:jc w:val="center"/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D501A0" w:rsidRDefault="00D501A0" w:rsidP="00D50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D501A0" w:rsidRDefault="00D501A0" w:rsidP="00D50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D501A0" w:rsidRDefault="00D501A0" w:rsidP="00D50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D501A0" w:rsidRPr="00D501A0" w:rsidRDefault="00D501A0" w:rsidP="00D50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D501A0" w:rsidRPr="00D501A0" w:rsidRDefault="00D501A0" w:rsidP="00D50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  <w:t>1. Introduction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bioinformatique joue un rôle central dans l’analyse et la compréhension des données biologiques issues du séquençage génomique. Depuis l’émergence du SARS-CoV-2 en 2019, la comparaison des génomes viraux est devenue un outil fondamental pour étudier l’évolution et la propagation du virus.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L’objectif de ce projet est de réaliser une analyse comparative entre :</w:t>
      </w:r>
    </w:p>
    <w:p w:rsidR="00D501A0" w:rsidRPr="00D501A0" w:rsidRDefault="00D501A0" w:rsidP="00D50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isolat français du SARS-CoV-2 (MT470152.1),</w:t>
      </w:r>
    </w:p>
    <w:p w:rsidR="00D501A0" w:rsidRPr="00D501A0" w:rsidRDefault="00D501A0" w:rsidP="00D50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séquence de référence Wuhan-Hu-1 (NC_045512.2).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Cette étude vise à identifier les variations nucléotidiques entre ces deux génomes et à quantifier leur similarité globale.</w:t>
      </w:r>
    </w:p>
    <w:p w:rsidR="00D501A0" w:rsidRPr="00D501A0" w:rsidRDefault="00D501A0" w:rsidP="00D50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D501A0" w:rsidRPr="00D501A0" w:rsidRDefault="00D501A0" w:rsidP="00D50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  <w:t>2. Données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séquences analysées sont publiques et ont été téléchargées depuis :</w:t>
      </w:r>
    </w:p>
    <w:p w:rsidR="00D501A0" w:rsidRPr="00D501A0" w:rsidRDefault="00D501A0" w:rsidP="00D50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NCBI GenBank</w:t>
      </w: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(référence Wuhan-Hu-1)</w:t>
      </w:r>
    </w:p>
    <w:p w:rsidR="00D501A0" w:rsidRPr="00D501A0" w:rsidRDefault="00D501A0" w:rsidP="00D50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European Nucleotide Archive (ENA / EMBL-EBI)</w:t>
      </w: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(isolat français MT470152.1)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deux séquences correspondent à des génomes complets du SARS-CoV-2 d’une longueur d’environ 29 903 nucléotides.</w:t>
      </w:r>
    </w:p>
    <w:p w:rsidR="00D501A0" w:rsidRPr="00D501A0" w:rsidRDefault="00D501A0" w:rsidP="00D50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D501A0" w:rsidRPr="00D501A0" w:rsidRDefault="00D501A0" w:rsidP="00D50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  <w:t>3. Méthodologie</w:t>
      </w:r>
      <w:bookmarkStart w:id="0" w:name="_GoBack"/>
      <w:bookmarkEnd w:id="0"/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L’analyse a été réalisée en Python et comprend les étapes suivantes :</w:t>
      </w:r>
    </w:p>
    <w:p w:rsidR="00D501A0" w:rsidRPr="00D501A0" w:rsidRDefault="00D501A0" w:rsidP="00D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Lecture des fichiers FASTA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fichiers FASTA ont été parsés afin d’extraire les séquences nucléotidiques complètes.</w:t>
      </w:r>
    </w:p>
    <w:p w:rsidR="00D501A0" w:rsidRPr="00D501A0" w:rsidRDefault="00D501A0" w:rsidP="00D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3.2 Analyse descriptive</w:t>
      </w:r>
    </w:p>
    <w:p w:rsidR="00D501A0" w:rsidRPr="00D501A0" w:rsidRDefault="00D501A0" w:rsidP="00D50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 de la longueur génomique</w:t>
      </w:r>
    </w:p>
    <w:p w:rsidR="00D501A0" w:rsidRPr="00D501A0" w:rsidRDefault="00D501A0" w:rsidP="00D50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Comptage des nucléotides (A, T, C, G)</w:t>
      </w:r>
    </w:p>
    <w:p w:rsidR="00D501A0" w:rsidRPr="00D501A0" w:rsidRDefault="00D501A0" w:rsidP="00D50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 des fréquences relatives</w:t>
      </w:r>
    </w:p>
    <w:p w:rsidR="00D501A0" w:rsidRPr="00D501A0" w:rsidRDefault="00D501A0" w:rsidP="00D50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 du pourcentage GC</w:t>
      </w:r>
    </w:p>
    <w:p w:rsidR="00D501A0" w:rsidRPr="00D501A0" w:rsidRDefault="00D501A0" w:rsidP="00D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Comparaison génomique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deux séquences ont été comparées position par position afin de :</w:t>
      </w:r>
    </w:p>
    <w:p w:rsidR="00D501A0" w:rsidRPr="00D501A0" w:rsidRDefault="00D501A0" w:rsidP="00D50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détecter les différences nucléotidiques,</w:t>
      </w:r>
    </w:p>
    <w:p w:rsidR="00D501A0" w:rsidRPr="00D501A0" w:rsidRDefault="00D501A0" w:rsidP="00D50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calculer le nombre total de substitutions,</w:t>
      </w:r>
    </w:p>
    <w:p w:rsidR="00D501A0" w:rsidRPr="00D501A0" w:rsidRDefault="00D501A0" w:rsidP="00D50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estimer la similarité globale,</w:t>
      </w:r>
    </w:p>
    <w:p w:rsidR="00D501A0" w:rsidRPr="00D501A0" w:rsidRDefault="00D501A0" w:rsidP="00D50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classifier les mutations en transitions ou transversions.</w:t>
      </w:r>
    </w:p>
    <w:p w:rsidR="00D501A0" w:rsidRPr="00D501A0" w:rsidRDefault="00D501A0" w:rsidP="00D50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D501A0" w:rsidRPr="00D501A0" w:rsidRDefault="00D501A0" w:rsidP="00D50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  <w:t>4. Résultats</w:t>
      </w:r>
    </w:p>
    <w:p w:rsidR="00D501A0" w:rsidRPr="00D501A0" w:rsidRDefault="00D501A0" w:rsidP="00D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4.1 Caractéristiques générales</w:t>
      </w:r>
    </w:p>
    <w:p w:rsidR="00D501A0" w:rsidRPr="00D501A0" w:rsidRDefault="00D501A0" w:rsidP="00D50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Longueur du génome : </w:t>
      </w:r>
      <w:r w:rsidRPr="00D50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29 903 bases</w:t>
      </w:r>
    </w:p>
    <w:p w:rsidR="00D501A0" w:rsidRPr="00D501A0" w:rsidRDefault="00D501A0" w:rsidP="00D50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GC content : </w:t>
      </w:r>
      <w:r w:rsidRPr="00D50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37,96 %</w:t>
      </w:r>
    </w:p>
    <w:p w:rsidR="00D501A0" w:rsidRPr="00D501A0" w:rsidRDefault="00D501A0" w:rsidP="00D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4.2 Similarité génomique</w:t>
      </w:r>
    </w:p>
    <w:p w:rsidR="00D501A0" w:rsidRPr="00D501A0" w:rsidRDefault="00D501A0" w:rsidP="00D50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Nombre total de différences : </w:t>
      </w:r>
      <w:r w:rsidRPr="00D50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6 substitutions</w:t>
      </w:r>
    </w:p>
    <w:p w:rsidR="00D501A0" w:rsidRPr="00D501A0" w:rsidRDefault="00D501A0" w:rsidP="00D50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Similarité globale : </w:t>
      </w:r>
      <w:r w:rsidRPr="00D50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99,9799 %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Cela correspond à une divergence d’environ 0,02 % entre les deux génomes.</w:t>
      </w:r>
    </w:p>
    <w:p w:rsidR="00D501A0" w:rsidRDefault="00D501A0" w:rsidP="00D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4.3 Mutations identifiées</w:t>
      </w:r>
    </w:p>
    <w:p w:rsidR="00D501A0" w:rsidRDefault="00D501A0" w:rsidP="00D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tbl>
      <w:tblPr>
        <w:tblStyle w:val="Grilledutableau"/>
        <w:tblW w:w="8813" w:type="dxa"/>
        <w:tblInd w:w="279" w:type="dxa"/>
        <w:tblLook w:val="04A0" w:firstRow="1" w:lastRow="0" w:firstColumn="1" w:lastColumn="0" w:noHBand="0" w:noVBand="1"/>
      </w:tblPr>
      <w:tblGrid>
        <w:gridCol w:w="1314"/>
        <w:gridCol w:w="3015"/>
        <w:gridCol w:w="3015"/>
        <w:gridCol w:w="1469"/>
      </w:tblGrid>
      <w:tr w:rsidR="00D501A0" w:rsidTr="00D501A0">
        <w:tc>
          <w:tcPr>
            <w:tcW w:w="1314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Position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Wuhan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France</w:t>
            </w:r>
          </w:p>
        </w:tc>
        <w:tc>
          <w:tcPr>
            <w:tcW w:w="1469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Type</w:t>
            </w:r>
          </w:p>
        </w:tc>
      </w:tr>
      <w:tr w:rsidR="00D501A0" w:rsidTr="00D501A0">
        <w:tc>
          <w:tcPr>
            <w:tcW w:w="1314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2480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</w:t>
            </w:r>
          </w:p>
        </w:tc>
        <w:tc>
          <w:tcPr>
            <w:tcW w:w="1469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Transition</w:t>
            </w:r>
          </w:p>
        </w:tc>
      </w:tr>
      <w:tr w:rsidR="00D501A0" w:rsidTr="00D501A0">
        <w:tc>
          <w:tcPr>
            <w:tcW w:w="1314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2558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</w:t>
            </w:r>
          </w:p>
        </w:tc>
        <w:tc>
          <w:tcPr>
            <w:tcW w:w="1469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Transition</w:t>
            </w:r>
          </w:p>
        </w:tc>
      </w:tr>
      <w:tr w:rsidR="00D501A0" w:rsidTr="00D501A0">
        <w:tc>
          <w:tcPr>
            <w:tcW w:w="1314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11083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</w:t>
            </w:r>
          </w:p>
        </w:tc>
        <w:tc>
          <w:tcPr>
            <w:tcW w:w="1469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Transversion</w:t>
            </w:r>
          </w:p>
        </w:tc>
      </w:tr>
      <w:tr w:rsidR="00D501A0" w:rsidTr="00D501A0">
        <w:tc>
          <w:tcPr>
            <w:tcW w:w="1314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14805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</w:t>
            </w:r>
          </w:p>
        </w:tc>
        <w:tc>
          <w:tcPr>
            <w:tcW w:w="1469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Transition</w:t>
            </w:r>
          </w:p>
        </w:tc>
      </w:tr>
      <w:tr w:rsidR="00D501A0" w:rsidTr="00D501A0">
        <w:tc>
          <w:tcPr>
            <w:tcW w:w="1314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24095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</w:t>
            </w:r>
          </w:p>
        </w:tc>
        <w:tc>
          <w:tcPr>
            <w:tcW w:w="1469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Transversion</w:t>
            </w:r>
          </w:p>
        </w:tc>
      </w:tr>
      <w:tr w:rsidR="00D501A0" w:rsidTr="00D501A0">
        <w:tc>
          <w:tcPr>
            <w:tcW w:w="1314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26144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</w:t>
            </w:r>
          </w:p>
        </w:tc>
        <w:tc>
          <w:tcPr>
            <w:tcW w:w="3015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</w:t>
            </w:r>
          </w:p>
        </w:tc>
        <w:tc>
          <w:tcPr>
            <w:tcW w:w="1469" w:type="dxa"/>
            <w:vAlign w:val="center"/>
          </w:tcPr>
          <w:p w:rsidR="00D501A0" w:rsidRPr="00D501A0" w:rsidRDefault="00D501A0" w:rsidP="00D501A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01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Transversion</w:t>
            </w:r>
          </w:p>
        </w:tc>
      </w:tr>
    </w:tbl>
    <w:p w:rsidR="00D501A0" w:rsidRPr="00D501A0" w:rsidRDefault="00D501A0" w:rsidP="00D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 observe :</w:t>
      </w:r>
    </w:p>
    <w:p w:rsidR="00D501A0" w:rsidRPr="00D501A0" w:rsidRDefault="00D501A0" w:rsidP="00D50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3 transitions (A↔G ou C↔T)</w:t>
      </w:r>
    </w:p>
    <w:p w:rsidR="00D501A0" w:rsidRPr="00D501A0" w:rsidRDefault="00D501A0" w:rsidP="00D50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3 transversions</w:t>
      </w:r>
    </w:p>
    <w:p w:rsidR="00D501A0" w:rsidRPr="00D501A0" w:rsidRDefault="00D501A0" w:rsidP="00D50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D501A0" w:rsidRPr="00D501A0" w:rsidRDefault="00D501A0" w:rsidP="00D50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  <w:t>5. Interprétation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différences observées reflètent l’évolution naturelle du virus au cours de sa propagation mondiale.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virus à ARN, comme le SARS-CoV-2, accumulent des mutations ponctuelles lors de leur réplication. Les six substitutions identifiées représentent une divergence très faible, cohérente avec la dynamique mutationnelle observée en 2020.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Cette analyse met en évidence :</w:t>
      </w:r>
    </w:p>
    <w:p w:rsidR="00D501A0" w:rsidRPr="00D501A0" w:rsidRDefault="00D501A0" w:rsidP="00D501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forte conservation globale du génome viral,</w:t>
      </w:r>
    </w:p>
    <w:p w:rsidR="00D501A0" w:rsidRPr="00D501A0" w:rsidRDefault="00D501A0" w:rsidP="00D501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l’existence de variations ponctuelles résultant de transmissions successives.</w:t>
      </w:r>
    </w:p>
    <w:p w:rsidR="00D501A0" w:rsidRPr="00D501A0" w:rsidRDefault="00D501A0" w:rsidP="00D50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D501A0" w:rsidRPr="00D501A0" w:rsidRDefault="00D501A0" w:rsidP="00D50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  <w:t>6. Apports du projet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 projet a permis de mobiliser et d’approfondir les compétences suivantes :</w:t>
      </w:r>
    </w:p>
    <w:p w:rsidR="00D501A0" w:rsidRPr="00D501A0" w:rsidRDefault="00D501A0" w:rsidP="00D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Manipulation de données biologiques réelles</w:t>
      </w:r>
    </w:p>
    <w:p w:rsidR="00D501A0" w:rsidRPr="00D501A0" w:rsidRDefault="00D501A0" w:rsidP="00D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Traitement de fichiers FASTA</w:t>
      </w:r>
    </w:p>
    <w:p w:rsidR="00D501A0" w:rsidRPr="00D501A0" w:rsidRDefault="00D501A0" w:rsidP="00D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Analyse comparative de séquences</w:t>
      </w:r>
    </w:p>
    <w:p w:rsidR="00D501A0" w:rsidRPr="00D501A0" w:rsidRDefault="00D501A0" w:rsidP="00D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Détection et classification de mutations</w:t>
      </w:r>
    </w:p>
    <w:p w:rsidR="00D501A0" w:rsidRPr="00D501A0" w:rsidRDefault="00D501A0" w:rsidP="00D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Programmation Python appliquée à la bioinformatique</w:t>
      </w:r>
    </w:p>
    <w:p w:rsidR="00D501A0" w:rsidRPr="00D501A0" w:rsidRDefault="00D501A0" w:rsidP="00D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Interprétation biologique de résultats quantitatifs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s’inscrit dans une démarche personnelle d’exploration du domaine de la bioinformatique, motivée par une curiosité scientifique et un intérêt croissant pour l’analyse des données biologiques.</w:t>
      </w:r>
    </w:p>
    <w:p w:rsidR="00D501A0" w:rsidRPr="00D501A0" w:rsidRDefault="00D501A0" w:rsidP="00D50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D501A0" w:rsidRPr="00D501A0" w:rsidRDefault="00D501A0" w:rsidP="00D50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  <w:t>7. Perspectives</w:t>
      </w:r>
    </w:p>
    <w:p w:rsidR="00D501A0" w:rsidRPr="00D501A0" w:rsidRDefault="00D501A0" w:rsidP="00D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 travail pourrait être prolongé par :</w:t>
      </w:r>
    </w:p>
    <w:p w:rsidR="00D501A0" w:rsidRPr="00D501A0" w:rsidRDefault="00D501A0" w:rsidP="00D50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analyse phylogénétique intégrant plusieurs isolats,</w:t>
      </w:r>
    </w:p>
    <w:p w:rsidR="00D501A0" w:rsidRPr="00D501A0" w:rsidRDefault="00D501A0" w:rsidP="00D50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l’étude des régions codantes affectées,</w:t>
      </w:r>
    </w:p>
    <w:p w:rsidR="00D501A0" w:rsidRPr="00D501A0" w:rsidRDefault="00D501A0" w:rsidP="00D50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traduction des séquences afin d’analyser l’impact des mutations au niveau protéique,</w:t>
      </w:r>
    </w:p>
    <w:p w:rsidR="00D501A0" w:rsidRPr="00D501A0" w:rsidRDefault="00D501A0" w:rsidP="00D50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501A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visualisation graphique des variations génomiques.</w:t>
      </w:r>
    </w:p>
    <w:p w:rsidR="004222DD" w:rsidRDefault="004222DD"/>
    <w:sectPr w:rsidR="004222DD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1AFD" w:rsidRDefault="00491AFD" w:rsidP="00D501A0">
      <w:pPr>
        <w:spacing w:after="0" w:line="240" w:lineRule="auto"/>
      </w:pPr>
      <w:r>
        <w:separator/>
      </w:r>
    </w:p>
  </w:endnote>
  <w:endnote w:type="continuationSeparator" w:id="0">
    <w:p w:rsidR="00491AFD" w:rsidRDefault="00491AFD" w:rsidP="00D50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76691632"/>
      <w:docPartObj>
        <w:docPartGallery w:val="Page Numbers (Bottom of Page)"/>
        <w:docPartUnique/>
      </w:docPartObj>
    </w:sdtPr>
    <w:sdtContent>
      <w:p w:rsidR="00D501A0" w:rsidRDefault="00D501A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D501A0" w:rsidRDefault="00D501A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1AFD" w:rsidRDefault="00491AFD" w:rsidP="00D501A0">
      <w:pPr>
        <w:spacing w:after="0" w:line="240" w:lineRule="auto"/>
      </w:pPr>
      <w:r>
        <w:separator/>
      </w:r>
    </w:p>
  </w:footnote>
  <w:footnote w:type="continuationSeparator" w:id="0">
    <w:p w:rsidR="00491AFD" w:rsidRDefault="00491AFD" w:rsidP="00D50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54085"/>
    <w:multiLevelType w:val="multilevel"/>
    <w:tmpl w:val="F05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523D1"/>
    <w:multiLevelType w:val="multilevel"/>
    <w:tmpl w:val="A72A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E7237"/>
    <w:multiLevelType w:val="multilevel"/>
    <w:tmpl w:val="F0D0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25152"/>
    <w:multiLevelType w:val="multilevel"/>
    <w:tmpl w:val="D54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C504A"/>
    <w:multiLevelType w:val="multilevel"/>
    <w:tmpl w:val="DA4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44C26"/>
    <w:multiLevelType w:val="multilevel"/>
    <w:tmpl w:val="2DB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C52B6"/>
    <w:multiLevelType w:val="multilevel"/>
    <w:tmpl w:val="C0D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959B0"/>
    <w:multiLevelType w:val="multilevel"/>
    <w:tmpl w:val="EE1C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36794"/>
    <w:multiLevelType w:val="multilevel"/>
    <w:tmpl w:val="ABD2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E3047"/>
    <w:multiLevelType w:val="multilevel"/>
    <w:tmpl w:val="959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8"/>
  </w:num>
  <w:num w:numId="6">
    <w:abstractNumId w:val="2"/>
  </w:num>
  <w:num w:numId="7">
    <w:abstractNumId w:val="6"/>
  </w:num>
  <w:num w:numId="8">
    <w:abstractNumId w:val="9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1A0"/>
    <w:rsid w:val="004222DD"/>
    <w:rsid w:val="00491AFD"/>
    <w:rsid w:val="00D5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1B178"/>
  <w15:chartTrackingRefBased/>
  <w15:docId w15:val="{5B49C31F-C116-43CB-907F-878E2A59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01A0"/>
  </w:style>
  <w:style w:type="paragraph" w:styleId="Titre1">
    <w:name w:val="heading 1"/>
    <w:basedOn w:val="Normal"/>
    <w:link w:val="Titre1Car"/>
    <w:uiPriority w:val="9"/>
    <w:qFormat/>
    <w:rsid w:val="00D501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D501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D501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01A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D501A0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D501A0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0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501A0"/>
    <w:rPr>
      <w:b/>
      <w:bCs/>
    </w:rPr>
  </w:style>
  <w:style w:type="table" w:styleId="Grilledutableau">
    <w:name w:val="Table Grid"/>
    <w:basedOn w:val="TableauNormal"/>
    <w:uiPriority w:val="39"/>
    <w:rsid w:val="00D50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501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01A0"/>
  </w:style>
  <w:style w:type="paragraph" w:styleId="Pieddepage">
    <w:name w:val="footer"/>
    <w:basedOn w:val="Normal"/>
    <w:link w:val="PieddepageCar"/>
    <w:uiPriority w:val="99"/>
    <w:unhideWhenUsed/>
    <w:rsid w:val="00D501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0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Rita ZOUZZOU</dc:creator>
  <cp:keywords/>
  <dc:description/>
  <cp:lastModifiedBy>Muriel Rita ZOUZZOU</cp:lastModifiedBy>
  <cp:revision>1</cp:revision>
  <dcterms:created xsi:type="dcterms:W3CDTF">2026-02-27T15:46:00Z</dcterms:created>
  <dcterms:modified xsi:type="dcterms:W3CDTF">2026-02-27T15:55:00Z</dcterms:modified>
</cp:coreProperties>
</file>