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Cadastro dos clientes ,  Visualizar Perfil ,  Segurança ,Efetuar login caso esteja cadastrado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Concordar com a política de privacidade, Clareza nas informações, Proteção de dados pessoais , Facilidade de uso.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/>
        <w:drawing>
          <wp:inline distB="114300" distT="114300" distL="114300" distR="114300">
            <wp:extent cx="5000625" cy="5886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6 - </w:t>
      </w: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7 -</w:t>
      </w:r>
      <w:r w:rsidDel="00000000" w:rsidR="00000000" w:rsidRPr="00000000">
        <w:rPr>
          <w:rtl w:val="0"/>
        </w:rPr>
        <w:t xml:space="preserve"> Citação direta curta :Segundo  Nsc total (2020) “</w:t>
      </w:r>
      <w:r w:rsidDel="00000000" w:rsidR="00000000" w:rsidRPr="00000000">
        <w:rPr>
          <w:rtl w:val="0"/>
        </w:rPr>
        <w:t xml:space="preserve">Dos 1.456 leitos de UTI existentes pelo Sistema Único de Saúde (SUS) em Santa Catarina, há 1.286 ocupados, sendo 634 por pacientes com confirmação ou suspeita de coronavírus “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Citação indireta : São 1.327 casos ativos a menos em comparação com o último boletim, e há 31 novos óbitos. Registrou-se uma alta de 1.306 na quantidade de confirmados. Já a estimativa de recuperados cresceu 2.602 (Engeplus,2020)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rtl w:val="0"/>
        </w:rPr>
        <w:t xml:space="preserve">o que são 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highlight w:val="white"/>
          <w:rtl w:val="0"/>
        </w:rPr>
        <w:t xml:space="preserve">Metodologias ágeis são conjuntos de práticas que proporcionam uma forma de gerenciar projetos mais adaptável às mudanças. Elas são estruturadas em ciclos curtos sendo que, a cada novo ciclo, é entregue um conjunto de funcionalidades pré-determinadas. Portanto, as metodologias ágeis têm como principal restrição o tempo e são caracterizadas por produzirem entregas rápidas e frequentes.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Para que servem: </w:t>
      </w:r>
      <w:r w:rsidDel="00000000" w:rsidR="00000000" w:rsidRPr="00000000">
        <w:rPr>
          <w:highlight w:val="white"/>
          <w:rtl w:val="0"/>
        </w:rPr>
        <w:t xml:space="preserve">A metodologia </w:t>
      </w:r>
      <w:hyperlink r:id="rId10">
        <w:r w:rsidDel="00000000" w:rsidR="00000000" w:rsidRPr="00000000">
          <w:rPr>
            <w:highlight w:val="white"/>
            <w:rtl w:val="0"/>
          </w:rPr>
          <w:t xml:space="preserve">ágil</w:t>
        </w:r>
      </w:hyperlink>
      <w:r w:rsidDel="00000000" w:rsidR="00000000" w:rsidRPr="00000000">
        <w:rPr>
          <w:highlight w:val="white"/>
          <w:rtl w:val="0"/>
        </w:rPr>
        <w:t xml:space="preserve"> é simples, flexível e possui ambiguidade suficiente para fazer alterações em um projeto independentemente do quão adiantado você esteja.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Explique Scrum :  metodologia Scrum é um framework simples para trabalhar com projetos complexos, criada pelos desenvolvedores Ken Schwaber e Jeff Sutherland.Ela faz parte das metodologias ágeis e é comumente utilizada por desenvolvedores de softwares e sistemas.Trata-se de um método de trabalho realizado a partir de pequenos ciclos de atividades dentro de um projeto.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9 - </w:t>
      </w:r>
      <w:r w:rsidDel="00000000" w:rsidR="00000000" w:rsidRPr="00000000">
        <w:rPr>
          <w:rtl w:val="0"/>
        </w:rPr>
        <w:t xml:space="preserve">Um cliente (torcedor) só poderá trocar um produto, caso venha com defeito de fábrica, ainda estando etiquetado e no prazo de 7 dias.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Um sócio torcedor só pode retirar o ingresso extra, caso tenha com sua mensalidade em dia.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Caso o sócio atrasar 3 mensalidades, automaticamente será bloqueado, e enviado uma carta de requisição, e será pago os atrasos, mais 50% de juros.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90.90909090909093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onday.com/blog/project-management/introduction-to-agile/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