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5C99"/>
          <w:sz w:val="28"/>
        </w:rPr>
        <w:t>PLANO DE AÇÃO EXTENSIONISTA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5C99"/>
          </w:tcPr>
          <w:p>
            <w:r>
              <w:rPr>
                <w:b/>
                <w:color w:val="FFFFFF"/>
                <w:sz w:val="20"/>
              </w:rPr>
              <w:t>Identificação do Projeto/Título</w:t>
            </w:r>
          </w:p>
        </w:tc>
        <w:tc>
          <w:tcPr>
            <w:tcW w:type="dxa" w:w="4703"/>
            <w:shd w:val="clear" w:color="auto" w:fill="BDD7EE"/>
          </w:tcPr>
          <w:p>
            <w:r>
              <w:rPr>
                <w:sz w:val="20"/>
              </w:rPr>
              <w:t>S4 Assessoria — Sistema Web de Gestão para Consultores e PMEs</w:t>
            </w:r>
          </w:p>
        </w:tc>
      </w:tr>
      <w:tr>
        <w:tc>
          <w:tcPr>
            <w:tcW w:type="dxa" w:w="2835"/>
            <w:shd w:val="clear" w:color="auto" w:fill="1F5C99"/>
          </w:tcPr>
          <w:p>
            <w:r>
              <w:rPr>
                <w:b/>
                <w:color w:val="FFFFFF"/>
                <w:sz w:val="20"/>
              </w:rPr>
              <w:t>Curso/Disciplina</w:t>
            </w:r>
          </w:p>
        </w:tc>
        <w:tc>
          <w:tcPr>
            <w:tcW w:type="dxa" w:w="4703"/>
            <w:shd w:val="clear" w:color="auto" w:fill="BDD7EE"/>
          </w:tcPr>
          <w:p>
            <w:r>
              <w:rPr>
                <w:sz w:val="20"/>
              </w:rPr>
              <w:t>Engenharia de Software / Práticas Extensionistas Integradoras VI</w:t>
            </w:r>
          </w:p>
        </w:tc>
      </w:tr>
      <w:tr>
        <w:tc>
          <w:tcPr>
            <w:tcW w:type="dxa" w:w="2835"/>
            <w:shd w:val="clear" w:color="auto" w:fill="1F5C99"/>
          </w:tcPr>
          <w:p>
            <w:r>
              <w:rPr>
                <w:b/>
                <w:color w:val="FFFFFF"/>
                <w:sz w:val="20"/>
              </w:rPr>
              <w:t>Docente responsável</w:t>
            </w:r>
          </w:p>
        </w:tc>
        <w:tc>
          <w:tcPr>
            <w:tcW w:type="dxa" w:w="4703"/>
            <w:shd w:val="clear" w:color="auto" w:fill="BDD7EE"/>
          </w:tcPr>
          <w:p>
            <w:r>
              <w:rPr>
                <w:sz w:val="20"/>
              </w:rPr>
              <w:t>Christiane Martins de Vasconcellos Silveira</w:t>
            </w:r>
          </w:p>
        </w:tc>
      </w:tr>
      <w:tr>
        <w:tc>
          <w:tcPr>
            <w:tcW w:type="dxa" w:w="2835"/>
            <w:shd w:val="clear" w:color="auto" w:fill="1F5C99"/>
          </w:tcPr>
          <w:p>
            <w:r>
              <w:rPr>
                <w:b/>
                <w:color w:val="FFFFFF"/>
                <w:sz w:val="20"/>
              </w:rPr>
              <w:t>Semestre</w:t>
            </w:r>
          </w:p>
        </w:tc>
        <w:tc>
          <w:tcPr>
            <w:tcW w:type="dxa" w:w="4703"/>
            <w:shd w:val="clear" w:color="auto" w:fill="BDD7EE"/>
          </w:tcPr>
          <w:p>
            <w:r>
              <w:rPr>
                <w:sz w:val="20"/>
              </w:rPr>
              <w:t>2026.1</w:t>
            </w:r>
          </w:p>
        </w:tc>
      </w:tr>
      <w:tr>
        <w:tc>
          <w:tcPr>
            <w:tcW w:type="dxa" w:w="2835"/>
            <w:shd w:val="clear" w:color="auto" w:fill="1F5C99"/>
          </w:tcPr>
          <w:p>
            <w:r>
              <w:rPr>
                <w:b/>
                <w:color w:val="FFFFFF"/>
                <w:sz w:val="20"/>
              </w:rPr>
              <w:t>Local de atuação</w:t>
            </w:r>
          </w:p>
        </w:tc>
        <w:tc>
          <w:tcPr>
            <w:tcW w:type="dxa" w:w="4703"/>
            <w:shd w:val="clear" w:color="auto" w:fill="BDD7EE"/>
          </w:tcPr>
          <w:p>
            <w:r>
              <w:rPr>
                <w:sz w:val="20"/>
              </w:rPr>
              <w:t>Maricá/RJ (atendimento via plataforma web em s4assessoria.com.br)</w:t>
            </w:r>
          </w:p>
        </w:tc>
      </w:tr>
    </w:tbl>
    <w:p/>
    <w:p>
      <w:pPr>
        <w:spacing w:before="120" w:after="40"/>
      </w:pPr>
      <w:r>
        <w:rPr>
          <w:b/>
          <w:color w:val="1F5C99"/>
          <w:sz w:val="22"/>
        </w:rPr>
        <w:t>Diagnóstico Territorial</w:t>
      </w:r>
    </w:p>
    <w:p>
      <w:pPr>
        <w:spacing w:before="0" w:after="120"/>
      </w:pPr>
      <w:r>
        <w:rPr>
          <w:sz w:val="20"/>
        </w:rPr>
        <w:t>Maricá é um município em rápida expansão econômica na Região Metropolitana do Rio de Janeiro, impulsionado pela indústria do petróleo, pelo crescimento do setor de serviços e por um ecossistema empreendedor emergente. O município concentra um número crescente de microempreendedores individuais (MEIs), consultores, prestadores de serviços autônomos e pequenas empresas (PMEs) que atuam em áreas como consultoria, assessoria administrativa, serviços de TI, marketing e design. Apesar do crescimento econômico local, esses empreendedores carecem de ferramentas de gestão adequadas à sua escala e orçamento. Sistemas de ERP tradicionais são caros e complexos para esse perfil, enquanto ferramentas genéricas como planilhas Excel, Trello ou Notion não foram projetadas para as necessidades específicas de quem vende serviços profissionais. O resultado é uma gestão fragmentada, propensa a erros, perda de prazos e subprecificação dos serviços prestados.</w:t>
      </w:r>
    </w:p>
    <w:p>
      <w:pPr>
        <w:spacing w:before="120" w:after="40"/>
      </w:pPr>
      <w:r>
        <w:rPr>
          <w:b/>
          <w:color w:val="1F5C99"/>
          <w:sz w:val="22"/>
        </w:rPr>
        <w:t>Caracterização do Público e Problema Identificado</w:t>
      </w:r>
    </w:p>
    <w:p>
      <w:pPr>
        <w:spacing w:before="0" w:after="120"/>
      </w:pPr>
      <w:r>
        <w:rPr>
          <w:sz w:val="20"/>
        </w:rPr>
        <w:t>Público-alvo: Consultores independentes, microempreendedores individuais e pequenas empresas de serviços de Maricá/RJ que não dispõem de sistemas de gestão adequados à sua realidade operacional e financeira.</w:t>
        <w:br/>
        <w:br/>
        <w:t>Problema identificado: A gestão fragmentada de clientes e projetos — distribuída entre planilhas, blocos de notas e aplicativos de mensagens — gera quatro problemas centrais e recorrentes: (1) ausência de visibilidade centralizada dos projetos e clientes; (2) dificuldade na precificação justa dos serviços, levando a cobranças abaixo do valor real; (3) falta de acompanhamento visual de indicadores de desempenho do negócio; e (4) perda de prazos por ausência de alertas automáticos. Esses problemas impactam diretamente a sustentabilidade financeira e o crescimento dessas empresas.</w:t>
      </w:r>
    </w:p>
    <w:p>
      <w:pPr>
        <w:spacing w:before="120" w:after="40"/>
      </w:pPr>
      <w:r>
        <w:rPr>
          <w:b/>
          <w:color w:val="1F5C99"/>
          <w:sz w:val="22"/>
        </w:rPr>
        <w:t>Dados Utilizados e Justificativa</w:t>
      </w:r>
    </w:p>
    <w:p>
      <w:pPr>
        <w:pStyle w:val="ListBullet"/>
        <w:spacing w:before="0" w:after="40"/>
      </w:pPr>
      <w:r>
        <w:rPr>
          <w:sz w:val="20"/>
        </w:rPr>
        <w:t>O SEBRAE aponta que mais de 70% das pequenas empresas brasileiras não utilizam sistemas informatizados de gestão, recorrendo a ferramentas manuais ou genéricas.</w:t>
      </w:r>
    </w:p>
    <w:p>
      <w:pPr>
        <w:pStyle w:val="ListBullet"/>
        <w:spacing w:before="0" w:after="40"/>
      </w:pPr>
      <w:r>
        <w:rPr>
          <w:sz w:val="20"/>
        </w:rPr>
        <w:t>A subprecificação de serviços é identificada como uma das principais causas de fechamento de MEIs nos primeiros dois anos de atividade.</w:t>
      </w:r>
    </w:p>
    <w:p>
      <w:pPr>
        <w:pStyle w:val="ListBullet"/>
        <w:spacing w:before="0" w:after="40"/>
      </w:pPr>
      <w:r>
        <w:rPr>
          <w:sz w:val="20"/>
        </w:rPr>
        <w:t>O projeto foi desenvolvido a partir da observação direta das dificuldades de consultores locais, consolidando quatro problemas centrais: falta de controle de clientes, precificação inadequada, ausência de indicadores e perda de prazos.</w:t>
      </w:r>
    </w:p>
    <w:p>
      <w:pPr>
        <w:pStyle w:val="ListBullet"/>
        <w:spacing w:before="0" w:after="40"/>
      </w:pPr>
      <w:r>
        <w:rPr>
          <w:sz w:val="20"/>
        </w:rPr>
        <w:t>A escolha por infraestrutura 100% gratuita (Oracle Cloud Free Tier + Vercel + Resend) elimina a barreira financeira de adoção, viabilizando acesso universal ao público-alvo.</w:t>
      </w:r>
    </w:p>
    <w:p>
      <w:pPr>
        <w:spacing w:before="120" w:after="40"/>
      </w:pPr>
      <w:r>
        <w:rPr>
          <w:b/>
          <w:color w:val="1F5C99"/>
          <w:sz w:val="22"/>
        </w:rPr>
        <w:t>Objetivo Geral</w:t>
      </w:r>
    </w:p>
    <w:p>
      <w:pPr>
        <w:spacing w:before="0" w:after="120"/>
      </w:pPr>
      <w:r>
        <w:rPr>
          <w:sz w:val="20"/>
        </w:rPr>
        <w:t>Desenvolver e disponibilizar em ambiente de produção uma plataforma web gratuita de gestão para consultores e PMEs de Maricá/RJ, centralizando o controle de clientes, projetos, precificação e indicadores de negócio com segurança, usabilidade e custo operacional zero.</w:t>
      </w:r>
    </w:p>
    <w:p>
      <w:pPr>
        <w:spacing w:before="120" w:after="40"/>
      </w:pPr>
      <w:r>
        <w:rPr>
          <w:b/>
          <w:color w:val="1F5C99"/>
          <w:sz w:val="22"/>
        </w:rPr>
        <w:t>Objetivos Específicos</w:t>
      </w:r>
    </w:p>
    <w:p>
      <w:pPr>
        <w:pStyle w:val="ListBullet"/>
        <w:spacing w:before="0" w:after="40"/>
      </w:pPr>
      <w:r>
        <w:rPr>
          <w:sz w:val="20"/>
        </w:rPr>
        <w:t>Implementar módulo de gestão de clientes com cadastro completo (nome, email, telefone, empresa, observações) e busca por nome.</w:t>
      </w:r>
    </w:p>
    <w:p>
      <w:pPr>
        <w:pStyle w:val="ListBullet"/>
        <w:spacing w:before="0" w:after="40"/>
      </w:pPr>
      <w:r>
        <w:rPr>
          <w:sz w:val="20"/>
        </w:rPr>
        <w:t>Desenvolver módulo de gestão de projetos com status, valores, prazos, checklist de etapas e exportação em PDF.</w:t>
      </w:r>
    </w:p>
    <w:p>
      <w:pPr>
        <w:pStyle w:val="ListBullet"/>
        <w:spacing w:before="0" w:after="40"/>
      </w:pPr>
      <w:r>
        <w:rPr>
          <w:sz w:val="20"/>
        </w:rPr>
        <w:t>Criar calculadora de precificação com fator de complexidade ajustável e parâmetros personalizáveis por usuário.</w:t>
      </w:r>
    </w:p>
    <w:p>
      <w:pPr>
        <w:pStyle w:val="ListBullet"/>
        <w:spacing w:before="0" w:after="40"/>
      </w:pPr>
      <w:r>
        <w:rPr>
          <w:sz w:val="20"/>
        </w:rPr>
        <w:t>Construir dashboard com gráficos e métricas em tempo real (projetos por status, por cliente, evolução mensal).</w:t>
      </w:r>
    </w:p>
    <w:p>
      <w:pPr>
        <w:pStyle w:val="ListBullet"/>
        <w:spacing w:before="0" w:after="40"/>
      </w:pPr>
      <w:r>
        <w:rPr>
          <w:sz w:val="20"/>
        </w:rPr>
        <w:t>Implementar sistema de alertas automáticos por email para projetos com prazo em até 3 dias.</w:t>
      </w:r>
    </w:p>
    <w:p>
      <w:pPr>
        <w:pStyle w:val="ListBullet"/>
        <w:spacing w:before="0" w:after="40"/>
      </w:pPr>
      <w:r>
        <w:rPr>
          <w:sz w:val="20"/>
        </w:rPr>
        <w:t>Garantir segurança da informação com hash Argon2id + Pepper, rate limiting, recuperação de senha por HMAC e headers HTTP de segurança.</w:t>
      </w:r>
    </w:p>
    <w:p>
      <w:pPr>
        <w:pStyle w:val="ListBullet"/>
        <w:spacing w:before="0" w:after="40"/>
      </w:pPr>
      <w:r>
        <w:rPr>
          <w:sz w:val="20"/>
        </w:rPr>
        <w:t>Realizar testes unitários com TDD (Vitest) e testes de comportamento com BDD (Playwright/Gherkin) cobrindo os fluxos críticos do sistema.</w:t>
      </w:r>
    </w:p>
    <w:p>
      <w:pPr>
        <w:pStyle w:val="ListBullet"/>
        <w:spacing w:before="0" w:after="40"/>
      </w:pPr>
      <w:r>
        <w:rPr>
          <w:sz w:val="20"/>
        </w:rPr>
        <w:t>Publicar a solução em produção acessível via internet no domínio s4assessoria.com.br.</w:t>
      </w:r>
    </w:p>
    <w:p/>
    <w:p>
      <w:pPr>
        <w:jc w:val="center"/>
      </w:pPr>
      <w:r>
        <w:rPr>
          <w:b/>
          <w:color w:val="FFFFFF"/>
          <w:sz w:val="22"/>
        </w:rPr>
        <w:t>Planejamento das 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Planejamento das Atividades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5C99"/>
          </w:tcPr>
          <w:p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1881"/>
            <w:shd w:val="clear" w:color="auto" w:fill="1F5C99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881"/>
            <w:shd w:val="clear" w:color="auto" w:fill="1F5C99"/>
          </w:tcPr>
          <w:p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type="dxa" w:w="1881"/>
            <w:shd w:val="clear" w:color="auto" w:fill="1F5C99"/>
          </w:tcPr>
          <w:p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1881"/>
            <w:shd w:val="clear" w:color="auto" w:fill="1F5C99"/>
          </w:tcPr>
          <w:p>
            <w:r>
              <w:rPr>
                <w:b/>
                <w:color w:val="FFFFFF"/>
                <w:sz w:val="18"/>
              </w:rPr>
              <w:t>Indicador de Resultado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Levantamento de requisitos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Mapeamento das necessidades de consultores e PMEs de Maricá; definição das funcionalidades prioritárias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Mar/2026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Equipe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Documento de requisitos validado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Módulo de clientes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Implementação de CRUD de clientes com validação Zod, busca e proteção contra exclusão indevida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Mar/2026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Equipe dev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Módulo funcional e testado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Módulo de projetos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Implementação de projetos com checklist de etapas, filtros, exportação em PDF e alertas de prazo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Abr/2026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Equipe dev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Módulo funcional com testes E2E passando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Calculadora de precificação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Fórmula com fatores de complexidade (1,0× a 2,2×) e parâmetros salvos por usuário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Abr/2026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Equipe dev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Calculadora funcional; parâmetros persistidos por conta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Dashboard e métricas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Gráficos de linha, pizza e barras com dados reais; cards de resumo do negócio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Mai/2026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Equipe dev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Dashboard com 3 tipos de gráfico e 4 cards de KPI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Segurança e autenticação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Argon2id + Pepper, rate limiting, HMAC para recuperação de senha, headers HTTP e controle de aprovação de contas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Mai/2026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Equipe dev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Zero vulnerabilidades críticas; cobertura de todos os vetores mapeados</w:t>
            </w:r>
          </w:p>
        </w:tc>
      </w:tr>
      <w:tr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Testes e qualidade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Suíte de testes unitários (Vitest) e cenários BDD com Playwright/Gherkin para os fluxos de negócio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Jun/2026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Equipe dev/QA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sz w:val="17"/>
              </w:rPr>
              <w:t>Mínimo de 28 testes unitários aprovados; cenários BDD passando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Deploy e publicação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CI/CD via Vercel com deploy automático no push para main; domínio próprio configurado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Jun/2026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Equipe DevOps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7"/>
              </w:rPr>
              <w:t>Sistema acessível em s4assessoria.com.br em produção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9406"/>
            <w:gridSpan w:val="2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Recursos Necessários</w:t>
            </w:r>
          </w:p>
        </w:tc>
      </w:tr>
      <w:tr>
        <w:tc>
          <w:tcPr>
            <w:tcW w:type="dxa" w:w="4703"/>
            <w:shd w:val="clear" w:color="auto" w:fill="1F5C99"/>
          </w:tcPr>
          <w:p>
            <w:r>
              <w:rPr>
                <w:b/>
                <w:color w:val="FFFFFF"/>
                <w:sz w:val="20"/>
              </w:rPr>
              <w:t>Humanos</w:t>
            </w:r>
          </w:p>
        </w:tc>
        <w:tc>
          <w:tcPr>
            <w:tcW w:type="dxa" w:w="4703"/>
            <w:shd w:val="clear" w:color="auto" w:fill="BDD7EE"/>
          </w:tcPr>
          <w:p>
            <w:r>
              <w:rPr>
                <w:sz w:val="20"/>
              </w:rPr>
              <w:t>Equipe de desenvolvimento (estudantes de Engenharia de Software da FUSVE); docente orientadora; consultores e PMEs de Maricá para validação das funcionalidades.</w:t>
            </w:r>
          </w:p>
        </w:tc>
      </w:tr>
      <w:tr>
        <w:tc>
          <w:tcPr>
            <w:tcW w:type="dxa" w:w="4703"/>
            <w:shd w:val="clear" w:color="auto" w:fill="1F5C99"/>
          </w:tcPr>
          <w:p>
            <w:r>
              <w:rPr>
                <w:b/>
                <w:color w:val="FFFFFF"/>
                <w:sz w:val="20"/>
              </w:rPr>
              <w:t>Materiais</w:t>
            </w:r>
          </w:p>
        </w:tc>
        <w:tc>
          <w:tcPr>
            <w:tcW w:type="dxa" w:w="4703"/>
            <w:shd w:val="clear" w:color="auto" w:fill="BDD7EE"/>
          </w:tcPr>
          <w:p>
            <w:r>
              <w:rPr>
                <w:sz w:val="20"/>
              </w:rPr>
              <w:t>Computadores com acesso à internet; contas gratuitas nas plataformas: Vercel (hospedagem), Oracle Cloud Free Tier (banco de dados), Resend (email transacional), Sentry (monitoramento); domínio web s4assessoria.com.br.</w:t>
            </w:r>
          </w:p>
        </w:tc>
      </w:tr>
      <w:tr>
        <w:tc>
          <w:tcPr>
            <w:tcW w:type="dxa" w:w="4703"/>
            <w:shd w:val="clear" w:color="auto" w:fill="1F5C99"/>
          </w:tcPr>
          <w:p>
            <w:r>
              <w:rPr>
                <w:b/>
                <w:color w:val="FFFFFF"/>
                <w:sz w:val="20"/>
              </w:rPr>
              <w:t>Institucionais</w:t>
            </w:r>
          </w:p>
        </w:tc>
        <w:tc>
          <w:tcPr>
            <w:tcW w:type="dxa" w:w="4703"/>
            <w:shd w:val="clear" w:color="auto" w:fill="BDD7EE"/>
          </w:tcPr>
          <w:p>
            <w:r>
              <w:rPr>
                <w:sz w:val="20"/>
              </w:rPr>
              <w:t>Laboratórios de informática da FUSVE para desenvolvimento e testes; suporte institucional para validação do projeto junto à comunidade externa de Maricá/RJ.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Riscos e Estratégias de Mitigação</w:t>
            </w:r>
          </w:p>
        </w:tc>
      </w:tr>
      <w:tr>
        <w:tc>
          <w:tcPr>
            <w:tcW w:type="dxa" w:w="9406"/>
            <w:shd w:val="clear" w:color="auto" w:fill="BDD7EE"/>
          </w:tcPr>
          <w:p>
            <w:r>
              <w:rPr>
                <w:sz w:val="20"/>
              </w:rPr>
              <w:t>Indisponibilidade do Oracle Cloud Free Tier → Backup periódico do schema SQL; monitoramento contínuo via Sentry.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r>
              <w:rPr>
                <w:sz w:val="20"/>
              </w:rPr>
              <w:t>Falha no serviço de email (Resend) → Arquitetura isolada por microserviço: falha no email não interrompe o sistema principal.</w:t>
            </w:r>
          </w:p>
        </w:tc>
      </w:tr>
      <w:tr>
        <w:tc>
          <w:tcPr>
            <w:tcW w:type="dxa" w:w="9406"/>
            <w:shd w:val="clear" w:color="auto" w:fill="BDD7EE"/>
          </w:tcPr>
          <w:p>
            <w:r>
              <w:rPr>
                <w:sz w:val="20"/>
              </w:rPr>
              <w:t>Limite de uso das plataformas gratuitas → Monitoramento dos limites (3.000 emails/mês, 5.000 erros Sentry/mês); escalonamento para planos pagos conforme crescimento.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r>
              <w:rPr>
                <w:sz w:val="20"/>
              </w:rPr>
              <w:t>Baixa adoção pelo público-alvo de Maricá → Interface sem curva de aprendizado; acesso sem instalação; custo zero para o usuário final.</w:t>
            </w:r>
          </w:p>
        </w:tc>
      </w:tr>
      <w:tr>
        <w:tc>
          <w:tcPr>
            <w:tcW w:type="dxa" w:w="9406"/>
            <w:shd w:val="clear" w:color="auto" w:fill="BDD7EE"/>
          </w:tcPr>
          <w:p>
            <w:r>
              <w:rPr>
                <w:sz w:val="20"/>
              </w:rPr>
              <w:t>Vulnerabilidades de segurança pós-deploy → Monitoramento em tempo real com Sentry; processo de patch via CI/CD automático na Vercel.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Possíveis Dificuldades e Plano Alternativo</w:t>
            </w:r>
          </w:p>
        </w:tc>
      </w:tr>
      <w:tr>
        <w:tc>
          <w:tcPr>
            <w:tcW w:type="dxa" w:w="9406"/>
            <w:shd w:val="clear" w:color="auto" w:fill="BDD7EE"/>
          </w:tcPr>
          <w:p>
            <w:r>
              <w:rPr>
                <w:sz w:val="20"/>
              </w:rPr>
              <w:t>Limitações do plano gratuito das plataformas em caso de crescimento acelerado → Migração para planos pagos da Vercel e Oracle ou adoção de infraestrutura alternativa (ex.: Railway, Supabase).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r>
              <w:rPr>
                <w:sz w:val="20"/>
              </w:rPr>
              <w:t>Resistência de parte do público-alvo de Maricá à adoção de novas ferramentas digitais → Produção de material de onboarding (tutoriais e guia rápido) e suporte direto via email para os primeiros usuários.</w:t>
            </w:r>
          </w:p>
        </w:tc>
      </w:tr>
      <w:tr>
        <w:tc>
          <w:tcPr>
            <w:tcW w:type="dxa" w:w="9406"/>
            <w:shd w:val="clear" w:color="auto" w:fill="BDD7EE"/>
          </w:tcPr>
          <w:p>
            <w:r>
              <w:rPr>
                <w:sz w:val="20"/>
              </w:rPr>
              <w:t>Conflitos de agenda entre membros da equipe ao longo do semestre → Adoção de metodologia ágil com sprints semanais e repositório Git compartilhado para trabalho assíncrono.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Resultados Esperados</w:t>
            </w:r>
          </w:p>
        </w:tc>
      </w:tr>
      <w:tr>
        <w:tc>
          <w:tcPr>
            <w:tcW w:type="dxa" w:w="9406"/>
            <w:shd w:val="clear" w:color="auto" w:fill="BDD7EE"/>
          </w:tcPr>
          <w:p>
            <w:r>
              <w:rPr>
                <w:b/>
                <w:sz w:val="20"/>
              </w:rPr>
              <w:t>Quantitativos</w:t>
              <w:br/>
            </w:r>
            <w:r>
              <w:rPr>
                <w:sz w:val="20"/>
              </w:rPr>
              <w:t>• 100% das funcionalidades planejadas implementadas e em produção</w:t>
              <w:br/>
              <w:t>• Mínimo de 28 testes unitários aprovados (cobertura dos módulos críticos)</w:t>
              <w:br/>
              <w:t>• Zero vulnerabilidades de segurança críticas (OWASP Top 10)</w:t>
              <w:br/>
              <w:t>• Pelo menos 5 usuários externos ativos ao final do semestre 2026.1</w:t>
              <w:br/>
              <w:t>• Custo operacional de R$ 0,00/mês mantido durante o período do projeto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r>
              <w:rPr>
                <w:b/>
                <w:sz w:val="20"/>
              </w:rPr>
              <w:t>Qualitativos</w:t>
              <w:br/>
            </w:r>
            <w:r>
              <w:rPr>
                <w:sz w:val="20"/>
              </w:rPr>
              <w:t>• Melhoria na organização e produtividade de consultores e PMEs de Maricá atendidos pela plataforma</w:t>
              <w:br/>
              <w:t>• Redução da subprecificação de projetos por meio da calculadora com fator de complexidade</w:t>
              <w:br/>
              <w:t>• Aumento da visibilidade do negócio para os usuários via dashboard com indicadores reais</w:t>
              <w:br/>
              <w:t>• Desenvolvimento de competências técnicas nos estudantes: Clean Code, TDD, BDD, segurança web, arquitetura serverless</w:t>
              <w:br/>
              <w:t>• Contribuição para a comunidade local com uma ferramenta digital gratuita, segura e de uso imediato</w:t>
            </w:r>
          </w:p>
        </w:tc>
      </w:tr>
    </w:tbl>
    <w:p/>
    <w:p>
      <w:r>
        <w:rPr>
          <w:b/>
          <w:sz w:val="20"/>
        </w:rPr>
        <w:t>Assinaturas:</w:t>
      </w:r>
    </w:p>
    <w:p/>
    <w:p>
      <w:r>
        <w:t>__________________________________________________          __________________________________________________</w:t>
      </w:r>
    </w:p>
    <w:p>
      <w:pPr>
        <w:spacing w:before="40"/>
      </w:pPr>
      <w:r>
        <w:t>Discente(s)                                                           Docente responsável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