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Borders>
          <w:top w:color="539fe1" w:space="0" w:sz="4" w:val="single"/>
          <w:bottom w:color="539fe1" w:space="0" w:sz="4" w:val="single"/>
        </w:tblBorders>
        <w:tblLayout w:type="fixed"/>
        <w:tblLook w:val="04A0"/>
      </w:tblPr>
      <w:tblGrid>
        <w:gridCol w:w="1668"/>
        <w:gridCol w:w="6976"/>
        <w:tblGridChange w:id="0">
          <w:tblGrid>
            <w:gridCol w:w="1668"/>
            <w:gridCol w:w="697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4975c5" w:space="0" w:sz="4" w:val="single"/>
              <w:bottom w:color="4975c5" w:space="0" w:sz="4" w:val="single"/>
              <w:right w:color="4975c5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1"/>
              <w:spacing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Disciplina:</w:t>
            </w:r>
          </w:p>
        </w:tc>
        <w:tc>
          <w:tcPr>
            <w:tcBorders>
              <w:top w:color="4975c5" w:space="0" w:sz="4" w:val="single"/>
              <w:left w:color="4975c5" w:space="0" w:sz="4" w:val="single"/>
              <w:bottom w:color="4975c5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spacing w:line="276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Lógica Computacional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4975c5" w:space="0" w:sz="4" w:val="single"/>
              <w:bottom w:color="4975c5" w:space="0" w:sz="4" w:val="single"/>
              <w:right w:color="4975c5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spacing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Aluno:</w:t>
            </w:r>
          </w:p>
        </w:tc>
        <w:tc>
          <w:tcPr>
            <w:tcBorders>
              <w:top w:color="4975c5" w:space="0" w:sz="4" w:val="single"/>
              <w:left w:color="4975c5" w:space="0" w:sz="4" w:val="single"/>
              <w:bottom w:color="4975c5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Murilo Pereira Candido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Desafio</w:t>
      </w:r>
    </w:p>
    <w:p w:rsidR="00000000" w:rsidDel="00000000" w:rsidP="00000000" w:rsidRDefault="00000000" w:rsidRPr="00000000" w14:paraId="00000007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participar, siga estes passos: </w:t>
      </w:r>
    </w:p>
    <w:p w:rsidR="00000000" w:rsidDel="00000000" w:rsidP="00000000" w:rsidRDefault="00000000" w:rsidRPr="00000000" w14:paraId="00000009">
      <w:pPr>
        <w:keepNext w:val="1"/>
        <w:keepLines w:val="1"/>
        <w:widowControl w:val="1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Ler o artigo “Lógica computacional” em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https://www.dcc.fc.up.pt/~nam/resources/publica/nlc.pdf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 Acesso 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01 abr. 2026.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 </w:t>
      </w:r>
    </w:p>
    <w:p w:rsidR="00000000" w:rsidDel="00000000" w:rsidP="00000000" w:rsidRDefault="00000000" w:rsidRPr="00000000" w14:paraId="0000000A">
      <w:pPr>
        <w:keepNext w:val="1"/>
        <w:keepLines w:val="1"/>
        <w:widowControl w:val="1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os conectivos lógicos operam em diferentes contextos lógicos para formar tautologias? Dê exemplos de tautologias usando conectivos lógicos básicos. </w:t>
      </w:r>
    </w:p>
    <w:p w:rsidR="00000000" w:rsidDel="00000000" w:rsidP="00000000" w:rsidRDefault="00000000" w:rsidRPr="00000000" w14:paraId="0000000B">
      <w:pPr>
        <w:keepNext w:val="1"/>
        <w:keepLines w:val="1"/>
        <w:widowControl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a diferença entre satisfazibilidade e validade de uma proposição lógica. Você pode fornecer exemplos de proposições que são satisfazíveis, mas não válidas? </w:t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numPr>
          <w:ilvl w:val="0"/>
          <w:numId w:val="4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são alguns dos métodos de dedução mais eficazes na lógica proposicional e como eles contribuem para entender a validade de argumentos lógicos? </w:t>
      </w:r>
    </w:p>
    <w:p w:rsidR="00000000" w:rsidDel="00000000" w:rsidP="00000000" w:rsidRDefault="00000000" w:rsidRPr="00000000" w14:paraId="0000000D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Como os conectivos lógicos operam em diferentes contextos lógicos para formar</w:t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tautologias? Dê exemplos de tautologias usando conectivos lógicos básicos.</w:t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conectivos lógicos (como a conjunção ∧, disjunção ∨, negação ¬ e implicação →) operam</w:t>
      </w:r>
    </w:p>
    <w:p w:rsidR="00000000" w:rsidDel="00000000" w:rsidP="00000000" w:rsidRDefault="00000000" w:rsidRPr="00000000" w14:paraId="00000011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através de funções de verdade que combinam ou modificam proposições simples. Quando</w:t>
      </w:r>
    </w:p>
    <w:p w:rsidR="00000000" w:rsidDel="00000000" w:rsidP="00000000" w:rsidRDefault="00000000" w:rsidRPr="00000000" w14:paraId="00000012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estes conectivos são organizados de tal forma que o resultado final da expressão é sempre</w:t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verdadeiro, independentemente dos valores de verdade (Verdadeiro ou Falso) atribuídos às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proposições individuais, forma-se uma tautologia.</w:t>
      </w:r>
    </w:p>
    <w:p w:rsidR="00000000" w:rsidDel="00000000" w:rsidP="00000000" w:rsidRDefault="00000000" w:rsidRPr="00000000" w14:paraId="00000015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Exemplo 1 (Princípio do Terceiro Excluído): p ∨ ¬p (Lê-se "p ou não p"). Quer p seja</w:t>
      </w:r>
    </w:p>
    <w:p w:rsidR="00000000" w:rsidDel="00000000" w:rsidP="00000000" w:rsidRDefault="00000000" w:rsidRPr="00000000" w14:paraId="00000016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verdadeiro ou falso, a disjunção garante que a expressão será sempre verdadeira.</w:t>
      </w:r>
    </w:p>
    <w:p w:rsidR="00000000" w:rsidDel="00000000" w:rsidP="00000000" w:rsidRDefault="00000000" w:rsidRPr="00000000" w14:paraId="00000017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Exemplo 2 (Implicação trivial): p → p (Lê-se "se p, então p"). Esta estrutura lógica será</w:t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sempre verdadeira em qualquer contexto.</w:t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Descreva a diferença entre satisfazibilidade e validade de uma proposição lógica. Você</w:t>
      </w:r>
    </w:p>
    <w:p w:rsidR="00000000" w:rsidDel="00000000" w:rsidP="00000000" w:rsidRDefault="00000000" w:rsidRPr="00000000" w14:paraId="0000001B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pode fornecer exemplos de proposições que são satisfazíveis, mas não válidas?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diferença principal reside na exigência de verdade da proposição:</w:t>
      </w:r>
    </w:p>
    <w:p w:rsidR="00000000" w:rsidDel="00000000" w:rsidP="00000000" w:rsidRDefault="00000000" w:rsidRPr="00000000" w14:paraId="0000001D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Validade: Uma proposição é válida (ou seja, é uma tautologia) se for verdadeira para</w:t>
      </w:r>
    </w:p>
    <w:p w:rsidR="00000000" w:rsidDel="00000000" w:rsidP="00000000" w:rsidRDefault="00000000" w:rsidRPr="00000000" w14:paraId="0000001E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todas as combinações possíveis de valores de verdade.</w:t>
      </w:r>
    </w:p>
    <w:p w:rsidR="00000000" w:rsidDel="00000000" w:rsidP="00000000" w:rsidRDefault="00000000" w:rsidRPr="00000000" w14:paraId="0000001F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Satisfazibilidade: Uma proposição é satisfazível se for verdadeira para pelo menos</w:t>
      </w:r>
    </w:p>
    <w:p w:rsidR="00000000" w:rsidDel="00000000" w:rsidP="00000000" w:rsidRDefault="00000000" w:rsidRPr="00000000" w14:paraId="00000020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uma combinação de valores de verdade. Logo, todas as proposições válidas são</w:t>
      </w:r>
    </w:p>
    <w:p w:rsidR="00000000" w:rsidDel="00000000" w:rsidP="00000000" w:rsidRDefault="00000000" w:rsidRPr="00000000" w14:paraId="00000021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satisfazíveis, mas nem todas as proposições satisfazíveis são válidas.</w:t>
      </w:r>
    </w:p>
    <w:p w:rsidR="00000000" w:rsidDel="00000000" w:rsidP="00000000" w:rsidRDefault="00000000" w:rsidRPr="00000000" w14:paraId="00000022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Exemplo de proposição satisfazível, mas não válida: A proposição p ∧ q (p e q). Esta</w:t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proposição é satisfazível porque é verdadeira se tanto p como q forem verdadeiros. No</w:t>
      </w:r>
    </w:p>
    <w:p w:rsidR="00000000" w:rsidDel="00000000" w:rsidP="00000000" w:rsidRDefault="00000000" w:rsidRPr="00000000" w14:paraId="00000024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entanto, não é válida, porque se p ou q forem falsos, a proposição inteira torna-se falsa.</w:t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Quais são alguns dos métodos de dedução mais eficazes na lógica proposicional e como</w:t>
      </w:r>
    </w:p>
    <w:p w:rsidR="00000000" w:rsidDel="00000000" w:rsidP="00000000" w:rsidRDefault="00000000" w:rsidRPr="00000000" w14:paraId="0000002B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eles contribuem para entender a validade de argumentos lógicos?</w:t>
      </w:r>
    </w:p>
    <w:p w:rsidR="00000000" w:rsidDel="00000000" w:rsidP="00000000" w:rsidRDefault="00000000" w:rsidRPr="00000000" w14:paraId="0000002C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 lógica proposicional, o uso exclusivo de tabelas de verdade pode tornar-se impraticável</w:t>
      </w:r>
    </w:p>
    <w:p w:rsidR="00000000" w:rsidDel="00000000" w:rsidP="00000000" w:rsidRDefault="00000000" w:rsidRPr="00000000" w14:paraId="0000002D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fórmulas longas. Por isso, utilizam-se métodos de dedução formal. Alguns dos mais</w:t>
      </w:r>
    </w:p>
    <w:p w:rsidR="00000000" w:rsidDel="00000000" w:rsidP="00000000" w:rsidRDefault="00000000" w:rsidRPr="00000000" w14:paraId="0000002E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eficazes incluem:</w:t>
      </w:r>
    </w:p>
    <w:p w:rsidR="00000000" w:rsidDel="00000000" w:rsidP="00000000" w:rsidRDefault="00000000" w:rsidRPr="00000000" w14:paraId="0000002F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Dedução Natural: Utiliza regras de inferência (como a introdução e eliminação de</w:t>
      </w:r>
    </w:p>
    <w:p w:rsidR="00000000" w:rsidDel="00000000" w:rsidP="00000000" w:rsidRDefault="00000000" w:rsidRPr="00000000" w14:paraId="00000030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conectivos) para derivar conclusões passo a passo, espelhando o raciocínio matemático</w:t>
      </w:r>
    </w:p>
    <w:p w:rsidR="00000000" w:rsidDel="00000000" w:rsidP="00000000" w:rsidRDefault="00000000" w:rsidRPr="00000000" w14:paraId="00000031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humano.</w:t>
      </w:r>
    </w:p>
    <w:p w:rsidR="00000000" w:rsidDel="00000000" w:rsidP="00000000" w:rsidRDefault="00000000" w:rsidRPr="00000000" w14:paraId="00000032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Sistemas Axiomáticos (Sistemas de Hilbert): Baseiam-se num conjunto de axiomas</w:t>
      </w:r>
    </w:p>
    <w:p w:rsidR="00000000" w:rsidDel="00000000" w:rsidP="00000000" w:rsidRDefault="00000000" w:rsidRPr="00000000" w14:paraId="00000033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fundamentais e na regra do Modus Ponens para derivar novas verdades.</w:t>
      </w:r>
    </w:p>
    <w:p w:rsidR="00000000" w:rsidDel="00000000" w:rsidP="00000000" w:rsidRDefault="00000000" w:rsidRPr="00000000" w14:paraId="00000034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Tableaux Semânticos (Árvores de Refutação): Um método visual que opera por</w:t>
      </w:r>
    </w:p>
    <w:p w:rsidR="00000000" w:rsidDel="00000000" w:rsidP="00000000" w:rsidRDefault="00000000" w:rsidRPr="00000000" w14:paraId="00000035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contradição. Tenta-se provar a validade de um argumento assumindo que as premissas</w:t>
      </w:r>
    </w:p>
    <w:p w:rsidR="00000000" w:rsidDel="00000000" w:rsidP="00000000" w:rsidRDefault="00000000" w:rsidRPr="00000000" w14:paraId="00000036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são verdadeiras e a conclusão é falsa; se todos os ramos da árvore resultarem em</w:t>
      </w:r>
    </w:p>
    <w:p w:rsidR="00000000" w:rsidDel="00000000" w:rsidP="00000000" w:rsidRDefault="00000000" w:rsidRPr="00000000" w14:paraId="00000037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contradições, o argumento é válido.</w:t>
      </w:r>
    </w:p>
    <w:p w:rsidR="00000000" w:rsidDel="00000000" w:rsidP="00000000" w:rsidRDefault="00000000" w:rsidRPr="00000000" w14:paraId="00000038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Resolução: Um método computacionalmente eficiente que também funciona por</w:t>
      </w:r>
    </w:p>
    <w:p w:rsidR="00000000" w:rsidDel="00000000" w:rsidP="00000000" w:rsidRDefault="00000000" w:rsidRPr="00000000" w14:paraId="00000039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refutação, exigindo que as fórmulas sejam convertidas para a Forma Normal Conjuntiva.</w:t>
      </w:r>
    </w:p>
    <w:p w:rsidR="00000000" w:rsidDel="00000000" w:rsidP="00000000" w:rsidRDefault="00000000" w:rsidRPr="00000000" w14:paraId="0000003A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Estes métodos contribuem para o entendimento da validade dos argumentos lógicos porque</w:t>
      </w:r>
    </w:p>
    <w:p w:rsidR="00000000" w:rsidDel="00000000" w:rsidP="00000000" w:rsidRDefault="00000000" w:rsidRPr="00000000" w14:paraId="0000003B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permitem demonstrar rigorosamente se uma conclusão é uma consequência lógica e inegável</w:t>
      </w:r>
    </w:p>
    <w:p w:rsidR="00000000" w:rsidDel="00000000" w:rsidP="00000000" w:rsidRDefault="00000000" w:rsidRPr="00000000" w14:paraId="0000003C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 premissas, ligando as regras sintáticas de inferência à verdade semântica.</w:t>
      </w:r>
    </w:p>
    <w:p w:rsidR="00000000" w:rsidDel="00000000" w:rsidP="00000000" w:rsidRDefault="00000000" w:rsidRPr="00000000" w14:paraId="0000003D">
      <w:pPr>
        <w:keepNext w:val="1"/>
        <w:keepLines w:val="1"/>
        <w:widowControl w:val="1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1701" w:top="1701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-905191</wp:posOffset>
              </wp:positionH>
              <wp:positionV relativeFrom="paragraph">
                <wp:posOffset>-4761</wp:posOffset>
              </wp:positionV>
              <wp:extent cx="7570470" cy="1225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528" y="3723485"/>
                        <a:ext cx="7560945" cy="113030"/>
                      </a:xfrm>
                      <a:custGeom>
                        <a:rect b="b" l="l" r="r" t="t"/>
                        <a:pathLst>
                          <a:path extrusionOk="0" h="178" w="11907">
                            <a:moveTo>
                              <a:pt x="0" y="177"/>
                            </a:moveTo>
                            <a:lnTo>
                              <a:pt x="11906" y="177"/>
                            </a:lnTo>
                            <a:lnTo>
                              <a:pt x="11906" y="0"/>
                            </a:lnTo>
                            <a:lnTo>
                              <a:pt x="11906" y="0"/>
                            </a:lnTo>
                            <a:lnTo>
                              <a:pt x="0" y="0"/>
                            </a:lnTo>
                            <a:lnTo>
                              <a:pt x="0" y="0"/>
                            </a:lnTo>
                            <a:lnTo>
                              <a:pt x="0" y="177"/>
                            </a:lnTo>
                            <a:close/>
                          </a:path>
                        </a:pathLst>
                      </a:custGeom>
                      <a:solidFill>
                        <a:srgbClr val="0F395E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-905191</wp:posOffset>
              </wp:positionH>
              <wp:positionV relativeFrom="paragraph">
                <wp:posOffset>-4761</wp:posOffset>
              </wp:positionV>
              <wp:extent cx="7570470" cy="1225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0470" cy="1225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-905191</wp:posOffset>
              </wp:positionH>
              <wp:positionV relativeFrom="paragraph">
                <wp:posOffset>-462595</wp:posOffset>
              </wp:positionV>
              <wp:extent cx="7570470" cy="1162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65528" y="3726660"/>
                        <a:ext cx="7560945" cy="106680"/>
                      </a:xfrm>
                      <a:custGeom>
                        <a:rect b="b" l="l" r="r" t="t"/>
                        <a:pathLst>
                          <a:path extrusionOk="0" h="168" w="11907">
                            <a:moveTo>
                              <a:pt x="0" y="0"/>
                            </a:moveTo>
                            <a:lnTo>
                              <a:pt x="0" y="167"/>
                            </a:lnTo>
                            <a:lnTo>
                              <a:pt x="0" y="167"/>
                            </a:lnTo>
                            <a:lnTo>
                              <a:pt x="11906" y="167"/>
                            </a:lnTo>
                            <a:lnTo>
                              <a:pt x="11906" y="167"/>
                            </a:lnTo>
                            <a:lnTo>
                              <a:pt x="11906" y="0"/>
                            </a:lnTo>
                            <a:lnTo>
                              <a:pt x="11906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36F4E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-905191</wp:posOffset>
              </wp:positionH>
              <wp:positionV relativeFrom="paragraph">
                <wp:posOffset>-462595</wp:posOffset>
              </wp:positionV>
              <wp:extent cx="7570470" cy="11620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0470" cy="116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6762750</wp:posOffset>
          </wp:positionH>
          <wp:positionV relativeFrom="paragraph">
            <wp:posOffset>-93344</wp:posOffset>
          </wp:positionV>
          <wp:extent cx="428625" cy="4286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625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539fe1" w:space="0" w:sz="4" w:val="single"/>
          <w:bottom w:color="539fe1" w:space="0" w:sz="4" w:val="single"/>
        </w:tcBorders>
      </w:tcPr>
    </w:tblStylePr>
    <w:tblStylePr w:type="band1Vert">
      <w:tcPr>
        <w:tcBorders>
          <w:left w:color="539fe1" w:space="0" w:sz="4" w:val="single"/>
          <w:right w:color="539fe1" w:space="0" w:sz="4" w:val="single"/>
        </w:tcBorders>
      </w:tcPr>
    </w:tblStylePr>
    <w:tblStylePr w:type="band2Vert">
      <w:tcPr>
        <w:tcBorders>
          <w:left w:color="539fe1" w:space="0" w:sz="4" w:val="single"/>
          <w:right w:color="539fe1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539fe1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39fe1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cc.fc.up.pt/~nam/resources/publica/nlc.pdf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  <property fmtid="{D5CDD505-2E9C-101B-9397-08002B2CF9AE}" pid="3" name="ContentTypeId">
    <vt:lpwstr>0x010100D284AA26EABC914D95019C7BD81C3DBB</vt:lpwstr>
  </property>
  <property fmtid="{D5CDD505-2E9C-101B-9397-08002B2CF9AE}" pid="4" name="MediaServiceImageTags">
    <vt:lpwstr>MediaServiceImageTags</vt:lpwstr>
  </property>
  <property fmtid="{D5CDD505-2E9C-101B-9397-08002B2CF9AE}" pid="5" name="Order">
    <vt:lpwstr>4227400</vt:lpwstr>
  </property>
  <property fmtid="{D5CDD505-2E9C-101B-9397-08002B2CF9AE}" pid="6" name="xd_Signature">
    <vt:lpwstr>false</vt:lpwstr>
  </property>
  <property fmtid="{D5CDD505-2E9C-101B-9397-08002B2CF9AE}" pid="7" name="xd_ProgID">
    <vt:lpwstr>xd_ProgID</vt:lpwstr>
  </property>
  <property fmtid="{D5CDD505-2E9C-101B-9397-08002B2CF9AE}" pid="8" name="_SourceUrl">
    <vt:lpwstr>_SourceUrl</vt:lpwstr>
  </property>
  <property fmtid="{D5CDD505-2E9C-101B-9397-08002B2CF9AE}" pid="9" name="_SharedFileIndex">
    <vt:lpwstr>_SharedFileIndex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</Properties>
</file>