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AE8" w:rsidRDefault="00432AE8" w:rsidP="00585F4A">
      <w:pPr>
        <w:spacing w:line="480" w:lineRule="auto"/>
        <w:jc w:val="both"/>
        <w:rPr>
          <w:rFonts w:ascii="Arial" w:hAnsi="Arial" w:cs="Arial"/>
          <w:sz w:val="28"/>
        </w:rPr>
      </w:pPr>
      <w:r w:rsidRPr="00432AE8">
        <w:rPr>
          <w:rFonts w:ascii="Arial" w:hAnsi="Arial" w:cs="Arial"/>
          <w:sz w:val="28"/>
        </w:rPr>
        <w:t>DIVINER CALIBRATION – FAZ. AREÃO, PIRACICABA</w:t>
      </w:r>
      <w:r>
        <w:rPr>
          <w:rFonts w:ascii="Arial" w:hAnsi="Arial" w:cs="Arial"/>
          <w:sz w:val="28"/>
        </w:rPr>
        <w:t xml:space="preserve">, </w:t>
      </w:r>
      <w:proofErr w:type="gramStart"/>
      <w:r>
        <w:rPr>
          <w:rFonts w:ascii="Arial" w:hAnsi="Arial" w:cs="Arial"/>
          <w:sz w:val="28"/>
        </w:rPr>
        <w:t>BRAZIL</w:t>
      </w:r>
      <w:proofErr w:type="gramEnd"/>
    </w:p>
    <w:p w:rsidR="00585F4A" w:rsidRPr="00EA6BCD" w:rsidRDefault="00EA6BCD" w:rsidP="00585F4A">
      <w:pPr>
        <w:spacing w:line="48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Three repetitions of undisturbed soil were taken at 5, 15, 30, 60 and 100 cm depth </w:t>
      </w:r>
      <w:r w:rsidR="00585F4A">
        <w:rPr>
          <w:rFonts w:ascii="Arial" w:hAnsi="Arial" w:cs="Arial"/>
          <w:lang w:val="en-US"/>
        </w:rPr>
        <w:t xml:space="preserve">and </w:t>
      </w:r>
      <w:r>
        <w:rPr>
          <w:rFonts w:ascii="Arial" w:hAnsi="Arial" w:cs="Arial"/>
          <w:lang w:val="en-US"/>
        </w:rPr>
        <w:t xml:space="preserve">on four random locations </w:t>
      </w:r>
      <w:r w:rsidR="00585F4A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>sugarcane field experiment</w:t>
      </w:r>
      <w:r w:rsidR="00585F4A">
        <w:rPr>
          <w:rFonts w:ascii="Arial" w:hAnsi="Arial" w:cs="Arial"/>
          <w:lang w:val="en-US"/>
        </w:rPr>
        <w:t xml:space="preserve"> (total of 60 samples)</w:t>
      </w:r>
      <w:r>
        <w:rPr>
          <w:rFonts w:ascii="Arial" w:hAnsi="Arial" w:cs="Arial"/>
          <w:lang w:val="en-US"/>
        </w:rPr>
        <w:t>.</w:t>
      </w:r>
      <w:r w:rsidR="0079305A">
        <w:rPr>
          <w:rFonts w:ascii="Arial" w:hAnsi="Arial" w:cs="Arial"/>
          <w:lang w:val="en-US"/>
        </w:rPr>
        <w:t xml:space="preserve"> Monoliths were collected with metal cylinders (</w:t>
      </w:r>
      <w:r w:rsidR="00585F4A">
        <w:rPr>
          <w:rFonts w:ascii="Arial" w:hAnsi="Arial" w:cs="Arial"/>
          <w:lang w:val="en-US"/>
        </w:rPr>
        <w:t>v = 53.8 cm</w:t>
      </w:r>
      <w:r w:rsidR="00585F4A" w:rsidRPr="00585F4A">
        <w:rPr>
          <w:rFonts w:ascii="Arial" w:hAnsi="Arial" w:cs="Arial"/>
          <w:vertAlign w:val="superscript"/>
          <w:lang w:val="en-US"/>
        </w:rPr>
        <w:t>3</w:t>
      </w:r>
      <w:r w:rsidR="0079305A">
        <w:rPr>
          <w:rFonts w:ascii="Arial" w:hAnsi="Arial" w:cs="Arial"/>
          <w:lang w:val="en-US"/>
        </w:rPr>
        <w:t>)</w:t>
      </w:r>
      <w:r w:rsidR="00585F4A">
        <w:rPr>
          <w:rFonts w:ascii="Arial" w:hAnsi="Arial" w:cs="Arial"/>
          <w:lang w:val="en-US"/>
        </w:rPr>
        <w:t xml:space="preserve"> immediately sealed in plastic bags, weighted and taken to laboratory for deriving soil water retention curves and </w:t>
      </w:r>
      <w:proofErr w:type="spellStart"/>
      <w:r w:rsidR="00585F4A">
        <w:rPr>
          <w:rFonts w:ascii="Arial" w:hAnsi="Arial" w:cs="Arial"/>
          <w:lang w:val="en-US"/>
        </w:rPr>
        <w:t>Mualen</w:t>
      </w:r>
      <w:proofErr w:type="spellEnd"/>
      <w:r w:rsidR="00585F4A">
        <w:rPr>
          <w:rFonts w:ascii="Arial" w:hAnsi="Arial" w:cs="Arial"/>
          <w:lang w:val="en-US"/>
        </w:rPr>
        <w:t>-v</w:t>
      </w:r>
      <w:r w:rsidR="00585F4A" w:rsidRPr="000E4EED">
        <w:rPr>
          <w:rFonts w:ascii="Arial" w:hAnsi="Arial" w:cs="Arial"/>
          <w:lang w:val="en-US"/>
        </w:rPr>
        <w:t xml:space="preserve">an </w:t>
      </w:r>
      <w:proofErr w:type="spellStart"/>
      <w:r w:rsidR="00585F4A" w:rsidRPr="000E4EED">
        <w:rPr>
          <w:rFonts w:ascii="Arial" w:hAnsi="Arial" w:cs="Arial"/>
          <w:lang w:val="en-US"/>
        </w:rPr>
        <w:t>Genuchten</w:t>
      </w:r>
      <w:proofErr w:type="spellEnd"/>
      <w:r w:rsidR="00585F4A">
        <w:rPr>
          <w:rFonts w:ascii="Arial" w:hAnsi="Arial" w:cs="Arial"/>
          <w:lang w:val="en-US"/>
        </w:rPr>
        <w:t xml:space="preserve"> coefficients </w:t>
      </w:r>
      <w:r w:rsidR="00585F4A" w:rsidRPr="000E4EED">
        <w:rPr>
          <w:rFonts w:ascii="Arial" w:hAnsi="Arial" w:cs="Arial"/>
          <w:lang w:val="en-US"/>
        </w:rPr>
        <w:t>(</w:t>
      </w:r>
      <w:proofErr w:type="spellStart"/>
      <w:r w:rsidR="00585F4A" w:rsidRPr="000E4EED">
        <w:rPr>
          <w:rFonts w:ascii="Arial" w:hAnsi="Arial" w:cs="Arial"/>
          <w:lang w:val="en-US"/>
        </w:rPr>
        <w:t>Mualem</w:t>
      </w:r>
      <w:proofErr w:type="spellEnd"/>
      <w:r w:rsidR="00585F4A" w:rsidRPr="000E4EED">
        <w:rPr>
          <w:rFonts w:ascii="Arial" w:hAnsi="Arial" w:cs="Arial"/>
          <w:lang w:val="en-US"/>
        </w:rPr>
        <w:t>, 1976)</w:t>
      </w:r>
      <w:r w:rsidR="00122BE8">
        <w:rPr>
          <w:rFonts w:ascii="Arial" w:hAnsi="Arial" w:cs="Arial"/>
          <w:lang w:val="en-US"/>
        </w:rPr>
        <w:t xml:space="preserve"> (Fig 1 and Table 1)</w:t>
      </w:r>
      <w:r w:rsidR="00585F4A">
        <w:rPr>
          <w:rFonts w:ascii="Arial" w:hAnsi="Arial" w:cs="Arial"/>
          <w:lang w:val="en-US"/>
        </w:rPr>
        <w:t xml:space="preserve">. Scaled Frequencies (SF) were taken at same moment </w:t>
      </w:r>
      <w:r w:rsidR="00432AE8">
        <w:rPr>
          <w:rFonts w:ascii="Arial" w:hAnsi="Arial" w:cs="Arial"/>
          <w:lang w:val="en-US"/>
        </w:rPr>
        <w:t xml:space="preserve">and depths </w:t>
      </w:r>
      <w:r w:rsidR="00585F4A">
        <w:rPr>
          <w:rFonts w:ascii="Arial" w:hAnsi="Arial" w:cs="Arial"/>
          <w:lang w:val="en-US"/>
        </w:rPr>
        <w:t xml:space="preserve">of soil sampling with a Frequency Domain </w:t>
      </w:r>
      <w:proofErr w:type="spellStart"/>
      <w:r w:rsidR="00585F4A">
        <w:rPr>
          <w:rFonts w:ascii="Arial" w:hAnsi="Arial" w:cs="Arial"/>
          <w:lang w:val="en-US"/>
        </w:rPr>
        <w:t>R</w:t>
      </w:r>
      <w:r w:rsidR="00585F4A" w:rsidRPr="00EA6BCD">
        <w:rPr>
          <w:rFonts w:ascii="Arial" w:hAnsi="Arial" w:cs="Arial"/>
          <w:lang w:val="en-US"/>
        </w:rPr>
        <w:t>eflectometry</w:t>
      </w:r>
      <w:proofErr w:type="spellEnd"/>
      <w:r w:rsidR="00585F4A" w:rsidRPr="00EA6BCD">
        <w:rPr>
          <w:rFonts w:ascii="Arial" w:hAnsi="Arial" w:cs="Arial"/>
          <w:lang w:val="en-US"/>
        </w:rPr>
        <w:t xml:space="preserve"> (FDR)</w:t>
      </w:r>
      <w:r w:rsidR="00585F4A">
        <w:rPr>
          <w:rFonts w:ascii="Arial" w:hAnsi="Arial" w:cs="Arial"/>
          <w:lang w:val="en-US"/>
        </w:rPr>
        <w:t xml:space="preserve"> probe (model Diviner 2000, SENTEK). Soil water content</w:t>
      </w:r>
      <w:r w:rsidR="00432AE8">
        <w:rPr>
          <w:rFonts w:ascii="Arial" w:hAnsi="Arial" w:cs="Arial"/>
          <w:lang w:val="en-US"/>
        </w:rPr>
        <w:t>s</w:t>
      </w:r>
      <w:r w:rsidR="00585F4A">
        <w:rPr>
          <w:rFonts w:ascii="Arial" w:hAnsi="Arial" w:cs="Arial"/>
          <w:lang w:val="en-US"/>
        </w:rPr>
        <w:t xml:space="preserve"> (cm</w:t>
      </w:r>
      <w:r w:rsidR="00585F4A" w:rsidRPr="00585F4A">
        <w:rPr>
          <w:rFonts w:ascii="Arial" w:hAnsi="Arial" w:cs="Arial"/>
          <w:vertAlign w:val="superscript"/>
          <w:lang w:val="en-US"/>
        </w:rPr>
        <w:t>3</w:t>
      </w:r>
      <w:r w:rsidR="00585F4A">
        <w:rPr>
          <w:rFonts w:ascii="Arial" w:hAnsi="Arial" w:cs="Arial"/>
          <w:lang w:val="en-US"/>
        </w:rPr>
        <w:t xml:space="preserve"> cm</w:t>
      </w:r>
      <w:r w:rsidR="00585F4A" w:rsidRPr="00585F4A">
        <w:rPr>
          <w:rFonts w:ascii="Arial" w:hAnsi="Arial" w:cs="Arial"/>
          <w:vertAlign w:val="superscript"/>
          <w:lang w:val="en-US"/>
        </w:rPr>
        <w:t>-3</w:t>
      </w:r>
      <w:r w:rsidR="00585F4A">
        <w:rPr>
          <w:rFonts w:ascii="Arial" w:hAnsi="Arial" w:cs="Arial"/>
          <w:lang w:val="en-US"/>
        </w:rPr>
        <w:t xml:space="preserve">) </w:t>
      </w:r>
      <w:r w:rsidR="00432AE8">
        <w:rPr>
          <w:rFonts w:ascii="Arial" w:hAnsi="Arial" w:cs="Arial"/>
          <w:lang w:val="en-US"/>
        </w:rPr>
        <w:t>derived</w:t>
      </w:r>
      <w:r w:rsidR="00585F4A">
        <w:rPr>
          <w:rFonts w:ascii="Arial" w:hAnsi="Arial" w:cs="Arial"/>
          <w:lang w:val="en-US"/>
        </w:rPr>
        <w:t xml:space="preserve"> by gravimetric method </w:t>
      </w:r>
      <w:r w:rsidR="00432AE8">
        <w:rPr>
          <w:rFonts w:ascii="Arial" w:hAnsi="Arial" w:cs="Arial"/>
          <w:lang w:val="en-US"/>
        </w:rPr>
        <w:t xml:space="preserve">and the monoliths weights were paired with the corresponding SF values. </w:t>
      </w:r>
      <w:r w:rsidR="00A302AB">
        <w:rPr>
          <w:rFonts w:ascii="Arial" w:hAnsi="Arial" w:cs="Arial"/>
          <w:lang w:val="en-US"/>
        </w:rPr>
        <w:t>S</w:t>
      </w:r>
      <w:r w:rsidR="00432AE8">
        <w:rPr>
          <w:rFonts w:ascii="Arial" w:hAnsi="Arial" w:cs="Arial"/>
          <w:lang w:val="en-US"/>
        </w:rPr>
        <w:t>oil sampling occurred after a rain event; hence the m</w:t>
      </w:r>
      <w:r w:rsidR="00A302AB">
        <w:rPr>
          <w:rFonts w:ascii="Arial" w:hAnsi="Arial" w:cs="Arial"/>
          <w:lang w:val="en-US"/>
        </w:rPr>
        <w:t>ajority of soil samples were at field capacity</w:t>
      </w:r>
      <w:r w:rsidR="00432AE8">
        <w:rPr>
          <w:rFonts w:ascii="Arial" w:hAnsi="Arial" w:cs="Arial"/>
          <w:lang w:val="en-US"/>
        </w:rPr>
        <w:t xml:space="preserve">. Thus, we used the </w:t>
      </w:r>
      <w:proofErr w:type="spellStart"/>
      <w:r w:rsidR="00432AE8">
        <w:rPr>
          <w:rFonts w:ascii="Arial" w:hAnsi="Arial" w:cs="Arial"/>
          <w:lang w:val="en-US"/>
        </w:rPr>
        <w:t>Mualen</w:t>
      </w:r>
      <w:proofErr w:type="spellEnd"/>
      <w:r w:rsidR="00432AE8">
        <w:rPr>
          <w:rFonts w:ascii="Arial" w:hAnsi="Arial" w:cs="Arial"/>
          <w:lang w:val="en-US"/>
        </w:rPr>
        <w:t>-v</w:t>
      </w:r>
      <w:r w:rsidR="00432AE8" w:rsidRPr="000E4EED">
        <w:rPr>
          <w:rFonts w:ascii="Arial" w:hAnsi="Arial" w:cs="Arial"/>
          <w:lang w:val="en-US"/>
        </w:rPr>
        <w:t xml:space="preserve">an </w:t>
      </w:r>
      <w:proofErr w:type="spellStart"/>
      <w:r w:rsidR="00432AE8" w:rsidRPr="000E4EED">
        <w:rPr>
          <w:rFonts w:ascii="Arial" w:hAnsi="Arial" w:cs="Arial"/>
          <w:lang w:val="en-US"/>
        </w:rPr>
        <w:t>Genuchten</w:t>
      </w:r>
      <w:proofErr w:type="spellEnd"/>
      <w:r w:rsidR="00432AE8">
        <w:rPr>
          <w:rFonts w:ascii="Arial" w:hAnsi="Arial" w:cs="Arial"/>
          <w:lang w:val="en-US"/>
        </w:rPr>
        <w:t xml:space="preserve"> method to determine the soil water content at wilting and saturation points (</w:t>
      </w:r>
      <w:r w:rsidR="00432AE8" w:rsidRPr="00432AE8">
        <w:rPr>
          <w:rFonts w:ascii="Arial" w:hAnsi="Arial" w:cs="Arial"/>
          <w:i/>
          <w:lang w:val="en-US"/>
        </w:rPr>
        <w:t xml:space="preserve">Ψs = -15,000 </w:t>
      </w:r>
      <w:proofErr w:type="spellStart"/>
      <w:r w:rsidR="00432AE8" w:rsidRPr="00432AE8">
        <w:rPr>
          <w:rFonts w:ascii="Arial" w:hAnsi="Arial" w:cs="Arial"/>
          <w:i/>
          <w:lang w:val="en-US"/>
        </w:rPr>
        <w:t>hPA</w:t>
      </w:r>
      <w:proofErr w:type="spellEnd"/>
      <w:r w:rsidR="00432AE8" w:rsidRPr="00432AE8">
        <w:rPr>
          <w:rFonts w:ascii="Arial" w:hAnsi="Arial" w:cs="Arial"/>
          <w:i/>
          <w:lang w:val="en-US"/>
        </w:rPr>
        <w:t xml:space="preserve"> and Ψs = -10 </w:t>
      </w:r>
      <w:proofErr w:type="spellStart"/>
      <w:r w:rsidR="00432AE8" w:rsidRPr="00432AE8">
        <w:rPr>
          <w:rFonts w:ascii="Arial" w:hAnsi="Arial" w:cs="Arial"/>
          <w:i/>
          <w:lang w:val="en-US"/>
        </w:rPr>
        <w:t>hPA</w:t>
      </w:r>
      <w:proofErr w:type="spellEnd"/>
      <w:r w:rsidR="00432AE8">
        <w:rPr>
          <w:rFonts w:ascii="Arial" w:hAnsi="Arial" w:cs="Arial"/>
          <w:lang w:val="en-US"/>
        </w:rPr>
        <w:t>, respectively)</w:t>
      </w:r>
      <w:r w:rsidR="00F13A5C">
        <w:rPr>
          <w:rFonts w:ascii="Arial" w:hAnsi="Arial" w:cs="Arial"/>
          <w:lang w:val="en-US"/>
        </w:rPr>
        <w:t xml:space="preserve"> and compare with SF at dry and wet conditions. </w:t>
      </w:r>
      <w:r w:rsidR="00F13A5C" w:rsidRPr="000E4EED">
        <w:rPr>
          <w:rFonts w:ascii="Arial" w:hAnsi="Arial" w:cs="Arial"/>
          <w:lang w:val="en-US"/>
        </w:rPr>
        <w:t xml:space="preserve">The lowest SF of the dry season were paired to wilting point, whereas the highest SF </w:t>
      </w:r>
      <w:r w:rsidR="00F13A5C">
        <w:rPr>
          <w:rFonts w:ascii="Arial" w:hAnsi="Arial" w:cs="Arial"/>
          <w:lang w:val="en-US"/>
        </w:rPr>
        <w:t xml:space="preserve">just </w:t>
      </w:r>
      <w:r w:rsidR="00F13A5C" w:rsidRPr="000E4EED">
        <w:rPr>
          <w:rFonts w:ascii="Arial" w:hAnsi="Arial" w:cs="Arial"/>
          <w:lang w:val="en-US"/>
        </w:rPr>
        <w:t xml:space="preserve">after irrigation </w:t>
      </w:r>
      <w:r w:rsidR="00F13A5C">
        <w:rPr>
          <w:rFonts w:ascii="Arial" w:hAnsi="Arial" w:cs="Arial"/>
          <w:lang w:val="en-US"/>
        </w:rPr>
        <w:t xml:space="preserve">events </w:t>
      </w:r>
      <w:r w:rsidR="00F13A5C" w:rsidRPr="000E4EED">
        <w:rPr>
          <w:rFonts w:ascii="Arial" w:hAnsi="Arial" w:cs="Arial"/>
          <w:lang w:val="en-US"/>
        </w:rPr>
        <w:t>were paired to saturation point</w:t>
      </w:r>
      <w:r w:rsidR="00F13A5C">
        <w:rPr>
          <w:rFonts w:ascii="Arial" w:hAnsi="Arial" w:cs="Arial"/>
          <w:lang w:val="en-US"/>
        </w:rPr>
        <w:t>.</w:t>
      </w:r>
      <w:r w:rsidR="00122BE8">
        <w:rPr>
          <w:rFonts w:ascii="Arial" w:hAnsi="Arial" w:cs="Arial"/>
          <w:lang w:val="en-US"/>
        </w:rPr>
        <w:t xml:space="preserve"> Paired SF and soil moisture were then used to adjust the calibration equation of the FDR equipment (</w:t>
      </w:r>
      <w:proofErr w:type="spellStart"/>
      <w:r w:rsidR="00122BE8">
        <w:rPr>
          <w:rFonts w:ascii="Arial" w:hAnsi="Arial" w:cs="Arial"/>
          <w:lang w:val="en-US"/>
        </w:rPr>
        <w:t>Provenzano</w:t>
      </w:r>
      <w:proofErr w:type="spellEnd"/>
      <w:r w:rsidR="00122BE8">
        <w:rPr>
          <w:rFonts w:ascii="Arial" w:hAnsi="Arial" w:cs="Arial"/>
          <w:lang w:val="en-US"/>
        </w:rPr>
        <w:t xml:space="preserve"> et al., 2015) with R-script. </w:t>
      </w:r>
      <w:r w:rsidR="009A235D">
        <w:rPr>
          <w:rFonts w:ascii="Arial" w:hAnsi="Arial" w:cs="Arial"/>
          <w:lang w:val="en-US"/>
        </w:rPr>
        <w:t>The A, B and C coefficients were, respectively, 0.14, 0.498 and 0.009 with a precision index (r</w:t>
      </w:r>
      <w:r w:rsidR="009A235D" w:rsidRPr="009A235D">
        <w:rPr>
          <w:rFonts w:ascii="Arial" w:hAnsi="Arial" w:cs="Arial"/>
          <w:vertAlign w:val="superscript"/>
          <w:lang w:val="en-US"/>
        </w:rPr>
        <w:t>2</w:t>
      </w:r>
      <w:r w:rsidR="009A235D">
        <w:rPr>
          <w:rFonts w:ascii="Arial" w:hAnsi="Arial" w:cs="Arial"/>
          <w:lang w:val="en-US"/>
        </w:rPr>
        <w:t>) of 0.87 (Fig 2).</w:t>
      </w:r>
    </w:p>
    <w:p w:rsidR="002E5B56" w:rsidRDefault="002E5B56" w:rsidP="0079305A">
      <w:pPr>
        <w:spacing w:line="48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3536192" cy="2651298"/>
            <wp:effectExtent l="19050" t="0" r="7108" b="0"/>
            <wp:docPr id="7" name="Imagem 7" descr="D:\Murilo\sw_sc\doc\excel\ret_curv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urilo\sw_sc\doc\excel\ret_curv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94" cy="2652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4A" w:rsidRDefault="002E5B56" w:rsidP="0079305A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lastRenderedPageBreak/>
        <w:t>Fig 1.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2E5B56">
        <w:rPr>
          <w:rFonts w:ascii="Arial" w:hAnsi="Arial" w:cs="Arial"/>
          <w:lang w:val="en-US"/>
        </w:rPr>
        <w:t xml:space="preserve">Soil </w:t>
      </w:r>
      <w:r w:rsidR="0079305A">
        <w:rPr>
          <w:rFonts w:ascii="Arial" w:hAnsi="Arial" w:cs="Arial"/>
          <w:lang w:val="en-US"/>
        </w:rPr>
        <w:t>W</w:t>
      </w:r>
      <w:r w:rsidRPr="002E5B56">
        <w:rPr>
          <w:rFonts w:ascii="Arial" w:hAnsi="Arial" w:cs="Arial"/>
          <w:lang w:val="en-US"/>
        </w:rPr>
        <w:t xml:space="preserve">ater </w:t>
      </w:r>
      <w:r w:rsidR="0079305A">
        <w:rPr>
          <w:rFonts w:ascii="Arial" w:hAnsi="Arial" w:cs="Arial"/>
          <w:lang w:val="en-US"/>
        </w:rPr>
        <w:t>Content (SWC)</w:t>
      </w:r>
      <w:r w:rsidRPr="002E5B56">
        <w:rPr>
          <w:rFonts w:ascii="Arial" w:hAnsi="Arial" w:cs="Arial"/>
          <w:lang w:val="en-US"/>
        </w:rPr>
        <w:t xml:space="preserve"> </w:t>
      </w:r>
      <w:r w:rsidR="0079305A">
        <w:rPr>
          <w:rFonts w:ascii="Arial" w:hAnsi="Arial" w:cs="Arial"/>
          <w:lang w:val="en-US"/>
        </w:rPr>
        <w:t>samples</w:t>
      </w:r>
      <w:r w:rsidRPr="002E5B56">
        <w:rPr>
          <w:rFonts w:ascii="Arial" w:hAnsi="Arial" w:cs="Arial"/>
          <w:lang w:val="en-US"/>
        </w:rPr>
        <w:t xml:space="preserve"> </w:t>
      </w:r>
      <w:r w:rsidR="0079305A">
        <w:rPr>
          <w:rFonts w:ascii="Arial" w:hAnsi="Arial" w:cs="Arial"/>
          <w:lang w:val="en-US"/>
        </w:rPr>
        <w:t>at</w:t>
      </w:r>
      <w:r w:rsidRPr="002E5B56">
        <w:rPr>
          <w:rFonts w:ascii="Arial" w:hAnsi="Arial" w:cs="Arial"/>
          <w:lang w:val="en-US"/>
        </w:rPr>
        <w:t xml:space="preserve"> 5, 15, 30, 60 and 100 cm depth </w:t>
      </w:r>
      <w:r w:rsidR="0079305A">
        <w:rPr>
          <w:rFonts w:ascii="Arial" w:hAnsi="Arial" w:cs="Arial"/>
          <w:lang w:val="en-US"/>
        </w:rPr>
        <w:t>related with</w:t>
      </w:r>
      <w:r w:rsidRPr="002E5B56">
        <w:rPr>
          <w:rFonts w:ascii="Arial" w:hAnsi="Arial" w:cs="Arial"/>
          <w:lang w:val="en-US"/>
        </w:rPr>
        <w:t xml:space="preserve"> soil </w:t>
      </w:r>
      <w:proofErr w:type="spellStart"/>
      <w:r w:rsidRPr="002E5B56">
        <w:rPr>
          <w:rFonts w:ascii="Arial" w:hAnsi="Arial" w:cs="Arial"/>
          <w:lang w:val="en-US"/>
        </w:rPr>
        <w:t>matric</w:t>
      </w:r>
      <w:proofErr w:type="spellEnd"/>
      <w:r w:rsidRPr="002E5B56">
        <w:rPr>
          <w:rFonts w:ascii="Arial" w:hAnsi="Arial" w:cs="Arial"/>
          <w:lang w:val="en-US"/>
        </w:rPr>
        <w:t xml:space="preserve"> potential (n = 12), determined for the Piracicaba experiment. STP, FCP and WPP are the saturation (</w:t>
      </w:r>
      <w:proofErr w:type="spellStart"/>
      <w:r w:rsidRPr="002E5B56">
        <w:rPr>
          <w:rFonts w:ascii="Arial" w:hAnsi="Arial" w:cs="Arial"/>
          <w:lang w:val="en-US"/>
        </w:rPr>
        <w:t>ψ</w:t>
      </w:r>
      <w:r w:rsidR="0079305A">
        <w:rPr>
          <w:rFonts w:ascii="Arial" w:hAnsi="Arial" w:cs="Arial"/>
          <w:lang w:val="en-US"/>
        </w:rPr>
        <w:t>s</w:t>
      </w:r>
      <w:proofErr w:type="spellEnd"/>
      <w:r w:rsidRPr="002E5B56">
        <w:rPr>
          <w:rFonts w:ascii="Arial" w:hAnsi="Arial" w:cs="Arial"/>
          <w:lang w:val="en-US"/>
        </w:rPr>
        <w:t xml:space="preserve"> = 10 </w:t>
      </w:r>
      <w:proofErr w:type="spellStart"/>
      <w:r w:rsidRPr="002E5B56">
        <w:rPr>
          <w:rFonts w:ascii="Arial" w:hAnsi="Arial" w:cs="Arial"/>
          <w:lang w:val="en-US"/>
        </w:rPr>
        <w:t>hPa</w:t>
      </w:r>
      <w:proofErr w:type="spellEnd"/>
      <w:r w:rsidRPr="002E5B56">
        <w:rPr>
          <w:rFonts w:ascii="Arial" w:hAnsi="Arial" w:cs="Arial"/>
          <w:lang w:val="en-US"/>
        </w:rPr>
        <w:t>), field capacity (</w:t>
      </w:r>
      <w:proofErr w:type="spellStart"/>
      <w:r w:rsidRPr="002E5B56">
        <w:rPr>
          <w:rFonts w:ascii="Arial" w:hAnsi="Arial" w:cs="Arial"/>
          <w:lang w:val="en-US"/>
        </w:rPr>
        <w:t>ψ</w:t>
      </w:r>
      <w:r w:rsidR="0079305A">
        <w:rPr>
          <w:rFonts w:ascii="Arial" w:hAnsi="Arial" w:cs="Arial"/>
          <w:lang w:val="en-US"/>
        </w:rPr>
        <w:t>s</w:t>
      </w:r>
      <w:proofErr w:type="spellEnd"/>
      <w:r w:rsidRPr="002E5B56">
        <w:rPr>
          <w:rFonts w:ascii="Arial" w:hAnsi="Arial" w:cs="Arial"/>
          <w:lang w:val="en-US"/>
        </w:rPr>
        <w:t xml:space="preserve"> = 330 </w:t>
      </w:r>
      <w:proofErr w:type="spellStart"/>
      <w:r w:rsidRPr="002E5B56">
        <w:rPr>
          <w:rFonts w:ascii="Arial" w:hAnsi="Arial" w:cs="Arial"/>
          <w:lang w:val="en-US"/>
        </w:rPr>
        <w:t>hPa</w:t>
      </w:r>
      <w:proofErr w:type="spellEnd"/>
      <w:r w:rsidRPr="002E5B56">
        <w:rPr>
          <w:rFonts w:ascii="Arial" w:hAnsi="Arial" w:cs="Arial"/>
          <w:lang w:val="en-US"/>
        </w:rPr>
        <w:t>) and wilting (</w:t>
      </w:r>
      <w:proofErr w:type="spellStart"/>
      <w:r w:rsidRPr="002E5B56">
        <w:rPr>
          <w:rFonts w:ascii="Arial" w:hAnsi="Arial" w:cs="Arial"/>
          <w:lang w:val="en-US"/>
        </w:rPr>
        <w:t>ψ</w:t>
      </w:r>
      <w:r w:rsidR="0079305A">
        <w:rPr>
          <w:rFonts w:ascii="Arial" w:hAnsi="Arial" w:cs="Arial"/>
          <w:lang w:val="en-US"/>
        </w:rPr>
        <w:t>s</w:t>
      </w:r>
      <w:proofErr w:type="spellEnd"/>
      <w:r w:rsidRPr="002E5B56">
        <w:rPr>
          <w:rFonts w:ascii="Arial" w:hAnsi="Arial" w:cs="Arial"/>
          <w:lang w:val="en-US"/>
        </w:rPr>
        <w:t xml:space="preserve"> = 15,000 </w:t>
      </w:r>
      <w:proofErr w:type="spellStart"/>
      <w:r w:rsidRPr="002E5B56">
        <w:rPr>
          <w:rFonts w:ascii="Arial" w:hAnsi="Arial" w:cs="Arial"/>
          <w:lang w:val="en-US"/>
        </w:rPr>
        <w:t>hPa</w:t>
      </w:r>
      <w:proofErr w:type="spellEnd"/>
      <w:r w:rsidRPr="002E5B56">
        <w:rPr>
          <w:rFonts w:ascii="Arial" w:hAnsi="Arial" w:cs="Arial"/>
          <w:lang w:val="en-US"/>
        </w:rPr>
        <w:t>) points respectively</w:t>
      </w:r>
    </w:p>
    <w:p w:rsidR="00122BE8" w:rsidRDefault="00122BE8" w:rsidP="0079305A">
      <w:pPr>
        <w:spacing w:line="480" w:lineRule="auto"/>
        <w:jc w:val="both"/>
        <w:rPr>
          <w:rFonts w:ascii="Arial" w:hAnsi="Arial" w:cs="Arial"/>
          <w:lang w:val="en-US"/>
        </w:rPr>
      </w:pPr>
    </w:p>
    <w:p w:rsidR="00F13A5C" w:rsidRPr="00585F4A" w:rsidRDefault="00585F4A" w:rsidP="0079305A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lang w:val="en-US"/>
        </w:rPr>
        <w:t xml:space="preserve">Table </w:t>
      </w:r>
      <w:r w:rsidR="0079305A" w:rsidRPr="0079305A">
        <w:rPr>
          <w:rFonts w:ascii="Arial" w:hAnsi="Arial" w:cs="Arial"/>
          <w:lang w:val="en-US"/>
        </w:rPr>
        <w:t>1.</w:t>
      </w:r>
      <w:proofErr w:type="gramEnd"/>
      <w:r w:rsidR="0079305A" w:rsidRPr="0079305A">
        <w:rPr>
          <w:rFonts w:ascii="Arial" w:hAnsi="Arial" w:cs="Arial"/>
          <w:lang w:val="en-US"/>
        </w:rPr>
        <w:t xml:space="preserve"> Soi</w:t>
      </w:r>
      <w:r w:rsidR="00A302AB">
        <w:rPr>
          <w:rFonts w:ascii="Arial" w:hAnsi="Arial" w:cs="Arial"/>
          <w:lang w:val="en-US"/>
        </w:rPr>
        <w:t>l depth (DP), wilting point (WPP), field capacity (FCP</w:t>
      </w:r>
      <w:r w:rsidR="0079305A" w:rsidRPr="0079305A">
        <w:rPr>
          <w:rFonts w:ascii="Arial" w:hAnsi="Arial" w:cs="Arial"/>
          <w:lang w:val="en-US"/>
        </w:rPr>
        <w:t>), saturation point (ST</w:t>
      </w:r>
      <w:r w:rsidR="00A302AB">
        <w:rPr>
          <w:rFonts w:ascii="Arial" w:hAnsi="Arial" w:cs="Arial"/>
          <w:lang w:val="en-US"/>
        </w:rPr>
        <w:t xml:space="preserve">P) and </w:t>
      </w:r>
      <w:proofErr w:type="spellStart"/>
      <w:r w:rsidR="00A302AB">
        <w:rPr>
          <w:rFonts w:ascii="Arial" w:hAnsi="Arial" w:cs="Arial"/>
          <w:lang w:val="en-US"/>
        </w:rPr>
        <w:t>Mualen</w:t>
      </w:r>
      <w:proofErr w:type="spellEnd"/>
      <w:r w:rsidR="00A302AB">
        <w:rPr>
          <w:rFonts w:ascii="Arial" w:hAnsi="Arial" w:cs="Arial"/>
          <w:lang w:val="en-US"/>
        </w:rPr>
        <w:t>-v</w:t>
      </w:r>
      <w:r w:rsidR="00A302AB" w:rsidRPr="000E4EED">
        <w:rPr>
          <w:rFonts w:ascii="Arial" w:hAnsi="Arial" w:cs="Arial"/>
          <w:lang w:val="en-US"/>
        </w:rPr>
        <w:t xml:space="preserve">an </w:t>
      </w:r>
      <w:proofErr w:type="spellStart"/>
      <w:r w:rsidR="00A302AB" w:rsidRPr="000E4EED">
        <w:rPr>
          <w:rFonts w:ascii="Arial" w:hAnsi="Arial" w:cs="Arial"/>
          <w:lang w:val="en-US"/>
        </w:rPr>
        <w:t>Genuchten</w:t>
      </w:r>
      <w:proofErr w:type="spellEnd"/>
      <w:r w:rsidR="00A302AB">
        <w:rPr>
          <w:rFonts w:ascii="Arial" w:hAnsi="Arial" w:cs="Arial"/>
          <w:lang w:val="en-US"/>
        </w:rPr>
        <w:t xml:space="preserve"> Coefficients (</w:t>
      </w:r>
      <w:proofErr w:type="spellStart"/>
      <w:r w:rsidR="00A302AB" w:rsidRPr="00A302AB">
        <w:rPr>
          <w:rFonts w:ascii="Arial" w:hAnsi="Arial" w:cs="Arial"/>
          <w:lang w:val="en-US"/>
        </w:rPr>
        <w:t>θ</w:t>
      </w:r>
      <w:r w:rsidR="00A302AB">
        <w:rPr>
          <w:rFonts w:ascii="Arial" w:hAnsi="Arial" w:cs="Arial"/>
          <w:lang w:val="en-US"/>
        </w:rPr>
        <w:t>res</w:t>
      </w:r>
      <w:proofErr w:type="spellEnd"/>
      <w:r w:rsidR="00A302AB">
        <w:rPr>
          <w:rFonts w:ascii="Arial" w:hAnsi="Arial" w:cs="Arial"/>
          <w:lang w:val="en-US"/>
        </w:rPr>
        <w:t xml:space="preserve">, </w:t>
      </w:r>
      <w:proofErr w:type="spellStart"/>
      <w:r w:rsidR="00A302AB" w:rsidRPr="00A302AB">
        <w:rPr>
          <w:rFonts w:ascii="Arial" w:hAnsi="Arial" w:cs="Arial"/>
          <w:lang w:val="en-US"/>
        </w:rPr>
        <w:t>θ</w:t>
      </w:r>
      <w:r w:rsidR="00A302AB">
        <w:rPr>
          <w:rFonts w:ascii="Arial" w:hAnsi="Arial" w:cs="Arial"/>
          <w:lang w:val="en-US"/>
        </w:rPr>
        <w:t>sat</w:t>
      </w:r>
      <w:proofErr w:type="spellEnd"/>
      <w:r w:rsidR="00A302AB">
        <w:rPr>
          <w:rFonts w:ascii="Arial" w:hAnsi="Arial" w:cs="Arial"/>
          <w:lang w:val="en-US"/>
        </w:rPr>
        <w:t xml:space="preserve"> </w:t>
      </w:r>
      <w:r w:rsidR="00A302AB" w:rsidRPr="00A302AB">
        <w:rPr>
          <w:rFonts w:ascii="Arial" w:hAnsi="Arial" w:cs="Arial"/>
          <w:lang w:val="en-US"/>
        </w:rPr>
        <w:t>α, n</w:t>
      </w:r>
      <w:r w:rsidR="00A302AB">
        <w:rPr>
          <w:rFonts w:ascii="Arial" w:hAnsi="Arial" w:cs="Arial"/>
          <w:lang w:val="en-US"/>
        </w:rPr>
        <w:t>) adjusted to soil moisture at va</w:t>
      </w:r>
      <w:r w:rsidR="00122BE8">
        <w:rPr>
          <w:rFonts w:ascii="Arial" w:hAnsi="Arial" w:cs="Arial"/>
          <w:lang w:val="en-US"/>
        </w:rPr>
        <w:t xml:space="preserve">riable </w:t>
      </w:r>
      <w:proofErr w:type="spellStart"/>
      <w:r w:rsidR="00122BE8">
        <w:rPr>
          <w:rFonts w:ascii="Arial" w:hAnsi="Arial" w:cs="Arial"/>
          <w:lang w:val="en-US"/>
        </w:rPr>
        <w:t>matric</w:t>
      </w:r>
      <w:proofErr w:type="spellEnd"/>
      <w:r w:rsidR="00122BE8">
        <w:rPr>
          <w:rFonts w:ascii="Arial" w:hAnsi="Arial" w:cs="Arial"/>
          <w:lang w:val="en-US"/>
        </w:rPr>
        <w:t xml:space="preserve"> potentials (-10 &gt; </w:t>
      </w:r>
      <w:proofErr w:type="spellStart"/>
      <w:r w:rsidR="00122BE8" w:rsidRPr="002E5B56">
        <w:rPr>
          <w:rFonts w:ascii="Arial" w:hAnsi="Arial" w:cs="Arial"/>
          <w:lang w:val="en-US"/>
        </w:rPr>
        <w:t>ψ</w:t>
      </w:r>
      <w:r w:rsidR="00122BE8">
        <w:rPr>
          <w:rFonts w:ascii="Arial" w:hAnsi="Arial" w:cs="Arial"/>
          <w:lang w:val="en-US"/>
        </w:rPr>
        <w:t>s</w:t>
      </w:r>
      <w:proofErr w:type="spellEnd"/>
      <w:r w:rsidR="00A302AB">
        <w:rPr>
          <w:rFonts w:ascii="Arial" w:hAnsi="Arial" w:cs="Arial"/>
          <w:lang w:val="en-US"/>
        </w:rPr>
        <w:t xml:space="preserve"> </w:t>
      </w:r>
      <w:r w:rsidR="00122BE8">
        <w:rPr>
          <w:rFonts w:ascii="Arial" w:hAnsi="Arial" w:cs="Arial"/>
          <w:lang w:val="en-US"/>
        </w:rPr>
        <w:t xml:space="preserve">&gt; </w:t>
      </w:r>
      <w:r w:rsidR="00A302AB">
        <w:rPr>
          <w:rFonts w:ascii="Arial" w:hAnsi="Arial" w:cs="Arial"/>
          <w:lang w:val="en-US"/>
        </w:rPr>
        <w:t xml:space="preserve">-15,000 </w:t>
      </w:r>
      <w:proofErr w:type="spellStart"/>
      <w:r w:rsidR="00A302AB">
        <w:rPr>
          <w:rFonts w:ascii="Arial" w:hAnsi="Arial" w:cs="Arial"/>
          <w:lang w:val="en-US"/>
        </w:rPr>
        <w:t>hPa</w:t>
      </w:r>
      <w:proofErr w:type="spellEnd"/>
      <w:r w:rsidR="00A302AB">
        <w:rPr>
          <w:rFonts w:ascii="Arial" w:hAnsi="Arial" w:cs="Arial"/>
          <w:lang w:val="en-US"/>
        </w:rPr>
        <w:t>).</w:t>
      </w:r>
      <w:r w:rsidR="0079305A" w:rsidRPr="0079305A">
        <w:rPr>
          <w:rFonts w:ascii="Arial" w:hAnsi="Arial" w:cs="Arial"/>
          <w:lang w:val="en-US"/>
        </w:rPr>
        <w:t xml:space="preserve"> </w:t>
      </w:r>
    </w:p>
    <w:tbl>
      <w:tblPr>
        <w:tblW w:w="8440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960"/>
        <w:gridCol w:w="1120"/>
        <w:gridCol w:w="1162"/>
        <w:gridCol w:w="1162"/>
        <w:gridCol w:w="1162"/>
        <w:gridCol w:w="1162"/>
        <w:gridCol w:w="960"/>
        <w:gridCol w:w="752"/>
      </w:tblGrid>
      <w:tr w:rsidR="00122BE8" w:rsidRPr="00122BE8" w:rsidTr="00122BE8">
        <w:trPr>
          <w:trHeight w:val="300"/>
        </w:trPr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DP</w:t>
            </w:r>
          </w:p>
        </w:tc>
        <w:tc>
          <w:tcPr>
            <w:tcW w:w="112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WPp</w:t>
            </w:r>
            <w:proofErr w:type="spellEnd"/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FCp</w:t>
            </w:r>
            <w:proofErr w:type="spellEnd"/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STp</w:t>
            </w:r>
            <w:proofErr w:type="spellEnd"/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θ</w:t>
            </w:r>
            <w:r w:rsidRPr="00122BE8">
              <w:rPr>
                <w:rFonts w:ascii="Calibri" w:eastAsia="Times New Roman" w:hAnsi="Calibri" w:cs="Arial"/>
                <w:color w:val="000000"/>
                <w:lang w:val="en-US" w:eastAsia="pt-BR"/>
              </w:rPr>
              <w:t>res</w:t>
            </w:r>
            <w:proofErr w:type="spellEnd"/>
          </w:p>
        </w:tc>
        <w:tc>
          <w:tcPr>
            <w:tcW w:w="116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θ</w:t>
            </w:r>
            <w:r w:rsidRPr="00122BE8">
              <w:rPr>
                <w:rFonts w:ascii="Calibri" w:eastAsia="Times New Roman" w:hAnsi="Calibri" w:cs="Arial"/>
                <w:color w:val="000000"/>
                <w:lang w:val="en-US" w:eastAsia="pt-BR"/>
              </w:rPr>
              <w:t>sat</w:t>
            </w:r>
            <w:proofErr w:type="spellEnd"/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α</w:t>
            </w:r>
          </w:p>
        </w:tc>
        <w:tc>
          <w:tcPr>
            <w:tcW w:w="752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n</w:t>
            </w:r>
          </w:p>
        </w:tc>
      </w:tr>
      <w:tr w:rsidR="00122BE8" w:rsidRPr="00122BE8" w:rsidTr="00122BE8">
        <w:trPr>
          <w:trHeight w:val="376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-3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-3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-3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-3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 xml:space="preserve"> 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-3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(cm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  <w:lang w:val="en-US" w:eastAsia="pt-BR"/>
              </w:rPr>
              <w:t>-1</w:t>
            </w: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)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(-)</w:t>
            </w:r>
          </w:p>
        </w:tc>
      </w:tr>
      <w:tr w:rsidR="00122BE8" w:rsidRPr="00122BE8" w:rsidTr="0012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0.216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0.285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0.380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0.122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0.198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1.145</w:t>
            </w:r>
          </w:p>
        </w:tc>
      </w:tr>
      <w:tr w:rsidR="00122BE8" w:rsidRPr="00122BE8" w:rsidTr="0012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0.240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0.303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0.352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0.021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0.043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1.067</w:t>
            </w:r>
          </w:p>
        </w:tc>
      </w:tr>
      <w:tr w:rsidR="00122BE8" w:rsidRPr="00122BE8" w:rsidTr="0012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0.278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0.347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0.390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0.023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1.060</w:t>
            </w:r>
          </w:p>
        </w:tc>
      </w:tr>
      <w:tr w:rsidR="00122BE8" w:rsidRPr="00122BE8" w:rsidTr="00122B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0.307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0.394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0.428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0.000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0.008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1.071</w:t>
            </w:r>
          </w:p>
        </w:tc>
      </w:tr>
      <w:tr w:rsidR="00122BE8" w:rsidRPr="00122BE8" w:rsidTr="00122B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0.253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0.393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pt-BR"/>
              </w:rPr>
              <w:t>0.456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0.008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122BE8" w:rsidRPr="00122BE8" w:rsidRDefault="00122BE8" w:rsidP="00122B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22BE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1.127</w:t>
            </w:r>
          </w:p>
        </w:tc>
      </w:tr>
    </w:tbl>
    <w:p w:rsidR="0079305A" w:rsidRDefault="0079305A" w:rsidP="0079305A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Arial" w:hAnsi="Arial" w:cs="Arial"/>
          <w:sz w:val="20"/>
          <w:szCs w:val="20"/>
          <w:lang w:val="en-US"/>
        </w:rPr>
      </w:pPr>
    </w:p>
    <w:p w:rsidR="00122BE8" w:rsidRPr="00585F4A" w:rsidRDefault="00122BE8" w:rsidP="0079305A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rPr>
          <w:rFonts w:ascii="Arial" w:hAnsi="Arial" w:cs="Arial"/>
          <w:sz w:val="20"/>
          <w:szCs w:val="20"/>
          <w:lang w:val="en-US"/>
        </w:rPr>
      </w:pPr>
    </w:p>
    <w:p w:rsidR="001C6340" w:rsidRPr="009F2C7B" w:rsidRDefault="00E92251" w:rsidP="0079305A">
      <w:pPr>
        <w:spacing w:line="480" w:lineRule="auto"/>
        <w:jc w:val="center"/>
        <w:rPr>
          <w:rFonts w:ascii="Arial" w:hAnsi="Arial" w:cs="Arial"/>
          <w:i/>
          <w:lang w:val="en-US"/>
        </w:rPr>
      </w:pPr>
      <w:r w:rsidRPr="009F2C7B">
        <w:rPr>
          <w:rFonts w:ascii="Arial" w:hAnsi="Arial" w:cs="Arial"/>
          <w:i/>
          <w:lang w:val="en-US"/>
        </w:rPr>
        <w:drawing>
          <wp:inline distT="0" distB="0" distL="0" distR="0">
            <wp:extent cx="3565193" cy="2852154"/>
            <wp:effectExtent l="19050" t="0" r="0" b="0"/>
            <wp:docPr id="6" name="Imagem 6" descr="D:\Murilo\sw_sc\doc\excel\fd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urilo\sw_sc\doc\excel\fdr_curv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963" cy="285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ED" w:rsidRDefault="00E92251" w:rsidP="0079305A">
      <w:pPr>
        <w:spacing w:line="480" w:lineRule="auto"/>
        <w:jc w:val="both"/>
        <w:rPr>
          <w:rFonts w:ascii="Arial" w:hAnsi="Arial" w:cs="Arial"/>
          <w:lang w:val="en-US"/>
        </w:rPr>
      </w:pPr>
      <w:proofErr w:type="gramStart"/>
      <w:r w:rsidRPr="000E4EED">
        <w:rPr>
          <w:rFonts w:ascii="Arial" w:hAnsi="Arial" w:cs="Arial"/>
          <w:lang w:val="en-US"/>
        </w:rPr>
        <w:t>Fig.</w:t>
      </w:r>
      <w:proofErr w:type="gramEnd"/>
      <w:r w:rsidRPr="000E4EED">
        <w:rPr>
          <w:rFonts w:ascii="Arial" w:hAnsi="Arial" w:cs="Arial"/>
          <w:lang w:val="en-US"/>
        </w:rPr>
        <w:t xml:space="preserve"> Paired Scaled Frequency (SF) and Soil Water Content (SWC)</w:t>
      </w:r>
      <w:r w:rsidR="009F2C7B" w:rsidRPr="000E4EED">
        <w:rPr>
          <w:rFonts w:ascii="Arial" w:hAnsi="Arial" w:cs="Arial"/>
          <w:lang w:val="en-US"/>
        </w:rPr>
        <w:t xml:space="preserve"> measured by gravimetric method (grey circles) and calculated </w:t>
      </w:r>
      <w:r w:rsidR="00585F4A">
        <w:rPr>
          <w:rFonts w:ascii="Arial" w:hAnsi="Arial" w:cs="Arial"/>
          <w:lang w:val="en-US"/>
        </w:rPr>
        <w:t xml:space="preserve">using the </w:t>
      </w:r>
      <w:proofErr w:type="spellStart"/>
      <w:r w:rsidR="00585F4A">
        <w:rPr>
          <w:rFonts w:ascii="Arial" w:hAnsi="Arial" w:cs="Arial"/>
          <w:lang w:val="en-US"/>
        </w:rPr>
        <w:t>Mualen</w:t>
      </w:r>
      <w:proofErr w:type="spellEnd"/>
      <w:r w:rsidR="00585F4A">
        <w:rPr>
          <w:rFonts w:ascii="Arial" w:hAnsi="Arial" w:cs="Arial"/>
          <w:lang w:val="en-US"/>
        </w:rPr>
        <w:t>-v</w:t>
      </w:r>
      <w:r w:rsidR="009F2C7B" w:rsidRPr="000E4EED">
        <w:rPr>
          <w:rFonts w:ascii="Arial" w:hAnsi="Arial" w:cs="Arial"/>
          <w:lang w:val="en-US"/>
        </w:rPr>
        <w:t xml:space="preserve">an </w:t>
      </w:r>
      <w:proofErr w:type="spellStart"/>
      <w:r w:rsidR="009F2C7B" w:rsidRPr="000E4EED">
        <w:rPr>
          <w:rFonts w:ascii="Arial" w:hAnsi="Arial" w:cs="Arial"/>
          <w:lang w:val="en-US"/>
        </w:rPr>
        <w:t>Genuchten</w:t>
      </w:r>
      <w:proofErr w:type="spellEnd"/>
      <w:r w:rsidR="000E4EED" w:rsidRPr="000E4EED">
        <w:rPr>
          <w:rFonts w:ascii="Arial" w:hAnsi="Arial" w:cs="Arial"/>
          <w:lang w:val="en-US"/>
        </w:rPr>
        <w:t xml:space="preserve"> </w:t>
      </w:r>
      <w:r w:rsidR="000E4EED" w:rsidRPr="000E4EED">
        <w:rPr>
          <w:rFonts w:ascii="Arial" w:hAnsi="Arial" w:cs="Arial"/>
          <w:lang w:val="en-US"/>
        </w:rPr>
        <w:lastRenderedPageBreak/>
        <w:t>equation (</w:t>
      </w:r>
      <w:proofErr w:type="spellStart"/>
      <w:r w:rsidR="000E4EED" w:rsidRPr="000E4EED">
        <w:rPr>
          <w:rFonts w:ascii="Arial" w:hAnsi="Arial" w:cs="Arial"/>
          <w:lang w:val="en-US"/>
        </w:rPr>
        <w:t>Mualem</w:t>
      </w:r>
      <w:proofErr w:type="spellEnd"/>
      <w:r w:rsidR="000E4EED" w:rsidRPr="000E4EED">
        <w:rPr>
          <w:rFonts w:ascii="Arial" w:hAnsi="Arial" w:cs="Arial"/>
          <w:lang w:val="en-US"/>
        </w:rPr>
        <w:t>, 1976)</w:t>
      </w:r>
      <w:r w:rsidR="009F2C7B" w:rsidRPr="000E4EED">
        <w:rPr>
          <w:rFonts w:ascii="Arial" w:hAnsi="Arial" w:cs="Arial"/>
          <w:lang w:val="en-US"/>
        </w:rPr>
        <w:t xml:space="preserve"> </w:t>
      </w:r>
      <w:r w:rsidR="000E4EED" w:rsidRPr="000E4EED">
        <w:rPr>
          <w:rFonts w:ascii="Arial" w:hAnsi="Arial" w:cs="Arial"/>
          <w:lang w:val="en-US"/>
        </w:rPr>
        <w:t>at the wilting</w:t>
      </w:r>
      <w:r w:rsidR="009F2C7B" w:rsidRPr="000E4EED">
        <w:rPr>
          <w:rFonts w:ascii="Arial" w:hAnsi="Arial" w:cs="Arial"/>
          <w:lang w:val="en-US"/>
        </w:rPr>
        <w:t xml:space="preserve"> (</w:t>
      </w:r>
      <w:r w:rsidR="000E4EED" w:rsidRPr="000E4EED">
        <w:rPr>
          <w:rFonts w:ascii="Arial" w:hAnsi="Arial" w:cs="Arial"/>
          <w:lang w:val="en-US"/>
        </w:rPr>
        <w:t>red circles, Ψs = -15</w:t>
      </w:r>
      <w:r w:rsidR="0079305A">
        <w:rPr>
          <w:rFonts w:ascii="Arial" w:hAnsi="Arial" w:cs="Arial"/>
          <w:lang w:val="en-US"/>
        </w:rPr>
        <w:t xml:space="preserve">,000 </w:t>
      </w:r>
      <w:proofErr w:type="spellStart"/>
      <w:r w:rsidR="0079305A">
        <w:rPr>
          <w:rFonts w:ascii="Arial" w:hAnsi="Arial" w:cs="Arial"/>
          <w:lang w:val="en-US"/>
        </w:rPr>
        <w:t>h</w:t>
      </w:r>
      <w:r w:rsidR="000E4EED" w:rsidRPr="000E4EED">
        <w:rPr>
          <w:rFonts w:ascii="Arial" w:hAnsi="Arial" w:cs="Arial"/>
          <w:lang w:val="en-US"/>
        </w:rPr>
        <w:t>PA</w:t>
      </w:r>
      <w:proofErr w:type="spellEnd"/>
      <w:r w:rsidR="009F2C7B" w:rsidRPr="000E4EED">
        <w:rPr>
          <w:rFonts w:ascii="Arial" w:hAnsi="Arial" w:cs="Arial"/>
          <w:lang w:val="en-US"/>
        </w:rPr>
        <w:t>) and saturation</w:t>
      </w:r>
      <w:r w:rsidR="000E4EED" w:rsidRPr="000E4EED">
        <w:rPr>
          <w:rFonts w:ascii="Arial" w:hAnsi="Arial" w:cs="Arial"/>
          <w:lang w:val="en-US"/>
        </w:rPr>
        <w:t xml:space="preserve"> (blue circles, Ψs = -10</w:t>
      </w:r>
      <w:r w:rsidR="0079305A">
        <w:rPr>
          <w:rFonts w:ascii="Arial" w:hAnsi="Arial" w:cs="Arial"/>
          <w:lang w:val="en-US"/>
        </w:rPr>
        <w:t xml:space="preserve"> </w:t>
      </w:r>
      <w:proofErr w:type="spellStart"/>
      <w:r w:rsidR="0079305A">
        <w:rPr>
          <w:rFonts w:ascii="Arial" w:hAnsi="Arial" w:cs="Arial"/>
          <w:lang w:val="en-US"/>
        </w:rPr>
        <w:t>h</w:t>
      </w:r>
      <w:r w:rsidR="000E4EED" w:rsidRPr="000E4EED">
        <w:rPr>
          <w:rFonts w:ascii="Arial" w:hAnsi="Arial" w:cs="Arial"/>
          <w:lang w:val="en-US"/>
        </w:rPr>
        <w:t>PA</w:t>
      </w:r>
      <w:proofErr w:type="spellEnd"/>
      <w:r w:rsidR="000E4EED" w:rsidRPr="000E4EED">
        <w:rPr>
          <w:rFonts w:ascii="Arial" w:hAnsi="Arial" w:cs="Arial"/>
          <w:lang w:val="en-US"/>
        </w:rPr>
        <w:t>)</w:t>
      </w:r>
      <w:r w:rsidR="009F2C7B" w:rsidRPr="000E4EED">
        <w:rPr>
          <w:rFonts w:ascii="Arial" w:hAnsi="Arial" w:cs="Arial"/>
          <w:lang w:val="en-US"/>
        </w:rPr>
        <w:t xml:space="preserve"> point</w:t>
      </w:r>
      <w:r w:rsidR="000E4EED" w:rsidRPr="000E4EED">
        <w:rPr>
          <w:rFonts w:ascii="Arial" w:hAnsi="Arial" w:cs="Arial"/>
          <w:lang w:val="en-US"/>
        </w:rPr>
        <w:t xml:space="preserve">s. The lowest SF of the dry season were paired to wilting point (red), whereas the highest SF after irrigation were paired to saturation point (blue). </w:t>
      </w:r>
      <w:r w:rsidR="000E4EED">
        <w:rPr>
          <w:rFonts w:ascii="Arial" w:hAnsi="Arial" w:cs="Arial"/>
          <w:lang w:val="en-US"/>
        </w:rPr>
        <w:t>Dashed line is the adjusted calibration equation of the FDR equipment (</w:t>
      </w:r>
      <w:proofErr w:type="spellStart"/>
      <w:r w:rsidR="000E4EED">
        <w:rPr>
          <w:rFonts w:ascii="Arial" w:hAnsi="Arial" w:cs="Arial"/>
          <w:lang w:val="en-US"/>
        </w:rPr>
        <w:t>Provenzano</w:t>
      </w:r>
      <w:proofErr w:type="spellEnd"/>
      <w:r w:rsidR="000E4EED">
        <w:rPr>
          <w:rFonts w:ascii="Arial" w:hAnsi="Arial" w:cs="Arial"/>
          <w:lang w:val="en-US"/>
        </w:rPr>
        <w:t xml:space="preserve"> et al., 2015)</w:t>
      </w:r>
      <w:r w:rsidR="00EA6BCD">
        <w:rPr>
          <w:rFonts w:ascii="Arial" w:hAnsi="Arial" w:cs="Arial"/>
          <w:lang w:val="en-US"/>
        </w:rPr>
        <w:t xml:space="preserve"> and solid lines are the s</w:t>
      </w:r>
      <w:r w:rsidR="000E4EED" w:rsidRPr="000E4EED">
        <w:rPr>
          <w:rFonts w:ascii="Arial" w:hAnsi="Arial" w:cs="Arial"/>
          <w:lang w:val="en-US"/>
        </w:rPr>
        <w:t>tandard deviation</w:t>
      </w:r>
      <w:r w:rsidR="000E4EED">
        <w:rPr>
          <w:rFonts w:ascii="Arial" w:hAnsi="Arial" w:cs="Arial"/>
          <w:lang w:val="en-US"/>
        </w:rPr>
        <w:t>s</w:t>
      </w:r>
      <w:r w:rsidR="000E4EED" w:rsidRPr="000E4EED">
        <w:rPr>
          <w:rFonts w:ascii="Arial" w:hAnsi="Arial" w:cs="Arial"/>
          <w:lang w:val="en-US"/>
        </w:rPr>
        <w:t>.</w:t>
      </w:r>
    </w:p>
    <w:p w:rsidR="00EA6BCD" w:rsidRPr="000E4EED" w:rsidRDefault="00EA6BCD" w:rsidP="0079305A">
      <w:pPr>
        <w:spacing w:line="480" w:lineRule="auto"/>
        <w:jc w:val="both"/>
        <w:rPr>
          <w:rFonts w:ascii="Arial" w:hAnsi="Arial" w:cs="Arial"/>
          <w:lang w:val="en-US"/>
        </w:rPr>
      </w:pPr>
    </w:p>
    <w:p w:rsidR="009F2C7B" w:rsidRPr="000E4EED" w:rsidRDefault="000E4EED" w:rsidP="0079305A">
      <w:pPr>
        <w:spacing w:line="48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0E4EED">
        <w:rPr>
          <w:rFonts w:ascii="Arial" w:hAnsi="Arial" w:cs="Arial"/>
          <w:sz w:val="28"/>
          <w:szCs w:val="28"/>
          <w:lang w:val="en-US"/>
        </w:rPr>
        <w:t>Reference</w:t>
      </w:r>
      <w:r>
        <w:rPr>
          <w:rFonts w:ascii="Arial" w:hAnsi="Arial" w:cs="Arial"/>
          <w:sz w:val="28"/>
          <w:szCs w:val="28"/>
          <w:lang w:val="en-US"/>
        </w:rPr>
        <w:t>s</w:t>
      </w:r>
    </w:p>
    <w:p w:rsidR="009F2C7B" w:rsidRDefault="009F2C7B" w:rsidP="0079305A">
      <w:pPr>
        <w:spacing w:line="480" w:lineRule="auto"/>
        <w:jc w:val="both"/>
        <w:rPr>
          <w:rFonts w:ascii="Arial" w:hAnsi="Arial" w:cs="Arial"/>
          <w:lang w:val="en-US"/>
        </w:rPr>
      </w:pPr>
      <w:proofErr w:type="spellStart"/>
      <w:r w:rsidRPr="000E4EED">
        <w:rPr>
          <w:rFonts w:ascii="Arial" w:hAnsi="Arial" w:cs="Arial"/>
          <w:lang w:val="en-US"/>
        </w:rPr>
        <w:t>Mualem</w:t>
      </w:r>
      <w:proofErr w:type="spellEnd"/>
      <w:r w:rsidRPr="000E4EED">
        <w:rPr>
          <w:rFonts w:ascii="Arial" w:hAnsi="Arial" w:cs="Arial"/>
          <w:lang w:val="en-US"/>
        </w:rPr>
        <w:t xml:space="preserve">, </w:t>
      </w:r>
      <w:proofErr w:type="spellStart"/>
      <w:r w:rsidRPr="000E4EED">
        <w:rPr>
          <w:rFonts w:ascii="Arial" w:hAnsi="Arial" w:cs="Arial"/>
          <w:lang w:val="en-US"/>
        </w:rPr>
        <w:t>Yechezkel</w:t>
      </w:r>
      <w:proofErr w:type="spellEnd"/>
      <w:r w:rsidRPr="000E4EED">
        <w:rPr>
          <w:rFonts w:ascii="Arial" w:hAnsi="Arial" w:cs="Arial"/>
          <w:lang w:val="en-US"/>
        </w:rPr>
        <w:t xml:space="preserve">. </w:t>
      </w:r>
      <w:proofErr w:type="gramStart"/>
      <w:r w:rsidRPr="000E4EED">
        <w:rPr>
          <w:rFonts w:ascii="Arial" w:hAnsi="Arial" w:cs="Arial"/>
          <w:lang w:val="en-US"/>
        </w:rPr>
        <w:t>"A new model for predicting the hydraulic conductivity of unsaturated porous media."</w:t>
      </w:r>
      <w:proofErr w:type="gramEnd"/>
      <w:r w:rsidRPr="000E4EED">
        <w:rPr>
          <w:rFonts w:ascii="Arial" w:hAnsi="Arial" w:cs="Arial"/>
          <w:lang w:val="en-US"/>
        </w:rPr>
        <w:t> </w:t>
      </w:r>
      <w:proofErr w:type="spellStart"/>
      <w:r w:rsidRPr="000E4EED">
        <w:rPr>
          <w:rFonts w:ascii="Arial" w:hAnsi="Arial" w:cs="Arial"/>
          <w:lang w:val="en-US"/>
        </w:rPr>
        <w:t>Water</w:t>
      </w:r>
      <w:proofErr w:type="spellEnd"/>
      <w:r w:rsidRPr="000E4EED">
        <w:rPr>
          <w:rFonts w:ascii="Arial" w:hAnsi="Arial" w:cs="Arial"/>
          <w:lang w:val="en-US"/>
        </w:rPr>
        <w:t xml:space="preserve"> resources research 12.3 (1976): 513-522.</w:t>
      </w:r>
    </w:p>
    <w:p w:rsidR="00EA6BCD" w:rsidRPr="000E4EED" w:rsidRDefault="00EA6BCD" w:rsidP="0079305A">
      <w:pPr>
        <w:spacing w:line="480" w:lineRule="auto"/>
        <w:jc w:val="both"/>
        <w:rPr>
          <w:rFonts w:ascii="Arial" w:hAnsi="Arial" w:cs="Arial"/>
          <w:lang w:val="en-US"/>
        </w:rPr>
      </w:pPr>
      <w:proofErr w:type="spellStart"/>
      <w:proofErr w:type="gramStart"/>
      <w:r w:rsidRPr="00EA6BCD">
        <w:rPr>
          <w:rFonts w:ascii="Arial" w:hAnsi="Arial" w:cs="Arial"/>
          <w:lang w:val="en-US"/>
        </w:rPr>
        <w:t>Provenzano</w:t>
      </w:r>
      <w:proofErr w:type="spellEnd"/>
      <w:r w:rsidRPr="00EA6BCD">
        <w:rPr>
          <w:rFonts w:ascii="Arial" w:hAnsi="Arial" w:cs="Arial"/>
          <w:lang w:val="en-US"/>
        </w:rPr>
        <w:t xml:space="preserve">, Giuseppe, Giovanni </w:t>
      </w:r>
      <w:proofErr w:type="spellStart"/>
      <w:r w:rsidRPr="00EA6BCD">
        <w:rPr>
          <w:rFonts w:ascii="Arial" w:hAnsi="Arial" w:cs="Arial"/>
          <w:lang w:val="en-US"/>
        </w:rPr>
        <w:t>Rallo</w:t>
      </w:r>
      <w:proofErr w:type="spellEnd"/>
      <w:r w:rsidRPr="00EA6BCD">
        <w:rPr>
          <w:rFonts w:ascii="Arial" w:hAnsi="Arial" w:cs="Arial"/>
          <w:lang w:val="en-US"/>
        </w:rPr>
        <w:t xml:space="preserve">, and </w:t>
      </w:r>
      <w:proofErr w:type="spellStart"/>
      <w:r w:rsidRPr="00EA6BCD">
        <w:rPr>
          <w:rFonts w:ascii="Arial" w:hAnsi="Arial" w:cs="Arial"/>
          <w:lang w:val="en-US"/>
        </w:rPr>
        <w:t>Hiba</w:t>
      </w:r>
      <w:proofErr w:type="spellEnd"/>
      <w:r w:rsidRPr="00EA6BCD">
        <w:rPr>
          <w:rFonts w:ascii="Arial" w:hAnsi="Arial" w:cs="Arial"/>
          <w:lang w:val="en-US"/>
        </w:rPr>
        <w:t xml:space="preserve"> </w:t>
      </w:r>
      <w:proofErr w:type="spellStart"/>
      <w:r w:rsidRPr="00EA6BCD">
        <w:rPr>
          <w:rFonts w:ascii="Arial" w:hAnsi="Arial" w:cs="Arial"/>
          <w:lang w:val="en-US"/>
        </w:rPr>
        <w:t>Ghazouani</w:t>
      </w:r>
      <w:proofErr w:type="spellEnd"/>
      <w:r w:rsidRPr="00EA6BCD">
        <w:rPr>
          <w:rFonts w:ascii="Arial" w:hAnsi="Arial" w:cs="Arial"/>
          <w:lang w:val="en-US"/>
        </w:rPr>
        <w:t>.</w:t>
      </w:r>
      <w:proofErr w:type="gramEnd"/>
      <w:r w:rsidRPr="00EA6BCD">
        <w:rPr>
          <w:rFonts w:ascii="Arial" w:hAnsi="Arial" w:cs="Arial"/>
          <w:lang w:val="en-US"/>
        </w:rPr>
        <w:t xml:space="preserve"> </w:t>
      </w:r>
      <w:proofErr w:type="gramStart"/>
      <w:r w:rsidRPr="00EA6BCD">
        <w:rPr>
          <w:rFonts w:ascii="Arial" w:hAnsi="Arial" w:cs="Arial"/>
          <w:lang w:val="en-US"/>
        </w:rPr>
        <w:t>"Assessing field and laboratory calibration protocols for the diviner 2000 probe in a range of soils with different textures."</w:t>
      </w:r>
      <w:proofErr w:type="gramEnd"/>
      <w:r w:rsidRPr="00EA6BCD">
        <w:rPr>
          <w:rFonts w:ascii="Arial" w:hAnsi="Arial" w:cs="Arial"/>
          <w:lang w:val="en-US"/>
        </w:rPr>
        <w:t xml:space="preserve"> Journal of Irrigation and </w:t>
      </w:r>
      <w:proofErr w:type="spellStart"/>
      <w:r w:rsidRPr="00EA6BCD">
        <w:rPr>
          <w:rFonts w:ascii="Arial" w:hAnsi="Arial" w:cs="Arial"/>
          <w:lang w:val="en-US"/>
        </w:rPr>
        <w:t>Drainage</w:t>
      </w:r>
      <w:proofErr w:type="spellEnd"/>
      <w:r w:rsidRPr="00EA6BCD">
        <w:rPr>
          <w:rFonts w:ascii="Arial" w:hAnsi="Arial" w:cs="Arial"/>
          <w:lang w:val="en-US"/>
        </w:rPr>
        <w:t xml:space="preserve"> </w:t>
      </w:r>
      <w:proofErr w:type="spellStart"/>
      <w:r w:rsidRPr="00EA6BCD">
        <w:rPr>
          <w:rFonts w:ascii="Arial" w:hAnsi="Arial" w:cs="Arial"/>
          <w:lang w:val="en-US"/>
        </w:rPr>
        <w:t>Engineering</w:t>
      </w:r>
      <w:proofErr w:type="spellEnd"/>
      <w:r w:rsidRPr="00EA6BCD">
        <w:rPr>
          <w:rFonts w:ascii="Arial" w:hAnsi="Arial" w:cs="Arial"/>
          <w:lang w:val="en-US"/>
        </w:rPr>
        <w:t> 142.2 (2015): 04015040.</w:t>
      </w:r>
    </w:p>
    <w:sectPr w:rsidR="00EA6BCD" w:rsidRPr="000E4EED" w:rsidSect="0016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DF415D"/>
    <w:rsid w:val="0004693A"/>
    <w:rsid w:val="000D6C48"/>
    <w:rsid w:val="000E4EED"/>
    <w:rsid w:val="00117136"/>
    <w:rsid w:val="00122BE8"/>
    <w:rsid w:val="00165955"/>
    <w:rsid w:val="00233879"/>
    <w:rsid w:val="002E5B56"/>
    <w:rsid w:val="003B2E16"/>
    <w:rsid w:val="00432AE8"/>
    <w:rsid w:val="004A79FB"/>
    <w:rsid w:val="00585F4A"/>
    <w:rsid w:val="0064487E"/>
    <w:rsid w:val="00652A4B"/>
    <w:rsid w:val="0079305A"/>
    <w:rsid w:val="008062CE"/>
    <w:rsid w:val="009A235D"/>
    <w:rsid w:val="009F2C7B"/>
    <w:rsid w:val="00A302AB"/>
    <w:rsid w:val="00BB61AB"/>
    <w:rsid w:val="00C57263"/>
    <w:rsid w:val="00CC7174"/>
    <w:rsid w:val="00D66568"/>
    <w:rsid w:val="00DE39A2"/>
    <w:rsid w:val="00DF415D"/>
    <w:rsid w:val="00E92251"/>
    <w:rsid w:val="00EA6BCD"/>
    <w:rsid w:val="00F1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9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4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1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5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Unicamp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murilo.vianna</dc:creator>
  <cp:lastModifiedBy>murilo.vianna</cp:lastModifiedBy>
  <cp:revision>1</cp:revision>
  <dcterms:created xsi:type="dcterms:W3CDTF">2019-09-24T15:44:00Z</dcterms:created>
  <dcterms:modified xsi:type="dcterms:W3CDTF">2019-09-24T18:01:00Z</dcterms:modified>
</cp:coreProperties>
</file>