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0"/>
        </w:tabs>
        <w:spacing w:before="240" w:line="240" w:lineRule="auto"/>
        <w:ind w:left="1" w:hanging="3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Monitor de Economia de Energia e Água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0"/>
        </w:tabs>
        <w:spacing w:before="240" w:line="240" w:lineRule="auto"/>
        <w:ind w:left="0" w:hanging="2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Luisa da Cruz Coelho 82312510</w:t>
      </w:r>
      <w:r w:rsidDel="00000000" w:rsidR="00000000" w:rsidRPr="00000000">
        <w:rPr>
          <w:b w:val="1"/>
          <w:color w:val="000000"/>
          <w:vertAlign w:val="superscript"/>
          <w:rtl w:val="0"/>
        </w:rPr>
        <w:t xml:space="preserve">1</w:t>
      </w:r>
      <w:r w:rsidDel="00000000" w:rsidR="00000000" w:rsidRPr="00000000">
        <w:rPr>
          <w:b w:val="1"/>
          <w:color w:val="000000"/>
          <w:rtl w:val="0"/>
        </w:rPr>
        <w:t xml:space="preserve">, Murilo Brigatti da Silva 823158112</w:t>
      </w:r>
      <w:r w:rsidDel="00000000" w:rsidR="00000000" w:rsidRPr="00000000">
        <w:rPr>
          <w:b w:val="1"/>
          <w:color w:val="000000"/>
          <w:vertAlign w:val="superscript"/>
          <w:rtl w:val="0"/>
        </w:rPr>
        <w:t xml:space="preserve">2</w:t>
      </w:r>
      <w:r w:rsidDel="00000000" w:rsidR="00000000" w:rsidRPr="00000000">
        <w:rPr>
          <w:b w:val="1"/>
          <w:color w:val="000000"/>
          <w:rtl w:val="0"/>
        </w:rPr>
        <w:t xml:space="preserve">, Murilo Fernandes Corso 823129492</w:t>
      </w:r>
      <w:r w:rsidDel="00000000" w:rsidR="00000000" w:rsidRPr="00000000">
        <w:rPr>
          <w:b w:val="1"/>
          <w:color w:val="000000"/>
          <w:vertAlign w:val="superscript"/>
          <w:rtl w:val="0"/>
        </w:rPr>
        <w:t xml:space="preserve">1</w:t>
      </w:r>
      <w:r w:rsidDel="00000000" w:rsidR="00000000" w:rsidRPr="00000000">
        <w:rPr>
          <w:b w:val="1"/>
          <w:color w:val="000000"/>
          <w:rtl w:val="0"/>
        </w:rPr>
        <w:t xml:space="preserve">, Murilo Frederico Garcez 823153149</w:t>
      </w:r>
      <w:r w:rsidDel="00000000" w:rsidR="00000000" w:rsidRPr="00000000">
        <w:rPr>
          <w:b w:val="1"/>
          <w:color w:val="000000"/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720"/>
        </w:tabs>
        <w:spacing w:before="240" w:lineRule="auto"/>
        <w:ind w:left="0" w:hanging="2"/>
        <w:jc w:val="center"/>
        <w:rPr/>
      </w:pPr>
      <w:r w:rsidDel="00000000" w:rsidR="00000000" w:rsidRPr="00000000">
        <w:rPr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Universidade São Judas Tadeu (USJT)</w:t>
        <w:br w:type="textWrapping"/>
        <w:t xml:space="preserve">Campus </w:t>
      </w:r>
      <w:r w:rsidDel="00000000" w:rsidR="00000000" w:rsidRPr="00000000">
        <w:rPr>
          <w:color w:val="000000"/>
          <w:rtl w:val="0"/>
        </w:rPr>
        <w:t xml:space="preserve">Mooca</w:t>
      </w:r>
      <w:r w:rsidDel="00000000" w:rsidR="00000000" w:rsidRPr="00000000">
        <w:rPr>
          <w:rtl w:val="0"/>
        </w:rPr>
        <w:t xml:space="preserve">, São Paulo, SP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0"/>
        </w:tabs>
        <w:spacing w:after="120" w:line="240" w:lineRule="auto"/>
        <w:ind w:left="0" w:hanging="2"/>
        <w:jc w:val="center"/>
        <w:rPr>
          <w:rFonts w:ascii="Courier New" w:cs="Courier New" w:eastAsia="Courier New" w:hAnsi="Courier New"/>
          <w:sz w:val="20"/>
          <w:szCs w:val="20"/>
        </w:rPr>
        <w:sectPr>
          <w:headerReference r:id="rId7" w:type="default"/>
          <w:headerReference r:id="rId8" w:type="even"/>
          <w:footerReference r:id="rId9" w:type="first"/>
          <w:footerReference r:id="rId10" w:type="even"/>
          <w:pgSz w:h="16840" w:w="11907" w:orient="portrait"/>
          <w:pgMar w:bottom="1418" w:top="1985" w:left="1701" w:right="1701" w:header="964" w:footer="964"/>
          <w:pgNumType w:start="101"/>
        </w:sect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murilobrbrigatti@gmail.com, </w:t>
      </w:r>
      <w:hyperlink r:id="rId11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823158112@ulife.com.br</w:t>
        </w:r>
      </w:hyperlink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0"/>
        </w:tabs>
        <w:spacing w:after="120" w:line="240" w:lineRule="auto"/>
        <w:ind w:left="0" w:right="454" w:hanging="2"/>
        <w:rPr>
          <w:i w:val="1"/>
          <w:color w:val="000000"/>
        </w:rPr>
      </w:pPr>
      <w:r w:rsidDel="00000000" w:rsidR="00000000" w:rsidRPr="00000000">
        <w:rPr>
          <w:b w:val="1"/>
          <w:i w:val="1"/>
          <w:color w:val="000000"/>
          <w:rtl w:val="0"/>
        </w:rPr>
        <w:t xml:space="preserve">Resumo.</w:t>
      </w:r>
      <w:r w:rsidDel="00000000" w:rsidR="00000000" w:rsidRPr="00000000">
        <w:rPr>
          <w:i w:val="1"/>
          <w:color w:val="000000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Breve introdução. Contexto investigado. Objetivo do trabalho. Método de Pesquisa. Resultados. Considerações finais.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0"/>
        </w:tabs>
        <w:spacing w:before="240" w:line="240" w:lineRule="auto"/>
        <w:ind w:left="1" w:hanging="3"/>
        <w:jc w:val="left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</w:t>
      </w:r>
      <w:r w:rsidDel="00000000" w:rsidR="00000000" w:rsidRPr="00000000">
        <w:rPr>
          <w:b w:val="1"/>
          <w:sz w:val="26"/>
          <w:szCs w:val="26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720"/>
        </w:tabs>
        <w:spacing w:after="280" w:before="280" w:line="360" w:lineRule="auto"/>
        <w:ind w:left="0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A crescente demanda por recursos naturais, aliada ao desperdício e ao uso ineficiente de água e energia, representa um desafio ambiental e econômico significativo. O consumo excessivo desses recursos está diretamente relacionado a impactos ambientais como a escassez hídrica, o aumento das emissões de gases de efeito estufa e a degradação dos ecossistemas. Diante desse cenário, torna-se essencial a adoção de estratégias que promovam a conscientização e a eficiência no uso de tais recursos.</w:t>
      </w:r>
    </w:p>
    <w:p w:rsidR="00000000" w:rsidDel="00000000" w:rsidP="00000000" w:rsidRDefault="00000000" w:rsidRPr="00000000" w14:paraId="00000008">
      <w:pPr>
        <w:tabs>
          <w:tab w:val="left" w:leader="none" w:pos="720"/>
        </w:tabs>
        <w:spacing w:after="280" w:before="280" w:line="360" w:lineRule="auto"/>
        <w:ind w:left="0" w:hanging="2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Neste contexto, o presente projeto propõe o desenvolvimento de uma plataforma web para o monitoramento do consumo de energia e água, visando sensibilizar usuários sobre a importância da gestão sustentável desses insumos. A ferramenta permitirá a identificação de padrões de consumo excessivo, fornecendo análises e recomendações baseadas em dados para otimizar o uso dos recursos naturais. Dessa forma, busca-se contribuir para a redução de desperdícios, a mitigação dos impactos ambientais e a promoção de uma cultura de sustentabilidade.</w:t>
      </w:r>
    </w:p>
    <w:p w:rsidR="00000000" w:rsidDel="00000000" w:rsidP="00000000" w:rsidRDefault="00000000" w:rsidRPr="00000000" w14:paraId="00000009">
      <w:pPr>
        <w:tabs>
          <w:tab w:val="left" w:leader="none" w:pos="720"/>
        </w:tabs>
        <w:spacing w:after="240" w:before="240" w:line="360" w:lineRule="auto"/>
        <w:ind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720"/>
        </w:tabs>
        <w:spacing w:after="240" w:before="240" w:line="360" w:lineRule="auto"/>
        <w:ind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 Justificativa</w:t>
      </w:r>
    </w:p>
    <w:p w:rsidR="00000000" w:rsidDel="00000000" w:rsidP="00000000" w:rsidRDefault="00000000" w:rsidRPr="00000000" w14:paraId="0000000B">
      <w:pPr>
        <w:tabs>
          <w:tab w:val="left" w:leader="none" w:pos="720"/>
        </w:tabs>
        <w:spacing w:after="240" w:before="240" w:line="360" w:lineRule="auto"/>
        <w:ind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maioria dos usuários só toma conhecimento de seu consumo de água e energia ao receber a fatura mensal. A ausência de um acompanhamento regular impede a percepção de padrões excessivos ou irracionais de consumo. Uma ferramenta de monitoramento simples e de fácil uso pode contribuir diretamente para a redução do desperdício e promover mudanças de comportamento sustentáveis.</w:t>
      </w:r>
    </w:p>
    <w:p w:rsidR="00000000" w:rsidDel="00000000" w:rsidP="00000000" w:rsidRDefault="00000000" w:rsidRPr="00000000" w14:paraId="0000000C">
      <w:pPr>
        <w:tabs>
          <w:tab w:val="left" w:leader="none" w:pos="720"/>
        </w:tabs>
        <w:spacing w:after="280" w:before="280" w:line="360" w:lineRule="auto"/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720"/>
        </w:tabs>
        <w:spacing w:after="240" w:before="240" w:line="360" w:lineRule="auto"/>
        <w:ind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 Objetivo</w:t>
      </w:r>
    </w:p>
    <w:p w:rsidR="00000000" w:rsidDel="00000000" w:rsidP="00000000" w:rsidRDefault="00000000" w:rsidRPr="00000000" w14:paraId="0000000E">
      <w:pPr>
        <w:tabs>
          <w:tab w:val="left" w:leader="none" w:pos="720"/>
        </w:tabs>
        <w:spacing w:after="240" w:before="240" w:line="360" w:lineRule="auto"/>
        <w:ind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Desenvolver e avaliar uma plataforma web para monitoramento de consumo doméstico de água e energia, com foco na usabilidade e conscientização ambiental. O sistema deverá identificar padrões de consumo, emitir alertas de gasto elevado e oferecer sugestões de economia.</w:t>
      </w:r>
    </w:p>
    <w:p w:rsidR="00000000" w:rsidDel="00000000" w:rsidP="00000000" w:rsidRDefault="00000000" w:rsidRPr="00000000" w14:paraId="0000000F">
      <w:pPr>
        <w:tabs>
          <w:tab w:val="left" w:leader="none" w:pos="720"/>
        </w:tabs>
        <w:spacing w:after="240" w:before="240" w:line="360" w:lineRule="auto"/>
        <w:ind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720"/>
        </w:tabs>
        <w:spacing w:after="240" w:before="240" w:line="360" w:lineRule="auto"/>
        <w:ind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 Metodologia</w:t>
      </w:r>
    </w:p>
    <w:p w:rsidR="00000000" w:rsidDel="00000000" w:rsidP="00000000" w:rsidRDefault="00000000" w:rsidRPr="00000000" w14:paraId="00000011">
      <w:pPr>
        <w:tabs>
          <w:tab w:val="left" w:leader="none" w:pos="720"/>
        </w:tabs>
        <w:spacing w:after="240" w:before="240" w:line="360" w:lineRule="auto"/>
        <w:ind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projeto foi estruturado em três etapas principais: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left" w:leader="none" w:pos="720"/>
        </w:tabs>
        <w:spacing w:after="0" w:afterAutospacing="0" w:before="240" w:line="36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Levantamento de dados: Foram utilizados dados simulados com base em médias divulgadas por órgãos como o Ministério de Minas e Energia (MME) e a Organização das Nações Unidas (ONU)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left" w:leader="none" w:pos="720"/>
        </w:tabs>
        <w:spacing w:after="0" w:afterAutospacing="0" w:before="0" w:beforeAutospacing="0" w:line="36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Desenvolvimento da plataforma: Criada uma interface responsiva e intuitiva para inserção de dados e visualização de histórico de consumo.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tabs>
          <w:tab w:val="left" w:leader="none" w:pos="720"/>
        </w:tabs>
        <w:spacing w:after="240" w:before="0" w:beforeAutospacing="0" w:line="36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Avaliação de usabilidade: Realizados testes informais com três usuários voluntários, observando a facilidade de uso, compreensão das funções e tempo de resposta da aplicação.</w:t>
      </w:r>
    </w:p>
    <w:p w:rsidR="00000000" w:rsidDel="00000000" w:rsidP="00000000" w:rsidRDefault="00000000" w:rsidRPr="00000000" w14:paraId="00000015">
      <w:pPr>
        <w:tabs>
          <w:tab w:val="left" w:leader="none" w:pos="720"/>
        </w:tabs>
        <w:spacing w:after="240" w:before="240" w:line="360" w:lineRule="auto"/>
        <w:ind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720"/>
        </w:tabs>
        <w:spacing w:after="240" w:before="240" w:line="360" w:lineRule="auto"/>
        <w:ind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5. Resultados Esperados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tabs>
          <w:tab w:val="left" w:leader="none" w:pos="720"/>
        </w:tabs>
        <w:spacing w:after="0" w:afterAutospacing="0" w:before="240" w:line="36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Plataforma funcional para cadastro de dados e visualização de gráficos e relatórios simples.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tabs>
          <w:tab w:val="left" w:leader="none" w:pos="720"/>
        </w:tabs>
        <w:spacing w:after="0" w:afterAutospacing="0" w:before="0" w:beforeAutospacing="0" w:line="36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Geração de alertas quando o consumo for superior à média definida.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tabs>
          <w:tab w:val="left" w:leader="none" w:pos="720"/>
        </w:tabs>
        <w:spacing w:after="0" w:afterAutospacing="0" w:before="0" w:beforeAutospacing="0" w:line="36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Sugestões personalizadas de economia com base nos dados inseridos.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tabs>
          <w:tab w:val="left" w:leader="none" w:pos="720"/>
        </w:tabs>
        <w:spacing w:after="0" w:afterAutospacing="0" w:before="0" w:beforeAutospacing="0" w:line="36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Interface acessível em diferentes dispositivos (celular, tablet, desktop).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tabs>
          <w:tab w:val="left" w:leader="none" w:pos="720"/>
        </w:tabs>
        <w:spacing w:after="240" w:before="0" w:beforeAutospacing="0" w:line="36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Feedback positivo quanto à usabilidade nos testes informais.</w:t>
      </w:r>
    </w:p>
    <w:p w:rsidR="00000000" w:rsidDel="00000000" w:rsidP="00000000" w:rsidRDefault="00000000" w:rsidRPr="00000000" w14:paraId="0000001C">
      <w:pPr>
        <w:tabs>
          <w:tab w:val="left" w:leader="none" w:pos="720"/>
        </w:tabs>
        <w:spacing w:after="240" w:before="240" w:line="360" w:lineRule="auto"/>
        <w:ind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720"/>
        </w:tabs>
        <w:spacing w:after="240" w:before="240" w:line="360" w:lineRule="auto"/>
        <w:ind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6. Requisitos do Sistema</w:t>
      </w:r>
    </w:p>
    <w:p w:rsidR="00000000" w:rsidDel="00000000" w:rsidP="00000000" w:rsidRDefault="00000000" w:rsidRPr="00000000" w14:paraId="0000001E">
      <w:pPr>
        <w:tabs>
          <w:tab w:val="left" w:leader="none" w:pos="720"/>
        </w:tabs>
        <w:spacing w:after="240" w:before="240" w:line="360" w:lineRule="auto"/>
        <w:ind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6.1 Requisitos Funcionais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tabs>
          <w:tab w:val="left" w:leader="none" w:pos="720"/>
        </w:tabs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RF01 – Cadastro de usuários:</w:t>
        <w:br w:type="textWrapping"/>
        <w:t xml:space="preserve"> O sistema deve permitir o cadastro de novos usuários com nome, e-mail e senha.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tabs>
          <w:tab w:val="left" w:leader="none" w:pos="720"/>
        </w:tabs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RF02 – Login e logout:</w:t>
        <w:br w:type="textWrapping"/>
        <w:t xml:space="preserve"> O sistema deve permitir que os usuários façam login e logout de suas contas.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tabs>
          <w:tab w:val="left" w:leader="none" w:pos="720"/>
        </w:tabs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RF03 – Inserção de dados de consumo:</w:t>
        <w:br w:type="textWrapping"/>
        <w:t xml:space="preserve"> O usuário deve poder inserir dados de consumo mensal de água e energia elétrica.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tabs>
          <w:tab w:val="left" w:leader="none" w:pos="720"/>
        </w:tabs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RF04 – Visualização de histórico:</w:t>
        <w:br w:type="textWrapping"/>
        <w:t xml:space="preserve"> O usuário deve poder visualizar seu histórico de consumo em forma de tabela e gráficos.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tabs>
          <w:tab w:val="left" w:leader="none" w:pos="720"/>
        </w:tabs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RF05 – Alertas de consumo elevado:</w:t>
        <w:br w:type="textWrapping"/>
        <w:t xml:space="preserve"> O sistema deve gerar alertas quando houver consumo acima da média.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tabs>
          <w:tab w:val="left" w:leader="none" w:pos="720"/>
        </w:tabs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RF06 – Dicas para economia:</w:t>
        <w:br w:type="textWrapping"/>
        <w:t xml:space="preserve"> O sistema deve exibir dicas personalizadas com base no padrão de consumo do usuário.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tabs>
          <w:tab w:val="left" w:leader="none" w:pos="720"/>
        </w:tabs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RF07 – Comparação de consumo:</w:t>
        <w:br w:type="textWrapping"/>
        <w:t xml:space="preserve"> O usuário pode comparar seu consumo com a média de outros usuários ou metas sustentáveis.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tabs>
          <w:tab w:val="left" w:leader="none" w:pos="720"/>
        </w:tabs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RF08 – Relatórios mensais:</w:t>
        <w:br w:type="textWrapping"/>
        <w:t xml:space="preserve"> O sistema deve gerar relatórios mensais simples com resumo do consumo e sugestões.</w:t>
      </w:r>
    </w:p>
    <w:p w:rsidR="00000000" w:rsidDel="00000000" w:rsidP="00000000" w:rsidRDefault="00000000" w:rsidRPr="00000000" w14:paraId="00000027">
      <w:pPr>
        <w:tabs>
          <w:tab w:val="left" w:leader="none" w:pos="720"/>
        </w:tabs>
        <w:spacing w:after="240" w:before="240" w:line="360" w:lineRule="auto"/>
        <w:ind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720"/>
        </w:tabs>
        <w:spacing w:after="240" w:before="240" w:line="360" w:lineRule="auto"/>
        <w:ind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6.2 Requisitos Não Funcionais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tabs>
          <w:tab w:val="left" w:leader="none" w:pos="720"/>
        </w:tabs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RNF01 – Plataforma web responsiva:</w:t>
        <w:br w:type="textWrapping"/>
        <w:t xml:space="preserve"> O sistema deve funcionar bem em computadores, tablets e celulares.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tabs>
          <w:tab w:val="left" w:leader="none" w:pos="720"/>
        </w:tabs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RNF02 – Interface simples e intuitiva:</w:t>
        <w:br w:type="textWrapping"/>
        <w:t xml:space="preserve"> A interface deve ser amigável e fácil de usar, mesmo para quem não tem conhecimento técnico.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tabs>
          <w:tab w:val="left" w:leader="none" w:pos="720"/>
        </w:tabs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RNF03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– Armazenamento em banco de dados:</w:t>
        <w:br w:type="textWrapping"/>
        <w:t xml:space="preserve"> Os dados dos usuários e de consumo devem ser armazenados em um banco de dados seguro.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tabs>
          <w:tab w:val="left" w:leader="none" w:pos="720"/>
        </w:tabs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RNF04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– Disponibilidade:</w:t>
        <w:br w:type="textWrapping"/>
        <w:t xml:space="preserve"> O sistema deve estar disponível para acesso 24 horas por dia.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tabs>
          <w:tab w:val="left" w:leader="none" w:pos="720"/>
        </w:tabs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RNF05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– Tempo de resposta:</w:t>
        <w:br w:type="textWrapping"/>
        <w:t xml:space="preserve"> As páginas do sistema devem carregar em até 3 segundos.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tabs>
          <w:tab w:val="left" w:leader="none" w:pos="720"/>
        </w:tabs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RNF06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– Segurança dos dados:</w:t>
        <w:br w:type="textWrapping"/>
        <w:t xml:space="preserve"> As informações dos usuários devem ser protegidas com autenticação e criptografia básica.</w:t>
      </w:r>
    </w:p>
    <w:p w:rsidR="00000000" w:rsidDel="00000000" w:rsidP="00000000" w:rsidRDefault="00000000" w:rsidRPr="00000000" w14:paraId="0000002F">
      <w:pPr>
        <w:tabs>
          <w:tab w:val="left" w:leader="none" w:pos="720"/>
        </w:tabs>
        <w:spacing w:after="240" w:before="240" w:line="360" w:lineRule="auto"/>
        <w:ind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720"/>
        </w:tabs>
        <w:spacing w:after="240" w:before="240" w:line="360" w:lineRule="auto"/>
        <w:ind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7. Foco em Usabilidade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tabs>
          <w:tab w:val="left" w:leader="none" w:pos="720"/>
        </w:tabs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Design centrado no usuário (DCU):</w:t>
        <w:br w:type="textWrapping"/>
        <w:t xml:space="preserve"> O sistema deve ser pensado considerando o perfil e as necessidades do usuário final.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tabs>
          <w:tab w:val="left" w:leader="none" w:pos="720"/>
        </w:tabs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Interface limpa e minimalista:</w:t>
        <w:br w:type="textWrapping"/>
        <w:t xml:space="preserve"> Devem ser evitados excessos visuais para facilitar a navegação.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tabs>
          <w:tab w:val="left" w:leader="none" w:pos="720"/>
        </w:tabs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Responsividade:</w:t>
        <w:br w:type="textWrapping"/>
        <w:t xml:space="preserve">O sistema deve funcionar bem em diferentes dispositivos (celular, tablet, computador).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tabs>
          <w:tab w:val="left" w:leader="none" w:pos="720"/>
        </w:tabs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Tempo para completar tarefas:</w:t>
        <w:br w:type="textWrapping"/>
        <w:t xml:space="preserve"> Avaliar quanto tempo leva para o usuário inserir seus dados ou visualizar relatórios.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tabs>
          <w:tab w:val="left" w:leader="none" w:pos="720"/>
        </w:tabs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Número de cliques:</w:t>
        <w:br w:type="textWrapping"/>
        <w:t xml:space="preserve"> Reduzir a quantidade de cliques necessários para acessar as principais </w:t>
      </w:r>
    </w:p>
    <w:p w:rsidR="00000000" w:rsidDel="00000000" w:rsidP="00000000" w:rsidRDefault="00000000" w:rsidRPr="00000000" w14:paraId="00000036">
      <w:pPr>
        <w:tabs>
          <w:tab w:val="left" w:leader="none" w:pos="720"/>
        </w:tabs>
        <w:spacing w:after="240" w:before="240" w:line="360" w:lineRule="auto"/>
        <w:ind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720"/>
        </w:tabs>
        <w:spacing w:after="240" w:before="240" w:line="360" w:lineRule="auto"/>
        <w:ind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720"/>
        </w:tabs>
        <w:spacing w:after="240" w:before="240" w:line="360" w:lineRule="auto"/>
        <w:ind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720"/>
        </w:tabs>
        <w:spacing w:after="240" w:before="240" w:line="360" w:lineRule="auto"/>
        <w:ind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720"/>
        </w:tabs>
        <w:spacing w:after="240" w:before="240" w:line="360" w:lineRule="auto"/>
        <w:ind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720"/>
        </w:tabs>
        <w:spacing w:after="240" w:before="240" w:line="360" w:lineRule="auto"/>
        <w:ind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720"/>
        </w:tabs>
        <w:spacing w:after="240" w:before="240" w:line="360" w:lineRule="auto"/>
        <w:ind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720"/>
        </w:tabs>
        <w:spacing w:after="240" w:before="240" w:line="360" w:lineRule="auto"/>
        <w:ind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720"/>
        </w:tabs>
        <w:spacing w:after="240" w:before="240" w:line="360" w:lineRule="auto"/>
        <w:ind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720"/>
        </w:tabs>
        <w:spacing w:after="240" w:before="240" w:line="360" w:lineRule="auto"/>
        <w:ind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0"/>
        </w:tabs>
        <w:spacing w:before="240" w:line="240" w:lineRule="auto"/>
        <w:ind w:left="1" w:hanging="3"/>
        <w:jc w:val="left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8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b w:val="1"/>
          <w:sz w:val="26"/>
          <w:szCs w:val="26"/>
          <w:rtl w:val="0"/>
        </w:rPr>
        <w:t xml:space="preserve">Definição e Planejamento do Protótipo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720"/>
        </w:tabs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0"/>
        </w:tabs>
        <w:spacing w:before="240" w:line="240" w:lineRule="auto"/>
        <w:ind w:left="1" w:hanging="3"/>
        <w:jc w:val="left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9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b w:val="1"/>
          <w:sz w:val="26"/>
          <w:szCs w:val="26"/>
          <w:rtl w:val="0"/>
        </w:rPr>
        <w:t xml:space="preserve">Avaliação, Validação e Refinamento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720"/>
        </w:tabs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0"/>
        </w:tabs>
        <w:spacing w:before="240" w:line="240" w:lineRule="auto"/>
        <w:ind w:left="1" w:hanging="3"/>
        <w:jc w:val="left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10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b w:val="1"/>
          <w:sz w:val="26"/>
          <w:szCs w:val="26"/>
          <w:rtl w:val="0"/>
        </w:rPr>
        <w:t xml:space="preserve">Resultados Gerais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720"/>
        </w:tabs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0"/>
        </w:tabs>
        <w:spacing w:before="240" w:line="240" w:lineRule="auto"/>
        <w:ind w:left="1" w:hanging="3"/>
        <w:jc w:val="left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11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b w:val="1"/>
          <w:sz w:val="26"/>
          <w:szCs w:val="26"/>
          <w:rtl w:val="0"/>
        </w:rPr>
        <w:t xml:space="preserve">Considerações Finais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0"/>
        </w:tabs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0"/>
        </w:tabs>
        <w:spacing w:before="240" w:line="240" w:lineRule="auto"/>
        <w:ind w:left="1" w:hanging="3"/>
        <w:jc w:val="left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12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b w:val="1"/>
          <w:sz w:val="26"/>
          <w:szCs w:val="26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0"/>
        </w:tabs>
        <w:spacing w:before="240" w:line="240" w:lineRule="auto"/>
        <w:ind w:left="-1.9999999999999998" w:firstLine="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https://www.gov.br/mme/pt-br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0"/>
        </w:tabs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  <w:t xml:space="preserve">https://news.un.org/pt/</w:t>
      </w: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even"/>
      <w:footerReference r:id="rId14" w:type="first"/>
      <w:footerReference r:id="rId15" w:type="even"/>
      <w:type w:val="continuous"/>
      <w:pgSz w:h="16840" w:w="11907" w:orient="portrait"/>
      <w:pgMar w:bottom="1418" w:top="1985" w:left="1701" w:right="1701" w:header="964" w:footer="964"/>
      <w:pgNumType w:start="10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eorgia"/>
  <w:font w:name="Courier New"/>
  <w:font w:name="Time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tabs>
        <w:tab w:val="left" w:leader="none" w:pos="720"/>
      </w:tabs>
      <w:ind w:left="0" w:hanging="2"/>
      <w:jc w:val="left"/>
      <w:rPr/>
    </w:pPr>
    <w:r w:rsidDel="00000000" w:rsidR="00000000" w:rsidRPr="00000000">
      <w:rPr>
        <w:rtl w:val="0"/>
      </w:rPr>
      <w:t xml:space="preserve">Proceedings of the XII SIBGRAPI (October 1999)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tabs>
        <w:tab w:val="left" w:leader="none" w:pos="720"/>
      </w:tabs>
      <w:ind w:left="0" w:hanging="2"/>
      <w:rPr/>
    </w:pPr>
    <w:r w:rsidDel="00000000" w:rsidR="00000000" w:rsidRPr="00000000">
      <w:rPr>
        <w:rtl w:val="0"/>
      </w:rPr>
      <w:t xml:space="preserve">Proceedings of the XII SIBGRAPI (October 1999) 101-104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tabs>
        <w:tab w:val="left" w:leader="none" w:pos="720"/>
      </w:tabs>
      <w:ind w:left="0" w:hanging="2"/>
      <w:jc w:val="left"/>
      <w:rPr/>
    </w:pPr>
    <w:r w:rsidDel="00000000" w:rsidR="00000000" w:rsidRPr="00000000">
      <w:rPr>
        <w:rtl w:val="0"/>
      </w:rPr>
      <w:t xml:space="preserve">Proceedings of the XII SIBGRAPI (October 1999)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tabs>
        <w:tab w:val="left" w:leader="none" w:pos="720"/>
      </w:tabs>
      <w:ind w:left="0" w:hanging="2"/>
      <w:rPr/>
    </w:pPr>
    <w:r w:rsidDel="00000000" w:rsidR="00000000" w:rsidRPr="00000000">
      <w:rPr>
        <w:rtl w:val="0"/>
      </w:rPr>
      <w:t xml:space="preserve">Proceedings of the XII SIBGRAPI (October 1999) 101-104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tabs>
        <w:tab w:val="left" w:leader="none" w:pos="720"/>
      </w:tabs>
      <w:ind w:left="0" w:hanging="2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tabs>
        <w:tab w:val="left" w:leader="none" w:pos="720"/>
      </w:tabs>
      <w:ind w:left="0" w:hanging="2"/>
      <w:jc w:val="right"/>
      <w:rPr/>
    </w:pPr>
    <w:r w:rsidDel="00000000" w:rsidR="00000000" w:rsidRPr="00000000">
      <w:rPr>
        <w:rtl w:val="0"/>
      </w:rPr>
      <w:t xml:space="preserve">S. Sandri, J. Stolfi, L.Velho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tabs>
        <w:tab w:val="left" w:leader="none" w:pos="720"/>
      </w:tabs>
      <w:ind w:left="0" w:hanging="2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tabs>
        <w:tab w:val="left" w:leader="none" w:pos="720"/>
        <w:tab w:val="right" w:leader="none" w:pos="9356"/>
      </w:tabs>
      <w:ind w:left="0" w:hanging="2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tabs>
        <w:tab w:val="left" w:leader="none" w:pos="720"/>
      </w:tabs>
      <w:ind w:left="0" w:hanging="2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tabs>
        <w:tab w:val="left" w:leader="none" w:pos="720"/>
      </w:tabs>
      <w:ind w:left="0" w:hanging="2"/>
      <w:jc w:val="right"/>
      <w:rPr/>
    </w:pPr>
    <w:r w:rsidDel="00000000" w:rsidR="00000000" w:rsidRPr="00000000">
      <w:rPr>
        <w:rtl w:val="0"/>
      </w:rPr>
      <w:t xml:space="preserve">S. Sandri, J. Stolfi, L.Velho</w:t>
    </w:r>
  </w:p>
  <w:p w:rsidR="00000000" w:rsidDel="00000000" w:rsidP="00000000" w:rsidRDefault="00000000" w:rsidRPr="00000000" w14:paraId="00000051">
    <w:pPr>
      <w:tabs>
        <w:tab w:val="left" w:leader="none" w:pos="720"/>
      </w:tabs>
      <w:ind w:left="0" w:hanging="2"/>
      <w:rPr/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tabs>
        <w:tab w:val="left" w:leader="none" w:pos="720"/>
      </w:tabs>
      <w:ind w:left="0" w:hanging="2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tabs>
        <w:tab w:val="left" w:leader="none" w:pos="720"/>
        <w:tab w:val="right" w:leader="none" w:pos="9356"/>
      </w:tabs>
      <w:ind w:left="0" w:hanging="2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>
        <w:tabs>
          <w:tab w:val="left" w:leader="none" w:pos="720"/>
        </w:tabs>
        <w:spacing w:before="120" w:lineRule="auto"/>
        <w:ind w:hanging="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before="240" w:line="240" w:lineRule="auto"/>
      <w:jc w:val="left"/>
    </w:pPr>
    <w:rPr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spacing w:before="240" w:line="240" w:lineRule="auto"/>
      <w:jc w:val="left"/>
    </w:pPr>
    <w:rPr>
      <w:b w:val="1"/>
    </w:rPr>
  </w:style>
  <w:style w:type="paragraph" w:styleId="Heading3">
    <w:name w:val="heading 3"/>
    <w:basedOn w:val="Normal"/>
    <w:next w:val="Normal"/>
    <w:pPr>
      <w:keepNext w:val="1"/>
      <w:spacing w:before="240" w:line="240" w:lineRule="auto"/>
    </w:pPr>
    <w:rPr>
      <w:rFonts w:ascii="Helvetica Neue" w:cs="Helvetica Neue" w:eastAsia="Helvetica Neue" w:hAnsi="Helvetica Neue"/>
      <w:b w:val="1"/>
    </w:rPr>
  </w:style>
  <w:style w:type="paragraph" w:styleId="Heading4">
    <w:name w:val="heading 4"/>
    <w:basedOn w:val="Normal"/>
    <w:next w:val="Normal"/>
    <w:pPr>
      <w:keepNext w:val="1"/>
      <w:spacing w:before="240" w:line="240" w:lineRule="auto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before="240" w:lin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Title">
    <w:name w:val="Title"/>
    <w:basedOn w:val="Normal"/>
    <w:next w:val="Normal"/>
    <w:pPr>
      <w:spacing w:before="240" w:lineRule="auto"/>
      <w:ind w:firstLine="397"/>
      <w:jc w:val="center"/>
    </w:pPr>
    <w:rPr>
      <w:b w:val="1"/>
      <w:sz w:val="32"/>
      <w:szCs w:val="32"/>
    </w:rPr>
  </w:style>
  <w:style w:type="paragraph" w:styleId="Normal" w:default="1">
    <w:name w:val="Normal"/>
    <w:qFormat w:val="1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spacing w:before="240" w:line="240" w:lineRule="auto"/>
      <w:jc w:val="left"/>
    </w:pPr>
    <w:rPr>
      <w:b w:val="1"/>
      <w:kern w:val="28"/>
      <w:sz w:val="26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spacing w:before="240" w:line="240" w:lineRule="auto"/>
      <w:jc w:val="left"/>
      <w:outlineLvl w:val="1"/>
    </w:pPr>
    <w:rPr>
      <w:b w:val="1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spacing w:before="240" w:line="240" w:lineRule="auto"/>
      <w:outlineLvl w:val="2"/>
    </w:pPr>
    <w:rPr>
      <w:rFonts w:ascii="Helvetica" w:hAnsi="Helvetica"/>
      <w:b w:val="1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spacing w:before="240" w:line="240" w:lineRule="auto"/>
      <w:outlineLvl w:val="3"/>
    </w:pPr>
    <w:rPr>
      <w:rFonts w:ascii="Arial" w:hAnsi="Arial"/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spacing w:before="240" w:line="240" w:lineRule="auto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spacing w:after="60" w:before="240"/>
      <w:outlineLvl w:val="5"/>
    </w:pPr>
    <w:rPr>
      <w:rFonts w:ascii="Times New Roman" w:hAnsi="Times New Roman"/>
      <w:b w:val="1"/>
      <w:bCs w:val="1"/>
      <w:sz w:val="22"/>
      <w:szCs w:val="22"/>
    </w:rPr>
  </w:style>
  <w:style w:type="character" w:styleId="Fontepargpadr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uiPriority w:val="10"/>
    <w:qFormat w:val="1"/>
    <w:pPr>
      <w:spacing w:before="240"/>
      <w:ind w:firstLine="397"/>
      <w:jc w:val="center"/>
    </w:pPr>
    <w:rPr>
      <w:rFonts w:cs="Arial"/>
      <w:b w:val="1"/>
      <w:bCs w:val="1"/>
      <w:sz w:val="32"/>
      <w:szCs w:val="32"/>
    </w:rPr>
  </w:style>
  <w:style w:type="paragraph" w:styleId="Author" w:customStyle="1">
    <w:name w:val="Author"/>
    <w:basedOn w:val="Normal"/>
    <w:pPr>
      <w:spacing w:before="240"/>
      <w:jc w:val="center"/>
    </w:pPr>
    <w:rPr>
      <w:b w:val="1"/>
    </w:rPr>
  </w:style>
  <w:style w:type="paragraph" w:styleId="Address" w:customStyle="1">
    <w:name w:val="Address"/>
    <w:basedOn w:val="Normal"/>
    <w:pPr>
      <w:spacing w:before="240"/>
      <w:jc w:val="center"/>
    </w:pPr>
    <w:rPr>
      <w:lang w:val="pt-BR"/>
    </w:rPr>
  </w:style>
  <w:style w:type="character" w:styleId="AddressChar" w:customStyle="1">
    <w:name w:val="Address Char"/>
    <w:basedOn w:val="Fontepargpadro"/>
    <w:rPr>
      <w:rFonts w:ascii="Times" w:hAnsi="Times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Email" w:customStyle="1">
    <w:name w:val="Email"/>
    <w:basedOn w:val="Normal"/>
    <w:pPr>
      <w:spacing w:after="120"/>
      <w:jc w:val="center"/>
    </w:pPr>
    <w:rPr>
      <w:rFonts w:ascii="Courier New" w:hAnsi="Courier New"/>
      <w:sz w:val="20"/>
    </w:rPr>
  </w:style>
  <w:style w:type="paragraph" w:styleId="Abstract" w:customStyle="1">
    <w:name w:val="Abstract"/>
    <w:basedOn w:val="Normal"/>
    <w:pPr>
      <w:spacing w:after="120"/>
      <w:ind w:left="454" w:right="454"/>
    </w:pPr>
    <w:rPr>
      <w:i w:val="1"/>
      <w:lang w:val="pt-BR"/>
    </w:rPr>
  </w:style>
  <w:style w:type="paragraph" w:styleId="Figure" w:customStyle="1">
    <w:name w:val="Figure"/>
    <w:basedOn w:val="Normal"/>
    <w:pPr>
      <w:jc w:val="center"/>
    </w:pPr>
    <w:rPr>
      <w:noProof w:val="1"/>
      <w:lang/>
    </w:rPr>
  </w:style>
  <w:style w:type="paragraph" w:styleId="Reference" w:customStyle="1">
    <w:name w:val="Reference"/>
    <w:basedOn w:val="Normal"/>
    <w:pPr>
      <w:ind w:left="284" w:hanging="284"/>
    </w:pPr>
  </w:style>
  <w:style w:type="character" w:styleId="Hyperlink">
    <w:name w:val="Hyperlink"/>
    <w:basedOn w:val="Fontepargpadro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Legenda">
    <w:name w:val="caption"/>
    <w:basedOn w:val="Normal"/>
    <w:next w:val="Normal"/>
    <w:pPr>
      <w:spacing w:after="120"/>
      <w:ind w:left="454" w:right="454"/>
      <w:jc w:val="center"/>
    </w:pPr>
    <w:rPr>
      <w:rFonts w:ascii="Helvetica" w:hAnsi="Helvetica"/>
      <w:b w:val="1"/>
      <w:bCs w:val="1"/>
      <w:sz w:val="20"/>
    </w:rPr>
  </w:style>
  <w:style w:type="paragraph" w:styleId="Pr-formataoHTML">
    <w:name w:val="HTML Preformatted"/>
    <w:basedOn w:val="Normal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cs="Courier New" w:hAnsi="Courier New"/>
      <w:sz w:val="20"/>
      <w:lang w:eastAsia="en-U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823158112@ulife.com.br" TargetMode="External"/><Relationship Id="rId10" Type="http://schemas.openxmlformats.org/officeDocument/2006/relationships/footer" Target="footer1.xml"/><Relationship Id="rId13" Type="http://schemas.openxmlformats.org/officeDocument/2006/relationships/header" Target="header3.xml"/><Relationship Id="rId12" Type="http://schemas.openxmlformats.org/officeDocument/2006/relationships/header" Target="header4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15" Type="http://schemas.openxmlformats.org/officeDocument/2006/relationships/footer" Target="footer3.xml"/><Relationship Id="rId14" Type="http://schemas.openxmlformats.org/officeDocument/2006/relationships/footer" Target="footer4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8fSPZJLpELXnvYjHO34wvke3Kg==">CgMxLjA4AHIhMVdGSWhjZHV2Tl83ZERYWjdaQ2dteVEwMGUyWFlsU3hf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2025-03-27T00:24:00Z</dcterms:created>
  <dc:creator>Nely</dc:creator>
</cp:coreProperties>
</file>