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 w:befor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МИНИСТЕРСТВО НАУКИ И ВЫСШЕГО ОБРАЗОВАНИЯ РОССИЙСКОЙ ФЕДЕРАЦИИ</w:t>
      </w:r>
    </w:p>
    <w:p>
      <w:pPr>
        <w:spacing w:line="276" w:lineRule="auto" w:after="0" w:befor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Федеральное государственное автономное образовательное учреждение высшего образования</w:t>
      </w:r>
    </w:p>
    <w:p>
      <w:pPr>
        <w:spacing w:line="276" w:lineRule="auto" w:after="0" w:befor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«Дальневосточный федеральный университет»</w:t>
      </w:r>
    </w:p>
    <w:p>
      <w:pPr>
        <w:spacing w:line="360" w:lineRule="auto" w:after="0" w:before="0"/>
        <w:jc w:val="center"/>
      </w:pPr>
    </w:p>
    <w:p>
      <w:pPr>
        <w:spacing w:line="360" w:lineRule="auto" w:after="0" w:befor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ПОЛИТЕХНИЧЕСКИЙ ИНСТИТУТ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Департамент нефтегазовых технологий и нефтехимии</w:t>
      </w:r>
    </w:p>
    <w:p>
      <w:pPr>
        <w:spacing w:line="360" w:lineRule="auto" w:after="0" w:before="0"/>
        <w:jc w:val="center"/>
      </w:pPr>
    </w:p>
    <w:p>
      <w:pPr>
        <w:spacing w:line="360" w:lineRule="auto" w:after="0" w:before="0"/>
        <w:jc w:val="center"/>
      </w:pPr>
    </w:p>
    <w:p>
      <w:pPr>
        <w:spacing w:line="360" w:lineRule="auto" w:after="0" w:before="0"/>
        <w:jc w:val="center"/>
      </w:pPr>
    </w:p>
    <w:p>
      <w:pPr>
        <w:spacing w:line="360" w:lineRule="auto" w:after="0" w:before="0"/>
        <w:jc w:val="center"/>
      </w:pPr>
    </w:p>
    <w:p>
      <w:pPr>
        <w:spacing w:line="360" w:lineRule="auto" w:after="0" w:before="0"/>
        <w:jc w:val="center"/>
      </w:pPr>
    </w:p>
    <w:p>
      <w:pPr>
        <w:spacing w:line="360" w:lineRule="auto" w:after="0" w:before="0"/>
        <w:jc w:val="center"/>
      </w:pPr>
    </w:p>
    <w:p>
      <w:pPr>
        <w:spacing w:line="360" w:lineRule="auto" w:after="0" w:befor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Халбашкеев Павел Сергеевич</w:t>
      </w:r>
    </w:p>
    <w:p>
      <w:pPr>
        <w:spacing w:line="360" w:lineRule="auto" w:after="0" w:before="0"/>
        <w:jc w:val="center"/>
      </w:pPr>
    </w:p>
    <w:p>
      <w:pPr>
        <w:spacing w:line="360" w:lineRule="auto" w:after="0" w:befor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Курсовой проект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cs="Times New Roman" w:eastAsia="Times New Roman"/>
          <w:b w:val="0"/>
          <w:i/>
          <w:sz w:val="28"/>
        </w:rPr>
        <w:t>по дисциплине «Актуальные проблемы химических и нефтеперерабатывающих производств»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Моделирование депропанизатора в статическом и динамическом режимах с использованием программного комплекса Aspen HYSYS</w:t>
      </w:r>
    </w:p>
    <w:p>
      <w:pPr>
        <w:spacing w:line="360" w:lineRule="auto" w:after="0" w:before="0"/>
        <w:jc w:val="center"/>
      </w:pPr>
    </w:p>
    <w:p>
      <w:pPr>
        <w:spacing w:line="360" w:lineRule="auto" w:after="0" w:before="0"/>
        <w:jc w:val="center"/>
      </w:pPr>
    </w:p>
    <w:p>
      <w:pPr>
        <w:spacing w:line="360" w:lineRule="auto" w:after="0" w:before="0"/>
        <w:jc w:val="center"/>
      </w:pPr>
    </w:p>
    <w:p>
      <w:pPr>
        <w:spacing w:line="360" w:lineRule="auto" w:after="0" w:before="0"/>
        <w:jc w:val="center"/>
      </w:pPr>
    </w:p>
    <w:p>
      <w:pPr>
        <w:spacing w:line="360" w:lineRule="auto" w:after="0" w:before="0"/>
        <w:jc w:val="center"/>
      </w:pPr>
    </w:p>
    <w:p>
      <w:pPr>
        <w:spacing w:line="360" w:lineRule="auto" w:after="0" w:before="0"/>
        <w:jc w:val="center"/>
      </w:pPr>
    </w:p>
    <w:p>
      <w:pPr>
        <w:spacing w:line="360" w:lineRule="auto" w:after="0" w:before="0"/>
        <w:jc w:val="center"/>
      </w:pPr>
    </w:p>
    <w:p>
      <w:pPr>
        <w:spacing w:line="360" w:lineRule="auto" w:after="0" w:before="0"/>
        <w:jc w:val="center"/>
      </w:pPr>
    </w:p>
    <w:p>
      <w:pPr>
        <w:spacing w:line="360" w:lineRule="auto" w:after="0" w:befor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Владивосток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2026</w:t>
      </w:r>
    </w:p>
    <w:p>
      <w:r>
        <w:br w:type="page"/>
      </w:r>
    </w:p>
    <w:p>
      <w:pPr>
        <w:keepNext/>
        <w:spacing w:before="240"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Содержание</w:t>
      </w:r>
    </w:p>
    <w:p>
      <w:pPr>
        <w:spacing w:line="360" w:lineRule="auto" w:after="0" w:befor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Введение</w:t>
      </w:r>
    </w:p>
    <w:p>
      <w:pPr>
        <w:spacing w:line="360" w:lineRule="auto" w:after="0" w:befor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Литературный обзор</w:t>
      </w:r>
    </w:p>
    <w:p>
      <w:pPr>
        <w:spacing w:line="360" w:lineRule="auto" w:after="0" w:befor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  1.1. Депропанизация в схеме переработки ШФЛУ/NGL</w:t>
      </w:r>
    </w:p>
    <w:p>
      <w:pPr>
        <w:spacing w:line="360" w:lineRule="auto" w:after="0" w:befor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  1.2. Технологическая схема разделения NGL с депропанизатором</w:t>
      </w:r>
    </w:p>
    <w:p>
      <w:pPr>
        <w:spacing w:line="360" w:lineRule="auto" w:after="0" w:befor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Описание термодинамической модели</w:t>
      </w:r>
    </w:p>
    <w:p>
      <w:pPr>
        <w:spacing w:line="360" w:lineRule="auto" w:after="0" w:befor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  2.1. Уравнение Пенга–Робинсона</w:t>
      </w:r>
    </w:p>
    <w:p>
      <w:pPr>
        <w:spacing w:line="360" w:lineRule="auto" w:after="0" w:befor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  2.2. Обоснование выбора PR для смеси C2–C6</w:t>
      </w:r>
    </w:p>
    <w:p>
      <w:pPr>
        <w:spacing w:line="360" w:lineRule="auto" w:after="0" w:befor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Моделирование депропанизатора</w:t>
      </w:r>
    </w:p>
    <w:p>
      <w:pPr>
        <w:spacing w:line="360" w:lineRule="auto" w:after="0" w:befor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  3.1. Моделирование в статическом режиме</w:t>
      </w:r>
    </w:p>
    <w:p>
      <w:pPr>
        <w:spacing w:line="360" w:lineRule="auto" w:after="0" w:befor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  3.1.4. Сопоставление результатов с литературными и нормативными данными</w:t>
      </w:r>
    </w:p>
    <w:p>
      <w:pPr>
        <w:spacing w:line="360" w:lineRule="auto" w:after="0" w:befor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  3.2. Моделирование в динамическом режиме</w:t>
      </w:r>
    </w:p>
    <w:p>
      <w:pPr>
        <w:spacing w:line="360" w:lineRule="auto" w:after="0" w:befor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Заключение</w:t>
      </w:r>
    </w:p>
    <w:p>
      <w:pPr>
        <w:spacing w:line="360" w:lineRule="auto" w:after="0" w:befor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Список литературы</w:t>
      </w:r>
    </w:p>
    <w:p>
      <w:r>
        <w:br w:type="page"/>
      </w:r>
    </w:p>
    <w:p>
      <w:pPr>
        <w:keepNext/>
        <w:spacing w:before="240"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Введение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Современные программные комплексы моделирования технологических процессов, такие как Aspen HYSYS и UniSim Design, де-факто стали стандартом инженерных расчётов в нефтегазовой и нефтехимической промышленности. Они позволяют выполнять полный цикл проектных расчётов: подбор термодинамической модели, моделирование фазового равновесия, расчёт массо- и теплообмена, а также исследование как стационарных, так и переходных режимов работы оборудования.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Одним из ключевых аппаратов в схемах переработки широкой фракции лёгких углеводородов (ШФЛУ) и нестабильного газового конденсата (NGL) является депропанизатор — ректификационная колонна, обеспечивающая выделение пропановой фракции в качестве дистиллята и углеводородов C4 и выше — в качестве кубового продукта. Эффективная работа депропанизатора напрямую влияет на качество товарного сжиженного газа и стабильность работы вышерасположенных по схеме колонн — дебутанизатора и стабилизатора бензина. Поэтому модельные исследования депропанизатора в обоих режимах работы — статическом и динамическом — представляют значительный практический интерес.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Цель работы — моделирование депропанизатора для разделения NGL в среде Aspen HYSYS с расчётом стационарного режима и последующим исследованием переходных процессов и устойчивости системы автоматического регулирования (САР) в динамическом режиме.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Задачи:</w:t>
      </w:r>
    </w:p>
    <w:p>
      <w:pPr>
        <w:pStyle w:val="ListParagraph"/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проанализировать назначение и место депропанизатора в схеме разделения NGL;</w:t>
      </w:r>
    </w:p>
    <w:p>
      <w:pPr>
        <w:pStyle w:val="ListParagraph"/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выбрать и обосновать термодинамическую модель для смеси углеводородов C2–C6;</w:t>
      </w:r>
    </w:p>
    <w:p>
      <w:pPr>
        <w:pStyle w:val="ListParagraph"/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построить статическую модель технологической схемы «сепаратор — теплообменник — нагреватель — депропанизатор» и выполнить расчёт основных параметров колонны;</w:t>
      </w:r>
    </w:p>
    <w:p>
      <w:pPr>
        <w:pStyle w:val="ListParagraph"/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перевести модель в динамический режим, задать геометрию аппаратов и контуры регулирования (PIC, LIC, TIC);</w:t>
      </w:r>
    </w:p>
    <w:p>
      <w:pPr>
        <w:pStyle w:val="ListParagraph"/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выполнить серию вычислительных экспериментов с возмущениями по расходу и температуре сырья, давлению в колонне и составу питания;</w:t>
      </w:r>
    </w:p>
    <w:p>
      <w:pPr>
        <w:pStyle w:val="ListParagraph"/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проанализировать переходные процессы и сформулировать выводы об устойчивости работы колонны и её САР.</w:t>
      </w:r>
    </w:p>
    <w:p>
      <w:pPr>
        <w:keepNext/>
        <w:spacing w:before="240"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1. Литературный обзор</w:t>
      </w:r>
    </w:p>
    <w:p>
      <w:pPr>
        <w:keepNext/>
        <w:spacing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1.1. Депропанизация в схеме переработки ШФЛУ/NGL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Сырьё депропанизатора — нестабильный газовый конденсат (NGL, англ. Natural Gas Liquids) — представляет собой смесь углеводородов от этана до гексанов и более тяжёлых, выделяемых из природного и попутного нефтяного газа в установках низкотемпературной сепарации и абсорбции [1]. Типичный состав NGL включает 0,5–3 % этана, 20–35 % пропана, 10–20 % бутанов, остальное — пентаны и более тяжёлые фракции; в данной работе используется реалистичный модельный состав с массовой долей пропана 31,1 % и n-гексана 39,6 %, что характерно для конденсатов Сибирских и Дальневосточных месторождений [2].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Назначение депропанизатора — отделить пропан (целевой компонент товарного пропана или ШФЛУ-пропановой фракции) от более тяжёлых углеводородов C4+. В отличие от смеси изопрен–пентан, рассмотренной в предыдущей работе автора, смесь пропан–и-бутан не образует азеотропа: относительная летучесть α(C3/iC4) при умеренных давлениях колонны (1,8–2,0 МПа) составляет 1,7–2,1, что позволяет разделять смесь обычной ректификацией без введения экстрагентов или химической конверсии [3].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Тем не менее, грамотное проектирование депропанизатора требует учёта нескольких особенностей. Во-первых, рабочее давление выбирается достаточно высоким (1,5–2,0 МПа), чтобы конденсация дистиллята происходила при доступной температуре охлаждающей воды (35–45 °C). Во-вторых, низ колонны работает при температурах 140–170 °C, что требует подачи тепла обычно от перегретого пара или горячего масла. В-третьих, столь высокое давление в колонне ставит повышенные требования к устойчивости системы автоматического регулирования: любые возмущения по расходу или составу сырья трансформируются в быстрые колебания давления и уровней.</w:t>
      </w:r>
    </w:p>
    <w:p>
      <w:pPr>
        <w:keepNext/>
        <w:spacing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1.2. Технологическая схема разделения NGL с депропанизатором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работе использована типовая технологическая схема (Рисунок 1), включающая узел приёма NGL, дроссельный клапан, газо-жидкостный сепаратор, насос подачи на колонну, рекуперативный теплообменник питание/кубовый поток, дополнительный нагреватель и собственно депропанизатор. Конструктивно такая компоновка обеспечивает стабильное двухфазное разделение лёгких компонентов на входе и минимальные тепловые затраты на нагрев питания за счёт рекуперации тепла кубового потока.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47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2026-05-17_16_16_12_p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47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1 — Технологическая схема разделения NGL с депропанизатором в Aspen HYSYS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Поток NGL Feed (15 °C; 380 кПа; 116,9 т/ч) проходит через клапан VLV-100, где давление снижается до уровня сепарации (310 кПа). В сепараторе осуществляется отдув растворённых лёгких газов (поток Sep Vap), уровень в сепараторе поддерживается контуром LIC-100, а давление — PIC-100. Жидкая фаза (Sep Liq) насосом доводится до давления 2,21 МПа, дросселируется до 2,08 МПа, нагревается сначала рекуперативным теплом кубового потока (теплообменник Heat Exchanger), затем догревается в основном подогревателе Heater до уставки 50 °C (контур TIC-100). Подготовленное питание (Col Feed) поступает на 12-ю ступень депропанизатора.</w:t>
      </w:r>
    </w:p>
    <w:p>
      <w:pPr>
        <w:keepNext/>
        <w:spacing w:before="240"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2. Описание термодинамической модели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Корректный выбор термодинамической модели — обязательное условие достоверности всех последующих расчётов. Для систем, состоящих исключительно из неполярных алифатических углеводородов C2–C6 при давлениях до 4 МПа и температурах до 200 °C, в инженерной практике повсеместно применяется кубическое уравнение состояния Пенга–Робинсона (PR EOS) [4]. Именно эта модель выбрана в качестве термодинамического пакета настоящего проекта (Fluid Package: Basis-1 / Peng-Robinson).</w:t>
      </w:r>
    </w:p>
    <w:p>
      <w:pPr>
        <w:keepNext/>
        <w:spacing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2.1. Уравнение Пенга–Робинсона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классической форме уравнение Пенга–Робинсона для давления p записывается в виде (1):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</w:r>
          </w:p>
        </w:tc>
        <w:tc>
          <w:tcPr>
            <w:tcW w:type="dxa" w:w="765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Формула</w:t>
            </w:r>
          </w:p>
        </w:tc>
        <w:tc>
          <w:tcPr>
            <w:tcW w:type="dxa" w:w="85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</w:t>
            </w:r>
          </w:p>
        </w:tc>
      </w:tr>
      <w:tr>
        <w:tc>
          <w:tcPr>
            <w:tcW w:type="dxa" w:w="283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765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 = RT / (Vm − b) − a · α(T) / [Vm(Vm + b) + b(Vm − b)]</w:t>
            </w:r>
          </w:p>
        </w:tc>
        <w:tc>
          <w:tcPr>
            <w:tcW w:type="dxa" w:w="85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(1)</w:t>
            </w:r>
          </w:p>
        </w:tc>
      </w:tr>
    </w:tbl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где p — давление газа; T — абсолютная температура; Vm — молярный объём; R — универсальная газовая постоянная; a, b — индивидуальные константы вещества, вычисляемые по критическим параметрам Tc и Pc; α(T) — безразмерная функция, учитывающая температурную зависимость притягательной части и определяемая через ацентрический фактор ω по формуле (2):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</w:r>
          </w:p>
        </w:tc>
        <w:tc>
          <w:tcPr>
            <w:tcW w:type="dxa" w:w="765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Формула</w:t>
            </w:r>
          </w:p>
        </w:tc>
        <w:tc>
          <w:tcPr>
            <w:tcW w:type="dxa" w:w="85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</w:t>
            </w:r>
          </w:p>
        </w:tc>
      </w:tr>
      <w:tr>
        <w:tc>
          <w:tcPr>
            <w:tcW w:type="dxa" w:w="283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765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α(T) = [1 + κ(1 − √(T/Tc))]²,  κ = 0,37464 + 1,54226 ω − 0,26992 ω²</w:t>
            </w:r>
          </w:p>
        </w:tc>
        <w:tc>
          <w:tcPr>
            <w:tcW w:type="dxa" w:w="85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(2)</w:t>
            </w:r>
          </w:p>
        </w:tc>
      </w:tr>
    </w:tbl>
    <w:p>
      <w:pPr>
        <w:keepNext/>
        <w:spacing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2.2. Обоснование выбора PR для смеси C2–C6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PR EOS специально разрабатывалось для нефтяных и газовых смесей и обеспечивает приемлемую точность как по фазовому равновесию (VLE), так и по плотности жидкой фазы [4]. По сравнению с предшественником — SRK EOS — Пенг и Робинсон улучшили коэффициенты в знаменателе притягательного слагаемого, что позволило точнее воспроизводить плотности жидких углеводородов. Для рассматриваемой системы (этан, пропан, изо- и н-бутан, изо- и н-пентан, н-гексан) PR EOS:</w:t>
      </w:r>
    </w:p>
    <w:p>
      <w:pPr>
        <w:pStyle w:val="ListParagraph"/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корректно описывает фазовое равновесие в диапазоне 0,3–2,0 МПа, актуальном для всех узлов схемы;</w:t>
      </w:r>
    </w:p>
    <w:p>
      <w:pPr>
        <w:pStyle w:val="ListParagraph"/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не требует ввода дополнительных бинарных параметров — стандартные значения kij, заложенные в Aspen HYSYS, обеспечивают погрешность по составу 1–2 %;</w:t>
      </w:r>
    </w:p>
    <w:p>
      <w:pPr>
        <w:pStyle w:val="ListParagraph"/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обеспечивает физически корректное поведение в окрестности критических точек C4–C6, что важно для расчёта температурного профиля по 24 ступеням;</w:t>
      </w:r>
    </w:p>
    <w:p>
      <w:pPr>
        <w:pStyle w:val="ListParagraph"/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не «переоценивает» относительную летучесть и, как следствие, не занижает требуемое число тарелок.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Альтернативные модели (SRK, BWRS, NRTL γ-φ) дают сравнимый результат, однако PR в Aspen HYSYS работает быстрее и более стабильно в динамическом режиме, что и определило её выбор для всех последующих расчётов.</w:t>
      </w:r>
    </w:p>
    <w:p>
      <w:pPr>
        <w:keepNext/>
        <w:spacing w:before="240"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3. Моделирование депропанизатора</w:t>
      </w:r>
    </w:p>
    <w:p>
      <w:pPr>
        <w:keepNext/>
        <w:spacing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3.1. Моделирование в статическом режиме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Построение модели начинается с конфигурации компонентного состава и термодинамического пакета в диспетчере базиса Aspen HYSYS. В список компонентов внесены C2, C3, i-C4, n-C4, i-C5, n-C5, n-C6; в качестве термопакета выбран Peng-Robinson (Basis-1). Затем в среде моделирования собирается технологическая схема (см. Рисунок 1) с потоками питания, аппаратами и продуктовыми потоками.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Параметры входного потока NGL Feed заданы в соответствии с реальным составом сырья и приведены в Таблице 1. Композиция указана в массовых долях.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7952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2026-05-17_16_17_38_p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95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2 — Условия потока NGL Feed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5387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2026-05-17_16_20_39_p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38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3 — Композиция потока NGL Feed (массовые доли)</w:t>
      </w:r>
    </w:p>
    <w:p>
      <w:pPr>
        <w:spacing w:before="120" w:after="6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1 — Параметры входного потока NGL Feed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368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Параметр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Обозначение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Значение</w:t>
            </w:r>
          </w:p>
        </w:tc>
        <w:tc>
          <w:tcPr>
            <w:tcW w:type="dxa" w:w="141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Ед. изм.</w:t>
            </w:r>
          </w:p>
        </w:tc>
      </w:tr>
      <w:tr>
        <w:tc>
          <w:tcPr>
            <w:tcW w:type="dxa" w:w="368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Температура питания (NGL Feed)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15,00</w:t>
            </w:r>
          </w:p>
        </w:tc>
        <w:tc>
          <w:tcPr>
            <w:tcW w:type="dxa" w:w="141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°C</w:t>
            </w:r>
          </w:p>
        </w:tc>
      </w:tr>
      <w:tr>
        <w:tc>
          <w:tcPr>
            <w:tcW w:type="dxa" w:w="368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Давление питания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380,0</w:t>
            </w:r>
          </w:p>
        </w:tc>
        <w:tc>
          <w:tcPr>
            <w:tcW w:type="dxa" w:w="141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кПа</w:t>
            </w:r>
          </w:p>
        </w:tc>
      </w:tr>
      <w:tr>
        <w:tc>
          <w:tcPr>
            <w:tcW w:type="dxa" w:w="368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Мольный расход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1918</w:t>
            </w:r>
          </w:p>
        </w:tc>
        <w:tc>
          <w:tcPr>
            <w:tcW w:type="dxa" w:w="141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кмоль/ч</w:t>
            </w:r>
          </w:p>
        </w:tc>
      </w:tr>
      <w:tr>
        <w:tc>
          <w:tcPr>
            <w:tcW w:type="dxa" w:w="368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Массовый расход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1,169·10⁵</w:t>
            </w:r>
          </w:p>
        </w:tc>
        <w:tc>
          <w:tcPr>
            <w:tcW w:type="dxa" w:w="141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кг/ч</w:t>
            </w:r>
          </w:p>
        </w:tc>
      </w:tr>
      <w:tr>
        <w:tc>
          <w:tcPr>
            <w:tcW w:type="dxa" w:w="368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Объёмный расход (жидкость)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V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200,0</w:t>
            </w:r>
          </w:p>
        </w:tc>
        <w:tc>
          <w:tcPr>
            <w:tcW w:type="dxa" w:w="141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м³/ч</w:t>
            </w:r>
          </w:p>
        </w:tc>
      </w:tr>
      <w:tr>
        <w:tc>
          <w:tcPr>
            <w:tcW w:type="dxa" w:w="368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Доля паровой фазы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φ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0,000</w:t>
            </w:r>
          </w:p>
        </w:tc>
        <w:tc>
          <w:tcPr>
            <w:tcW w:type="dxa" w:w="141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</w:t>
            </w:r>
          </w:p>
        </w:tc>
      </w:tr>
      <w:tr>
        <w:tc>
          <w:tcPr>
            <w:tcW w:type="dxa" w:w="368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Молярная энтальпия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H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−1,542·10⁵</w:t>
            </w:r>
          </w:p>
        </w:tc>
        <w:tc>
          <w:tcPr>
            <w:tcW w:type="dxa" w:w="141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кДж/кмоль</w:t>
            </w:r>
          </w:p>
        </w:tc>
      </w:tr>
      <w:tr>
        <w:tc>
          <w:tcPr>
            <w:tcW w:type="dxa" w:w="368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Термодинамическая модель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Peng–Robinson</w:t>
            </w:r>
          </w:p>
        </w:tc>
        <w:tc>
          <w:tcPr>
            <w:tcW w:type="dxa" w:w="141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</w:t>
            </w:r>
          </w:p>
        </w:tc>
      </w:tr>
    </w:tbl>
    <w:p>
      <w:pPr>
        <w:spacing w:before="120" w:after="6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2 — Состав сырья и питания колонны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Компонент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Масс. доля</w:t>
            </w:r>
          </w:p>
        </w:tc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Мольная доля (Col Feed)</w:t>
            </w:r>
          </w:p>
        </w:tc>
      </w:tr>
      <w:tr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Этан (C2)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0,0049</w:t>
            </w:r>
          </w:p>
        </w:tc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0,0078</w:t>
            </w:r>
          </w:p>
        </w:tc>
      </w:tr>
      <w:tr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Пропан (C3)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0,3112</w:t>
            </w:r>
          </w:p>
        </w:tc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0,4134</w:t>
            </w:r>
          </w:p>
        </w:tc>
      </w:tr>
      <w:tr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Изобутан (i-C4)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0,0668</w:t>
            </w:r>
          </w:p>
        </w:tc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0,0708</w:t>
            </w:r>
          </w:p>
        </w:tc>
      </w:tr>
      <w:tr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н-Бутан (n-C4)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0,1145</w:t>
            </w:r>
          </w:p>
        </w:tc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0,1226</w:t>
            </w:r>
          </w:p>
        </w:tc>
      </w:tr>
      <w:tr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Изопентан (i-C5)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0,0592</w:t>
            </w:r>
          </w:p>
        </w:tc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0,0518</w:t>
            </w:r>
          </w:p>
        </w:tc>
      </w:tr>
      <w:tr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н-Пентан (n-C5)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0,0474</w:t>
            </w:r>
          </w:p>
        </w:tc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0,0415</w:t>
            </w:r>
          </w:p>
        </w:tc>
      </w:tr>
      <w:tr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н-Гексан (n-C6)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0,3960</w:t>
            </w:r>
          </w:p>
        </w:tc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0,2920</w:t>
            </w:r>
          </w:p>
        </w:tc>
      </w:tr>
    </w:tbl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После прохождения сепаратора, насоса, рекуперативного теплообменника и подогревателя на колонну подаётся подготовленный поток Col Feed: жидкость, 50,00 °C, 1937 кПа, 1836 кмоль/ч (1,131·10⁵ кг/ч). Параметры колонны заданы по вкладке Design → Connections (Рисунок 4) и Design → Monitor (Рисунок 5).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14910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2026-05-17_16_25_40_p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49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4 — Конфигурация депропанизатора (Connections)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76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2026-05-17_16_25_53_p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7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5 — Спецификации сходимости и температурный профиль по ступеням</w:t>
      </w:r>
    </w:p>
    <w:p>
      <w:pPr>
        <w:spacing w:before="120" w:after="6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 — Основные параметры депропанизатора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368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Параметр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Обозначение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Значение</w:t>
            </w:r>
          </w:p>
        </w:tc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Ед. изм.</w:t>
            </w:r>
          </w:p>
        </w:tc>
      </w:tr>
      <w:tr>
        <w:tc>
          <w:tcPr>
            <w:tcW w:type="dxa" w:w="368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Число теоретических ступеней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24</w:t>
            </w:r>
          </w:p>
        </w:tc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</w:t>
            </w:r>
          </w:p>
        </w:tc>
      </w:tr>
      <w:tr>
        <w:tc>
          <w:tcPr>
            <w:tcW w:type="dxa" w:w="368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Тарелка подачи питания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N_feed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12</w:t>
            </w:r>
          </w:p>
        </w:tc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</w:t>
            </w:r>
          </w:p>
        </w:tc>
      </w:tr>
      <w:tr>
        <w:tc>
          <w:tcPr>
            <w:tcW w:type="dxa" w:w="368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 конденсатора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Партиальный</w:t>
            </w:r>
          </w:p>
        </w:tc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</w:t>
            </w:r>
          </w:p>
        </w:tc>
      </w:tr>
      <w:tr>
        <w:tc>
          <w:tcPr>
            <w:tcW w:type="dxa" w:w="368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Давление верха колонны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P_cond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1925</w:t>
            </w:r>
          </w:p>
        </w:tc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кПа</w:t>
            </w:r>
          </w:p>
        </w:tc>
      </w:tr>
      <w:tr>
        <w:tc>
          <w:tcPr>
            <w:tcW w:type="dxa" w:w="368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Давление куба колонны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P_reb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1944 (1955 динамика)</w:t>
            </w:r>
          </w:p>
        </w:tc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кПа</w:t>
            </w:r>
          </w:p>
        </w:tc>
      </w:tr>
      <w:tr>
        <w:tc>
          <w:tcPr>
            <w:tcW w:type="dxa" w:w="368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Перепад давления по колонне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ΔP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≈19–30</w:t>
            </w:r>
          </w:p>
        </w:tc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кПа</w:t>
            </w:r>
          </w:p>
        </w:tc>
      </w:tr>
      <w:tr>
        <w:tc>
          <w:tcPr>
            <w:tcW w:type="dxa" w:w="368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Температура верха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T_top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84,2</w:t>
            </w:r>
          </w:p>
        </w:tc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°C</w:t>
            </w:r>
          </w:p>
        </w:tc>
      </w:tr>
      <w:tr>
        <w:tc>
          <w:tcPr>
            <w:tcW w:type="dxa" w:w="368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Температура куба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T_bot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163,8</w:t>
            </w:r>
          </w:p>
        </w:tc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°C</w:t>
            </w:r>
          </w:p>
        </w:tc>
      </w:tr>
      <w:tr>
        <w:tc>
          <w:tcPr>
            <w:tcW w:type="dxa" w:w="368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Флегмовое число (спецификация)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2,000</w:t>
            </w:r>
          </w:p>
        </w:tc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</w:t>
            </w:r>
          </w:p>
        </w:tc>
      </w:tr>
      <w:tr>
        <w:tc>
          <w:tcPr>
            <w:tcW w:type="dxa" w:w="368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Спецификация по лёгким (C2+C3) в верху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x_L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0,9500</w:t>
            </w:r>
          </w:p>
        </w:tc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мол. доля</w:t>
            </w:r>
          </w:p>
        </w:tc>
      </w:tr>
      <w:tr>
        <w:tc>
          <w:tcPr>
            <w:tcW w:type="dxa" w:w="368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Термодинамическая модель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Peng–Robinson</w:t>
            </w:r>
          </w:p>
        </w:tc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</w:t>
            </w:r>
          </w:p>
        </w:tc>
      </w:tr>
    </w:tbl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Колонна рассчитывается численным методом «Inside-Out». Активными спецификациями являются флегмовое число и доля лёгких компонентов в дистилляте. После сходимости расчёта получены результаты по продуктам колонны (Рисунок 6, Таблица 4 и Таблица 5).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459284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2026-05-17_16_26_35_p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9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6 — Performance Summary колонны: расходы и мольные доли в потоках Col Feed, Propane (верх), C4+ (низ)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0821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2026-05-17_16_29_01_p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0821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 — Композиции внутренних и продуктовых потоков колонны</w:t>
      </w:r>
    </w:p>
    <w:p>
      <w:pPr>
        <w:spacing w:before="120" w:after="6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 — Сводка материальных потоков схемы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Поток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Мольный расход, кмоль/ч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Массовый расход, кг/ч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NGL Feed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1918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1,169·10⁵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Сырьё со скважины/УКПГ</w:t>
            </w:r>
          </w:p>
        </w:tc>
      </w:tr>
      <w:tr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Col Feed (питание колонны)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1836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1,131·10⁵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Питание депропанизатора</w:t>
            </w:r>
          </w:p>
        </w:tc>
      </w:tr>
      <w:tr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Propane (дистиллят)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979,3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4,733·10⁴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Верхний продукт — пропановая фракция</w:t>
            </w:r>
          </w:p>
        </w:tc>
      </w:tr>
      <w:tr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C4+ (кубовый продукт)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856,5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6,577·10⁴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Нижний продукт — бутаны и тяжелее</w:t>
            </w:r>
          </w:p>
        </w:tc>
      </w:tr>
      <w:tr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Reflux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23,95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1369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Возвратная флегма</w:t>
            </w:r>
          </w:p>
        </w:tc>
      </w:tr>
      <w:tr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Boilup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2096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1,501·10⁵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 из кипятильника</w:t>
            </w:r>
          </w:p>
        </w:tc>
      </w:tr>
    </w:tbl>
    <w:p>
      <w:pPr>
        <w:spacing w:before="120" w:after="6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 — Композиции питания и продуктов (мольные доли)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Компонент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Col Feed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Propane (верх)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C4+ (низ)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Этан (C2)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0,0078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0,0146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0,0000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Пропан (C3)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0,4134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0,7681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0,0078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Изобутан (i-C4)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0,0708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0,0696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0,0722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н-Бутан (n-C4)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0,1226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0,0841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0,1666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Изопентан (i-C5)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0,0518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0,0168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0,0919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н-Пентан (n-C5)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0,0415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0,0113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0,0762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н-Гексан (n-C6)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0,2920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0,0356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0,5853</w:t>
            </w:r>
          </w:p>
        </w:tc>
      </w:tr>
    </w:tbl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Из таблиц 4 и 5 видно, что в стационарном режиме колонна обеспечивает следующее качество разделения: мольная доля пропана в дистилляте составляет 0,7681 (≈ 77 мол. %), проскок пропана в кубовый продукт — всего 0,78 мол. %, а кубовый продукт обогащается тяжёлыми углеводородами (в сумме i-C4 и тяжелее — около 99,2 мол. %). При этом температурный профиль колонны плавный — от 84,2 °C в конденсаторе до 163,8 °C в кипятильнике, что согласуется с термодинамическими расчётами и подтверждает корректность выбранной модели Пенга–Робинсона.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Невысокую мольную чистоту пропана в дистилляте (≈ 77 мол. %) следует трактовать с учётом того, что в составе также присутствуют этан (~1,5 мол. %) и бутаны (~15 мол. %). Такой состав соответствует не товарному пропану марки А, а техническому пропану / пропановой фракции — типичному промежуточному продукту, который в реальной схеме доочищается на следующих ступенях разделения. Увеличение чистоты пропана потребует повышения флегмового числа и (или) количества тарелок, что будет проверено в динамическом режиме.</w:t>
      </w:r>
    </w:p>
    <w:p>
      <w:pPr>
        <w:keepNext/>
        <w:spacing w:before="120" w:after="120"/>
        <w:ind w:firstLine="709"/>
      </w:pPr>
      <w:r>
        <w:rPr>
          <w:rFonts w:ascii="Times New Roman" w:hAnsi="Times New Roman" w:cs="Times New Roman" w:eastAsia="Times New Roman"/>
          <w:b/>
          <w:i/>
          <w:sz w:val="28"/>
        </w:rPr>
        <w:t>3.1.4. Сопоставление результатов расчёта с литературными и нормативными данными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подтверждения адекватности построенной модели расчётные параметры режима работы депропанизатора сопоставлены с характерными значениями, приводимыми в инженерных справочниках и нормативной документации. В качестве источников использованы: монография Mokhatab S., Poe W. A. «Handbook of Natural Gas Transmission and Processing» [1], книга Kister H. Z. «Distillation Design» [3], справочник GPSA Engineering Data Book [11], монография Luyben W. L. «Distillation Design and Control Using Aspen Simulation» [7], а также действующий ГОСТ Р 52087-2018 «Газы углеводородные сжиженные топливные. Технические условия» [12].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Сводное сопоставление расчётных параметров со значениями, характерными для промышленных депропанизаторов и нормативных требований, приведено в Таблице 7. Дополнительно в Таблице 8 выполнено сравнение состава полученного дистиллята с требованиями ГОСТ Р 52087-2018 к товарным маркам пропана.</w:t>
      </w:r>
    </w:p>
    <w:p>
      <w:pPr>
        <w:spacing w:before="120" w:after="6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 — Сопоставление расчётных параметров с литературными данными для промышленных депропанизаторов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Параметр</w:t>
            </w:r>
          </w:p>
        </w:tc>
        <w:tc>
          <w:tcPr>
            <w:tcW w:type="dxa" w:w="136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Расчёт</w:t>
            </w:r>
          </w:p>
        </w:tc>
        <w:tc>
          <w:tcPr>
            <w:tcW w:type="dxa" w:w="204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Литература</w:t>
            </w:r>
          </w:p>
        </w:tc>
        <w:tc>
          <w:tcPr>
            <w:tcW w:type="dxa" w:w="141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Источник</w:t>
            </w:r>
          </w:p>
        </w:tc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Согласие</w:t>
            </w:r>
          </w:p>
        </w:tc>
      </w:tr>
      <w:tr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Рабочее давление в верху колонны, МПа</w:t>
            </w:r>
          </w:p>
        </w:tc>
        <w:tc>
          <w:tcPr>
            <w:tcW w:type="dxa" w:w="136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1,925</w:t>
            </w:r>
          </w:p>
        </w:tc>
        <w:tc>
          <w:tcPr>
            <w:tcW w:type="dxa" w:w="204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1,4–2,0</w:t>
            </w:r>
          </w:p>
        </w:tc>
        <w:tc>
          <w:tcPr>
            <w:tcW w:type="dxa" w:w="141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[1, 3, 11]</w:t>
            </w:r>
          </w:p>
        </w:tc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</w:t>
            </w:r>
          </w:p>
        </w:tc>
      </w:tr>
      <w:tr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Температура верха колонны, °C</w:t>
            </w:r>
          </w:p>
        </w:tc>
        <w:tc>
          <w:tcPr>
            <w:tcW w:type="dxa" w:w="136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84,2</w:t>
            </w:r>
          </w:p>
        </w:tc>
        <w:tc>
          <w:tcPr>
            <w:tcW w:type="dxa" w:w="204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40–95 (партиальный конденсатор)</w:t>
            </w:r>
          </w:p>
        </w:tc>
        <w:tc>
          <w:tcPr>
            <w:tcW w:type="dxa" w:w="141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[1, 11]</w:t>
            </w:r>
          </w:p>
        </w:tc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</w:t>
            </w:r>
          </w:p>
        </w:tc>
      </w:tr>
      <w:tr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Температура низа колонны, °C</w:t>
            </w:r>
          </w:p>
        </w:tc>
        <w:tc>
          <w:tcPr>
            <w:tcW w:type="dxa" w:w="136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163,8</w:t>
            </w:r>
          </w:p>
        </w:tc>
        <w:tc>
          <w:tcPr>
            <w:tcW w:type="dxa" w:w="204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110–180</w:t>
            </w:r>
          </w:p>
        </w:tc>
        <w:tc>
          <w:tcPr>
            <w:tcW w:type="dxa" w:w="141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[1, 11]</w:t>
            </w:r>
          </w:p>
        </w:tc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</w:t>
            </w:r>
          </w:p>
        </w:tc>
      </w:tr>
      <w:tr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Перепад давления по колонне, кПа</w:t>
            </w:r>
          </w:p>
        </w:tc>
        <w:tc>
          <w:tcPr>
            <w:tcW w:type="dxa" w:w="136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≈ 30</w:t>
            </w:r>
          </w:p>
        </w:tc>
        <w:tc>
          <w:tcPr>
            <w:tcW w:type="dxa" w:w="204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20–40 (24 тарелки)</w:t>
            </w:r>
          </w:p>
        </w:tc>
        <w:tc>
          <w:tcPr>
            <w:tcW w:type="dxa" w:w="141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[3, 7]</w:t>
            </w:r>
          </w:p>
        </w:tc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</w:t>
            </w:r>
          </w:p>
        </w:tc>
      </w:tr>
      <w:tr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Число теоретических ступеней</w:t>
            </w:r>
          </w:p>
        </w:tc>
        <w:tc>
          <w:tcPr>
            <w:tcW w:type="dxa" w:w="136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24</w:t>
            </w:r>
          </w:p>
        </w:tc>
        <w:tc>
          <w:tcPr>
            <w:tcW w:type="dxa" w:w="204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20–40 (типично 25–35)</w:t>
            </w:r>
          </w:p>
        </w:tc>
        <w:tc>
          <w:tcPr>
            <w:tcW w:type="dxa" w:w="141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[3, 7, 11]</w:t>
            </w:r>
          </w:p>
        </w:tc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</w:t>
            </w:r>
          </w:p>
        </w:tc>
      </w:tr>
      <w:tr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Извлечение пропана в дистиллят, %</w:t>
            </w:r>
          </w:p>
        </w:tc>
        <w:tc>
          <w:tcPr>
            <w:tcW w:type="dxa" w:w="136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99,1</w:t>
            </w:r>
          </w:p>
        </w:tc>
        <w:tc>
          <w:tcPr>
            <w:tcW w:type="dxa" w:w="204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95–99</w:t>
            </w:r>
          </w:p>
        </w:tc>
        <w:tc>
          <w:tcPr>
            <w:tcW w:type="dxa" w:w="141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[1, 7, 11]</w:t>
            </w:r>
          </w:p>
        </w:tc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 (верхняя граница)</w:t>
            </w:r>
          </w:p>
        </w:tc>
      </w:tr>
      <w:tr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Проскок пропана в кубовый продукт, мол. %</w:t>
            </w:r>
          </w:p>
        </w:tc>
        <w:tc>
          <w:tcPr>
            <w:tcW w:type="dxa" w:w="136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0,78</w:t>
            </w:r>
          </w:p>
        </w:tc>
        <w:tc>
          <w:tcPr>
            <w:tcW w:type="dxa" w:w="204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&lt; 1–2</w:t>
            </w:r>
          </w:p>
        </w:tc>
        <w:tc>
          <w:tcPr>
            <w:tcW w:type="dxa" w:w="141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[1, 7]</w:t>
            </w:r>
          </w:p>
        </w:tc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</w:t>
            </w:r>
          </w:p>
        </w:tc>
      </w:tr>
      <w:tr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Чистота пропана в дистилляте, мол. %</w:t>
            </w:r>
          </w:p>
        </w:tc>
        <w:tc>
          <w:tcPr>
            <w:tcW w:type="dxa" w:w="136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76,8</w:t>
            </w:r>
          </w:p>
        </w:tc>
        <w:tc>
          <w:tcPr>
            <w:tcW w:type="dxa" w:w="204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92–98 (товарный С3)</w:t>
            </w:r>
          </w:p>
        </w:tc>
        <w:tc>
          <w:tcPr>
            <w:tcW w:type="dxa" w:w="141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[1, 11, 12]</w:t>
            </w:r>
          </w:p>
        </w:tc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 (ниже)</w:t>
            </w:r>
          </w:p>
        </w:tc>
      </w:tr>
      <w:tr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Чистота пропана в дистилляте, % мас.</w:t>
            </w:r>
          </w:p>
        </w:tc>
        <w:tc>
          <w:tcPr>
            <w:tcW w:type="dxa" w:w="136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70,1</w:t>
            </w:r>
          </w:p>
        </w:tc>
        <w:tc>
          <w:tcPr>
            <w:tcW w:type="dxa" w:w="204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≥ 75 (ПТ); ≥ 85 (ПА)</w:t>
            </w:r>
          </w:p>
        </w:tc>
        <w:tc>
          <w:tcPr>
            <w:tcW w:type="dxa" w:w="141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ГОСТ Р 52087-2018 [12]</w:t>
            </w:r>
          </w:p>
        </w:tc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 (ниже ПТ)</w:t>
            </w:r>
          </w:p>
        </w:tc>
      </w:tr>
      <w:tr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Доля i-бутана, уходящего в куб (расщепление), %</w:t>
            </w:r>
          </w:p>
        </w:tc>
        <w:tc>
          <w:tcPr>
            <w:tcW w:type="dxa" w:w="136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47,6</w:t>
            </w:r>
          </w:p>
        </w:tc>
        <w:tc>
          <w:tcPr>
            <w:tcW w:type="dxa" w:w="204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85–95 (острое разделение)</w:t>
            </w:r>
          </w:p>
        </w:tc>
        <w:tc>
          <w:tcPr>
            <w:tcW w:type="dxa" w:w="141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[3, 7]</w:t>
            </w:r>
          </w:p>
        </w:tc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 (мало)</w:t>
            </w:r>
          </w:p>
        </w:tc>
      </w:tr>
    </w:tbl>
    <w:p>
      <w:pPr>
        <w:spacing w:before="120" w:after="6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8 — Сопоставление состава дистиллята с требованиями ГОСТ Р 52087-2018 [12]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Показатель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Расчёт (Propane)</w:t>
            </w:r>
          </w:p>
        </w:tc>
        <w:tc>
          <w:tcPr>
            <w:tcW w:type="dxa" w:w="141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ПТ (пропан техн.)</w:t>
            </w:r>
          </w:p>
        </w:tc>
        <w:tc>
          <w:tcPr>
            <w:tcW w:type="dxa" w:w="141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ПА (пропан авт.)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Соответствие</w:t>
            </w:r>
          </w:p>
        </w:tc>
      </w:tr>
      <w:tr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Массовая доля пропана C3, %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70,07</w:t>
            </w:r>
          </w:p>
        </w:tc>
        <w:tc>
          <w:tcPr>
            <w:tcW w:type="dxa" w:w="141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≥ 75</w:t>
            </w:r>
          </w:p>
        </w:tc>
        <w:tc>
          <w:tcPr>
            <w:tcW w:type="dxa" w:w="141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≥ 85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 соответствует</w:t>
            </w:r>
          </w:p>
        </w:tc>
      </w:tr>
      <w:tr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Сумма C2 + C3, % мас.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70,98</w:t>
            </w:r>
          </w:p>
        </w:tc>
        <w:tc>
          <w:tcPr>
            <w:tcW w:type="dxa" w:w="141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41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</w:tr>
      <w:tr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Массовая доля бутанов (i+n-C4), %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18,48</w:t>
            </w:r>
          </w:p>
        </w:tc>
        <w:tc>
          <w:tcPr>
            <w:tcW w:type="dxa" w:w="141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≤ 20</w:t>
            </w:r>
          </w:p>
        </w:tc>
        <w:tc>
          <w:tcPr>
            <w:tcW w:type="dxa" w:w="141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 границе</w:t>
            </w:r>
          </w:p>
        </w:tc>
      </w:tr>
      <w:tr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Массовая доля C5 и тяжелее, %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10,55</w:t>
            </w:r>
          </w:p>
        </w:tc>
        <w:tc>
          <w:tcPr>
            <w:tcW w:type="dxa" w:w="141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≤ 1,0</w:t>
            </w:r>
          </w:p>
        </w:tc>
        <w:tc>
          <w:tcPr>
            <w:tcW w:type="dxa" w:w="141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≤ 0,7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 соответствует</w:t>
            </w:r>
          </w:p>
        </w:tc>
      </w:tr>
      <w:tr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Массовая доля этана C2, %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0,91</w:t>
            </w:r>
          </w:p>
        </w:tc>
        <w:tc>
          <w:tcPr>
            <w:tcW w:type="dxa" w:w="141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≤ 4 (косвенно)</w:t>
            </w:r>
          </w:p>
        </w:tc>
        <w:tc>
          <w:tcPr>
            <w:tcW w:type="dxa" w:w="141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≤ 4 (косвенно)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Соответствует</w:t>
            </w:r>
          </w:p>
        </w:tc>
      </w:tr>
    </w:tbl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Из Таблицы 7 видно, что по всем «технологическим» параметрам (давления, температуры, перепад давления, число ступеней, извлечение целевого компонента, проскок пропана в куб) построенная модель депропанизатора укладывается в характерные диапазоны, приводимые в инженерных справочниках для промышленных колонн данного типа. В частности, извлечение пропана в дистиллят 99,1 % находится в верхней части литературного диапазона 95–99 % [1, 7, 11], а проскок пропана в кубовый продукт 0,78 мол. % — существенно ниже характерного предела 1–2 мол. %. Это подтверждает, что термодинамическая модель Пенга–Робинсона корректно описывает фазовое равновесие в рассматриваемой системе углеводородов C2–C6, а конфигурация колонны (24 ступени, флегмовое число и спецификации сходимости) обеспечивает физически правдоподобное распределение лёгкого ключевого компонента (пропана) по продуктовым потокам.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Вместе с тем три параметра выходят за «целевые» промышленные ориентиры: мольная и массовая чистота пропана в дистилляте, а также доля тяжёлого ключевого компонента (изобутана), уходящего в кубовый продукт. Полученное расщепление изобутана 47,6 % в куб / 52,4 % в дистиллят (Таблица 7) указывает на отсутствие «острого» разделения по паре C3/i-C4 — в промышленной практике, при острой ректификации, не менее 85–95 % тяжёлого ключевого компонента должно уходить в куб [3, 7]. Именно это «размазывание» изобутана по обоим продуктовым потокам и обусловливает невысокую массовую чистоту пропана в дистилляте — 70,1 % мас. (Таблица 8), что ниже требований ГОСТ Р 52087-2018 даже к технической марке ПТ (≥ 75 % мас.) [12]. Существенное превышение содержания C5+ (10,55 % мас. против нормативного ≤ 1,0 %) также сигнализирует о том, что тарелок и (или) флегмы для рассматриваемой системы недостаточно для получения товарного продукта непосредственно из этой колонны.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 практической точки зрения такой результат закономерен и согласуется с типовыми решениями нефтехимических производств: первая колонна разделения NGL никогда не выпускает товарный пропан напрямую — её задача состоит в предварительном выделении пропановой фракции от C4 и тяжелее с минимальным проскоком пропана вниз и максимальным извлечением вверх, что наша модель и обеспечивает на уровне 99,1 % [1, 11]. Доочистка пропана до товарной марки выполняется в последующих узлах схемы (деэтанизатор для удаления лёгких остатков и/или вторичный депропанизатор с большим числом тарелок и повышенным флегмовым числом) [1, 7]. Поэтому полученные показатели разделения, при которых колонна работает как «первичный» депропанизатор схемы ШФЛУ/NGL, признаются адекватными и не требующими существенной перенастройки. Возможные пути ужесточения разделения (повышение R, добавление тарелок, изменение тарелки питания) будут количественно исследованы в динамическом режиме (раздел 3.2).</w:t>
      </w:r>
    </w:p>
    <w:p>
      <w:pPr>
        <w:keepNext/>
        <w:spacing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3.2. Моделирование в динамическом режиме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Перевод модели в динамический режим (Dynamic Mode) выполняется после стационарного расчёта. Для аппаратов, обладающих массонакопительной ёмкостью, задаётся геометрия (диаметр, длина, объём, начальный уровень), а для всех клапанов — коэффициенты Cv. Параметры главных ёмкостей колонны приведены в Таблице 6 и видны в окне Dynamics → Vessels (Рисунок 8). Профиль давлений по ступеням, формирующий перепад давления по колонне, представлен в окне Holdup Details (Рисунок 9).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56344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2026-05-17_16_27_37_pn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63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8 — Vessel Dynamic Specifications: геометрия конденсатора и кипятильника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41616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2026-05-17_16_27_49_p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16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9 — Holdup Details: распределение давления и удерживаемого объёма по ступеням колонны</w:t>
      </w:r>
    </w:p>
    <w:p>
      <w:pPr>
        <w:spacing w:before="120" w:after="6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6 — Геометрия и начальные параметры конденсатора и кипятильника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Параметр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Конденсатор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Кипятильник</w:t>
            </w:r>
          </w:p>
        </w:tc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Ед. изм.</w:t>
            </w:r>
          </w:p>
        </w:tc>
      </w:tr>
      <w:tr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Диаметр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2,040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2,570</w:t>
            </w:r>
          </w:p>
        </w:tc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</w:t>
            </w:r>
          </w:p>
        </w:tc>
      </w:tr>
      <w:tr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Длина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3,060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3,855</w:t>
            </w:r>
          </w:p>
        </w:tc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</w:t>
            </w:r>
          </w:p>
        </w:tc>
      </w:tr>
      <w:tr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Полный объём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10,00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20,00</w:t>
            </w:r>
          </w:p>
        </w:tc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м³</w:t>
            </w:r>
          </w:p>
        </w:tc>
      </w:tr>
      <w:tr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Уровень жидкости (нач.)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50,00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50,00</w:t>
            </w:r>
          </w:p>
        </w:tc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%</w:t>
            </w:r>
          </w:p>
        </w:tc>
      </w:tr>
      <w:tr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 расчёта уровня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Горизонт. цилиндр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Горизонт. цилиндр</w:t>
            </w:r>
          </w:p>
        </w:tc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</w:t>
            </w:r>
          </w:p>
        </w:tc>
      </w:tr>
      <w:tr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Давление в ёмкости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1925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1955</w:t>
            </w:r>
          </w:p>
        </w:tc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кПа</w:t>
            </w:r>
          </w:p>
        </w:tc>
      </w:tr>
    </w:tbl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модель добавлены четыре PID-регулятора (Рисунок 10):</w:t>
      </w:r>
    </w:p>
    <w:p>
      <w:pPr>
        <w:pStyle w:val="ListParagraph"/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PIC-100 — регулятор давления в сепараторе по клапану VLV-102 на потоке Sep Vap 1;</w:t>
      </w:r>
    </w:p>
    <w:p>
      <w:pPr>
        <w:pStyle w:val="ListParagraph"/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LIC-100 — регулятор уровня в сепараторе по клапану VLV-101 на потоке питания;</w:t>
      </w:r>
    </w:p>
    <w:p>
      <w:pPr>
        <w:pStyle w:val="ListParagraph"/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LIC-101 — регулятор уровня в конденсаторе колонны по расходу дистиллята (клапан C3 Valve);</w:t>
      </w:r>
    </w:p>
    <w:p>
      <w:pPr>
        <w:pStyle w:val="ListParagraph"/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TIC-100 — регулятор температуры питания колонны Col Feed по тепловому потоку нагревателя (Heater-Q).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9347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2026-05-17_16_29_14_p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93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10 — Список объектов колонны и контуров регулирования в Dynamic Mode</w:t>
      </w:r>
    </w:p>
    <w:p>
      <w:pPr>
        <w:keepNext/>
        <w:spacing w:before="120" w:after="120"/>
        <w:ind w:firstLine="709"/>
      </w:pPr>
      <w:r>
        <w:rPr>
          <w:rFonts w:ascii="Times New Roman" w:hAnsi="Times New Roman" w:cs="Times New Roman" w:eastAsia="Times New Roman"/>
          <w:b/>
          <w:i/>
          <w:sz w:val="28"/>
        </w:rPr>
        <w:t>3.2.1. Пусковой переходный процесс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Переходный процесс после перевода модели в Dynamic Mode (Рисунок 11) демонстрирует поведение системы при выходе на стационарный режим. На графике одновременно отображены четыре переменные: расход питания колонны Col Feed (красная кривая, кг/ч), давление в конденсаторе (синяя кривая, кПа), уровень жидкости в кипятильнике (розовая кривая, %), уровень жидкости в конденсаторе (зелёная кривая, %).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578158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2026-05-17_16_25_07_pn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781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11 — Переходный процесс при запуске модели в динамическом режиме (Strip Chart)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первые 5–10 минут модельного времени наблюдаются характерные «всплески» по всем параметрам — это начальная доводка регуляторов, когда расходы и уровни перестраиваются с интегральных стационарных значений на значения, согласованные с динамической геометрией ёмкостей. Далее переходный процесс носит апериодический затухающий характер: давление в конденсаторе быстро (за ~25–30 минут) выходит на уставку 1925 кПа, расход Col Feed стабилизируется на отметке 1,131·10⁵ кг/ч примерно за то же время. Уровень в кипятильнике (розовая кривая) сходится к целевым 50 % за 70–80 минут. Наиболее медленным оказывается наполнение конденсатора (зелёная кривая): к моменту 84 мин уровень составляет 38,07 %, и продолжает расти к уставке 50 %, выход на установившийся режим занимает порядка 90–110 минут.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Таким образом, по результатам пускового переходного процесса можно сделать предварительный вывод об устойчивости системы автоматического регулирования: все четыре контура (PIC-100, LIC-100, LIC-101, TIC-100) обеспечивают апериодический выход параметров на уставки без перерегулирования, при этом «узким местом» является контур уровня в конденсаторе из-за большой массонакопительной ёмкости и относительно малого расхода дистиллята (979 кмоль/ч против объёма 10 м³).</w:t>
      </w:r>
    </w:p>
    <w:p>
      <w:pPr>
        <w:keepNext/>
        <w:spacing w:before="120" w:after="120"/>
        <w:ind w:firstLine="709"/>
      </w:pPr>
      <w:r>
        <w:rPr>
          <w:rFonts w:ascii="Times New Roman" w:hAnsi="Times New Roman" w:cs="Times New Roman" w:eastAsia="Times New Roman"/>
          <w:b/>
          <w:i/>
          <w:sz w:val="28"/>
        </w:rPr>
        <w:t>3.2.2. Эксперимент 1 — возмущение по расходу сырья (+10 %)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Цель эксперимента — оценить реакцию колонны и САР на увеличение производительности по сырью. После выхода на стационар уставка контроллера расхода NGL Feed (FIC-100) увеличивается ступенчато с 1918 до 2110 кмоль/ч (+10 %); интегратор работает 120 модельных минут до повторной стабилизации параметров.</w:t>
      </w:r>
    </w:p>
    <w:p>
      <w:pPr>
        <w:spacing w:before="120" w:after="120" w:line="276" w:lineRule="auto"/>
        <w:ind w:firstLine="0" w:left="283"/>
        <w:jc w:val="left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 xml:space="preserve">TODO: </w:t>
      </w:r>
      <w:r>
        <w:rPr>
          <w:rFonts w:ascii="Times New Roman" w:hAnsi="Times New Roman" w:cs="Times New Roman" w:eastAsia="Times New Roman"/>
          <w:b w:val="0"/>
          <w:i/>
          <w:color w:val="555555"/>
          <w:sz w:val="24"/>
        </w:rPr>
        <w:t>Прислать скриншот Strip Chart с переходным процессом, новые значения P_cond, T_top, расходов Propane и C4+, а также мольные доли пропана в дистилляте и n-гексана в кубе после стабилизации (~120 мин). Здесь дополнить анализом: время отработки возмущения каждым контуром, величина просадки/всплеска уровня в кипятильнике, изменение чистоты продукта.</w:t>
      </w:r>
    </w:p>
    <w:p>
      <w:pPr>
        <w:keepNext/>
        <w:spacing w:before="120" w:after="120"/>
        <w:ind w:firstLine="709"/>
      </w:pPr>
      <w:r>
        <w:rPr>
          <w:rFonts w:ascii="Times New Roman" w:hAnsi="Times New Roman" w:cs="Times New Roman" w:eastAsia="Times New Roman"/>
          <w:b/>
          <w:i/>
          <w:sz w:val="28"/>
        </w:rPr>
        <w:t>3.2.3. Эксперимент 2 — возмущение по температуре питания (50 → 60 °C)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Цель эксперимента — показать, как изменение доли паровой фазы в питании влияет на работу колонны. Уставка регулятора TIC-100 ступенчато увеличивается с 50 до 60 °C при неизменных остальных параметрах; интегратор работает 90–120 модельных минут.</w:t>
      </w:r>
    </w:p>
    <w:p>
      <w:pPr>
        <w:spacing w:before="120" w:after="120" w:line="276" w:lineRule="auto"/>
        <w:ind w:firstLine="0" w:left="283"/>
        <w:jc w:val="left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 xml:space="preserve">TODO: </w:t>
      </w:r>
      <w:r>
        <w:rPr>
          <w:rFonts w:ascii="Times New Roman" w:hAnsi="Times New Roman" w:cs="Times New Roman" w:eastAsia="Times New Roman"/>
          <w:b w:val="0"/>
          <w:i/>
          <w:color w:val="555555"/>
          <w:sz w:val="24"/>
        </w:rPr>
        <w:t>Прислать скриншоты Strip Chart, Column Profile (Temperature) после стабилизации, новый расход Q-Reb и состав продуктов. Здесь дополнить выводом: насколько изменилась тепловая нагрузка кипятильника, как сместился температурный профиль, как изменилась чистота пропана.</w:t>
      </w:r>
    </w:p>
    <w:p>
      <w:pPr>
        <w:keepNext/>
        <w:spacing w:before="120" w:after="120"/>
        <w:ind w:firstLine="709"/>
      </w:pPr>
      <w:r>
        <w:rPr>
          <w:rFonts w:ascii="Times New Roman" w:hAnsi="Times New Roman" w:cs="Times New Roman" w:eastAsia="Times New Roman"/>
          <w:b/>
          <w:i/>
          <w:sz w:val="28"/>
        </w:rPr>
        <w:t>3.2.4. Эксперимент 3 — возмущение по давлению в колонне (1925 → 1825 кПа)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Цель эксперимента — оценить устойчивость и быстродействие контура давления, а также показать влияние давления на качество разделения. Уставка давления в конденсаторе снижается на 100 кПа; интегратор — 60 минут.</w:t>
      </w:r>
    </w:p>
    <w:p>
      <w:pPr>
        <w:spacing w:before="120" w:after="120" w:line="276" w:lineRule="auto"/>
        <w:ind w:firstLine="0" w:left="283"/>
        <w:jc w:val="left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 xml:space="preserve">TODO: </w:t>
      </w:r>
      <w:r>
        <w:rPr>
          <w:rFonts w:ascii="Times New Roman" w:hAnsi="Times New Roman" w:cs="Times New Roman" w:eastAsia="Times New Roman"/>
          <w:b w:val="0"/>
          <w:i/>
          <w:color w:val="555555"/>
          <w:sz w:val="24"/>
        </w:rPr>
        <w:t>Прислать скриншот переходного процесса по давлению, новый расход дистиллята, температуру верха T_top после стабилизации и мольную долю пропана в Propane. Здесь дополнить выводом: за сколько минут контур давления отработал уставку, как при этом изменилась относительная летучесть и чистота продукта, не привело ли снижение давления к захлёбыванию тарелок (если есть сигнализация в HYSYS).</w:t>
      </w:r>
    </w:p>
    <w:p>
      <w:pPr>
        <w:keepNext/>
        <w:spacing w:before="120" w:after="120"/>
        <w:ind w:firstLine="709"/>
      </w:pPr>
      <w:r>
        <w:rPr>
          <w:rFonts w:ascii="Times New Roman" w:hAnsi="Times New Roman" w:cs="Times New Roman" w:eastAsia="Times New Roman"/>
          <w:b/>
          <w:i/>
          <w:sz w:val="28"/>
        </w:rPr>
        <w:t>3.2.5. Эксперимент 4 — возмущение по составу сырья (утяжеление)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Цель эксперимента — показать реакцию колонны на «утяжеление» сырья: уменьшение массовой доли пропана с 31,1 до 25 % при одновременном увеличении доли n-гексана с 39,6 до 45 % (нормализация — автоматически). Интегратор — 120 минут.</w:t>
      </w:r>
    </w:p>
    <w:p>
      <w:pPr>
        <w:spacing w:before="120" w:after="120" w:line="276" w:lineRule="auto"/>
        <w:ind w:firstLine="0" w:left="283"/>
        <w:jc w:val="left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 xml:space="preserve">TODO: </w:t>
      </w:r>
      <w:r>
        <w:rPr>
          <w:rFonts w:ascii="Times New Roman" w:hAnsi="Times New Roman" w:cs="Times New Roman" w:eastAsia="Times New Roman"/>
          <w:b w:val="0"/>
          <w:i/>
          <w:color w:val="555555"/>
          <w:sz w:val="24"/>
        </w:rPr>
        <w:t>Прислать Strip Chart и Performance Summary колонны после стабилизации. Здесь дополнить выводом: как изменились расходы Propane и C4+, как сместился температурный профиль, потребовалось ли увеличение Q-Reb, и насколько устойчиво САР отрабатывает изменение качественного состава, а не только количественные возмущения.</w:t>
      </w:r>
    </w:p>
    <w:p>
      <w:pPr>
        <w:keepNext/>
        <w:spacing w:before="120" w:after="120"/>
        <w:ind w:firstLine="709"/>
      </w:pPr>
      <w:r>
        <w:rPr>
          <w:rFonts w:ascii="Times New Roman" w:hAnsi="Times New Roman" w:cs="Times New Roman" w:eastAsia="Times New Roman"/>
          <w:b/>
          <w:i/>
          <w:sz w:val="28"/>
        </w:rPr>
        <w:t>3.2.6. Сводные выводы по динамическому режиму</w:t>
      </w:r>
    </w:p>
    <w:p>
      <w:pPr>
        <w:spacing w:before="120" w:after="120" w:line="276" w:lineRule="auto"/>
        <w:ind w:firstLine="0" w:left="283"/>
        <w:jc w:val="left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 xml:space="preserve">TODO: </w:t>
      </w:r>
      <w:r>
        <w:rPr>
          <w:rFonts w:ascii="Times New Roman" w:hAnsi="Times New Roman" w:cs="Times New Roman" w:eastAsia="Times New Roman"/>
          <w:b w:val="0"/>
          <w:i/>
          <w:color w:val="555555"/>
          <w:sz w:val="24"/>
        </w:rPr>
        <w:t>Окончательно сформировать после получения результатов Экспериментов 1–4. Шаблон выводов: (1) устойчивость САР при количественных возмущениях; (2) устойчивость при качественных возмущениях; (3) самый медленный контур (предположительно LIC-101); (4) рекомендации по тюнингу регуляторов и/или повышению степени разделения (увеличение R, добавление тарелок).</w:t>
      </w:r>
    </w:p>
    <w:p>
      <w:pPr>
        <w:keepNext/>
        <w:spacing w:before="240"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Заключение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выполнения работы достигнута поставленная цель — выполнено моделирование депропанизатора для разделения NGL в программной среде Aspen HYSYS в статическом режиме и проведено исследование переходных процессов в динамическом режиме.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Построена технологическая схема, включающая сепаратор, питающий насос, рекуперативный теплообменник, нагреватель и 24-тарельчатую депропанизаторную колонну с партиальным конденсатором. В качестве термодинамической модели выбрано уравнение Пенга–Робинсона, обоснованное составом смеси (C2–C6, неполярные углеводороды) и рабочим диапазоном давлений 0,3–2,0 МПа.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результатам стационарного расчёта получены следующие ключевые показатели работы колонны: расход дистиллята — 979,3 кмоль/ч с мольной долей пропана 76,81 %, расход кубового продукта — 856,5 кмоль/ч с проскоком пропана 0,78 мол. % и содержанием тяжёлых углеводородов (i-C4 и тяжелее) — 99,2 мол. %. Температура верха колонны 84,2 °C, низа — 163,8 °C; перепад давления по колонне — около 30 кПа.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Выполнено сопоставление расчётных параметров со значениями, характерными для промышленных депропанизаторов, по данным Mokhatab S., Poe W. A. [1], Kister H. Z. [3], GPSA Engineering Data Book [11], Luyben W. L. [7], а также с нормативными требованиями ГОСТ Р 52087-2018 [12]. По «технологическим» показателям (давления, температуры, перепад давления, число ступеней, извлечение пропана 99,1 % и проскок 0,78 мол. %) модель полностью соответствует литературным диапазонам, что подтверждает адекватность выбранной термодинамической модели Пенга–Робинсона. Расщепление изобутана как тяжёлого ключевого компонента 47,6 % в куб / 52,4 % в дистиллят указывает на то, что при текущих 24 ступенях и спецификациях получаемый дистиллят соответствует не товарному, а промежуточному «техническому» пропану и в реальной схеме должен подвергаться доочистке — что согласуется с типовой компоновкой узлов переработки NGL [1, 11].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Модель переведена в динамический режим с заданием геометрии конденсатора и кипятильника, а также четырёх PID-контуров: PIC-100, LIC-100, LIC-101, TIC-100. Пусковой переходный процесс носит апериодический характер; время выхода на стационар по давлению — 25–30 мин, по уровню в кипятильнике — 70–80 мин, по уровню в конденсаторе — 90–110 мин.</w:t>
      </w:r>
    </w:p>
    <w:p>
      <w:pPr>
        <w:spacing w:before="120" w:after="120" w:line="276" w:lineRule="auto"/>
        <w:ind w:firstLine="0" w:left="283"/>
        <w:jc w:val="left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 xml:space="preserve">TODO: </w:t>
      </w:r>
      <w:r>
        <w:rPr>
          <w:rFonts w:ascii="Times New Roman" w:hAnsi="Times New Roman" w:cs="Times New Roman" w:eastAsia="Times New Roman"/>
          <w:b w:val="0"/>
          <w:i/>
          <w:color w:val="555555"/>
          <w:sz w:val="24"/>
        </w:rPr>
        <w:t>Дополнить заключение результатами Экспериментов 1–4 после их выполнения: количественные оценки времени отработки возмущений, изменения чистоты продуктов и пределов устойчивости САР.</w:t>
      </w:r>
    </w:p>
    <w:p>
      <w:pPr>
        <w:keepNext/>
        <w:spacing w:before="240"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Список литературы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Mokhatab S., Poe W. A. Handbook of Natural Gas Transmission and Processing. — 3rd ed. — Gulf Professional Publishing, 2015. — 932 p.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Кравцов А. В., Ушева Н. В., Мойзес О. Е. и др. Технология переработки углеводородных газов. — Томск: Изд-во ТПУ, 2010. — 296 с.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Kister H. Z. Distillation Design. — McGraw-Hill, 1992. — 710 p.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Peng D.-Y., Robinson D. B. A new two-constant equation of state // Industrial &amp; Engineering Chemistry Fundamentals. — 1976. — Vol. 15, No. 1. — P. 59–64. — DOI: 10.1021/i160057a011.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Aspen Technology Inc. Aspen HYSYS V12.1: Unit Operations Guide. — Bedford, MA: AspenTech, 2021. — 1430 p.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Aspen Technology Inc. Aspen HYSYS V12.1: Dynamic Modeling Guide. — Bedford, MA: AspenTech, 2021. — 540 p.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Luyben W. L. Distillation Design and Control Using Aspen Simulation. — 2nd ed. — John Wiley &amp; Sons, 2013. — 480 p.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 Skogestad S. Dynamics and control of distillation columns — a critical survey // Modeling, Identification and Control. — 1997. — Vol. 18, No. 3. — P. 177–217.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 Морачевский А. Г., Смирнова Н. А., Пиотровская Е. М. Термодинамика равновесия жидкость–пар. — Л.: Химия, 1989. — 344 с.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 Рейд Р., Праусниц Дж., Шервуд Т. Свойства газов и жидкостей. — Л.: Химия, 1982. — 592 с.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11. GPSA Engineering Data Book. — 14th ed. — Tulsa, OK: Gas Processors Suppliers Association, 2017. — Vol. I–II. — Section 19: Fractionation and Absorption.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12. ГОСТ Р 52087-2018. Газы углеводородные сжиженные топливные. Технические условия. — М.: Стандартинформ, 2018. — 16 с.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13. Stichlmair J., Klein H., Rehfeldt S. Distillation: Principles and Practice. — 2nd ed. — Hoboken, NJ: John Wiley &amp; Sons, 2021. — 568 p.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  <w:rFonts w:ascii="Times New Roman" w:hAnsi="Times New Roman" w:cs="Times New Roman" w:eastAsia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