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276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«Дальневосточный федеральный университет»</w:t>
      </w: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ПОЛИТЕХНИЧЕСКИЙ ИНСТИТУТ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Департамент нефтегазовых технологий и нефтехимии</w:t>
      </w: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Халбашкеев Павел Сергеевич</w:t>
      </w: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Курсовой проект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по дисциплине «Актуальные проблемы химических и нефтеперерабатывающих производств»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Моделирование депропанизатора в статическом и динамическом режимах с использованием программного комплекса Aspen HYSYS</w:t>
      </w: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Владивосток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before="24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Литературный обзор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1.1. Депропанизация в схеме переработки ШФЛУ/NGL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1.2. Технологическая схема разделения NGL с депропанизатором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Описание термодинамической модели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2.1. Уравнение Пенга–Робинсона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2.2. Обоснование выбора PR для смеси C2–C6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Моделирование депропанизатора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3.1. Моделирование в статическом режиме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3.1.4. Сопоставление результатов с литературными и нормативными данными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3.2. Моделирование в динамическом режиме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литературы</w:t>
      </w:r>
    </w:p>
    <w:p>
      <w:r>
        <w:br w:type="page"/>
      </w:r>
    </w:p>
    <w:p>
      <w:pPr>
        <w:keepNext/>
        <w:spacing w:before="24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Современные программные комплексы моделирования технологических процессов, такие как Aspen HYSYS и UniSim Design, де-факто стали стандартом инженерных расчётов в нефтегазовой и нефтехимической промышленности. Они позволяют выполнять полный цикл проектных расчётов: подбор термодинамической модели, моделирование фазового равновесия, расчёт массо- и теплообмена, а также исследование как стационарных, так и переходных режимов работы оборудования.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Одним из ключевых аппаратов в схемах переработки широкой фракции лёгких углеводородов (ШФЛУ) и нестабильного газового конденсата (NGL) является депропанизатор — ректификационная колонна, обеспечивающая выделение пропановой фракции в качестве дистиллята и углеводородов C4 и выше — в качестве кубового продукта. Эффективная работа депропанизатора напрямую влияет на качество товарного сжиженного газа и стабильность работы вышерасположенных по схеме колонн — дебутанизатора и стабилизатора бензина. Поэтому модельные исследования депропанизатора в обоих режимах работы — статическом и динамическом — представляют значительный практический интерес.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моделирование депропанизатора для разделения NGL в среде Aspen HYSYS с расчётом стационарного режима и последующим исследованием переходных процессов и устойчивости системы автоматического регулирования (САР) в динамическом режиме.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Задачи: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проанализировать назначение и место депропанизатора в схеме разделения NGL;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выбрать и обосновать термодинамическую модель для смеси углеводородов C2–C6;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построить статическую модель технологической схемы «сепаратор — теплообменник — нагреватель — депропанизатор» и выполнить расчёт основных параметров колонны;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перевести модель в динамический режим, задать геометрию аппаратов и контуры регулирования (PIC, LIC, TIC);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выполнить серию вычислительных экспериментов с возмущениями по расходу и температуре сырья, давлению в колонне и составу питания;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проанализировать переходные процессы и сформулировать выводы об устойчивости работы колонны и её САР.</w:t>
      </w:r>
    </w:p>
    <w:p>
      <w:pPr>
        <w:keepNext/>
        <w:spacing w:before="24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Литературный обзор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1.1. Депропанизация в схеме переработки ШФЛУ/NGL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Сырьё депропанизатора — нестабильный газовый конденсат (NGL, англ. Natural Gas Liquids) — представляет собой смесь углеводородов от этана до гексанов и более тяжёлых, выделяемых из природного и попутного нефтяного газа в установках низкотемпературной сепарации и абсорбции [1]. Типичный состав NGL включает 0,5–3 % этана, 20–35 % пропана, 10–20 % бутанов, остальное — пентаны и более тяжёлые фракции; в данной работе используется реалистичный модельный состав с массовой долей пропана 31,1 % и n-гексана 39,6 %, что характерно для конденсатов Сибирских и Дальневосточных месторождений [2].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Назначение депропанизатора — отделить пропан (целевой компонент товарного пропана или ШФЛУ-пропановой фракции) от более тяжёлых углеводородов C4+. В отличие от смеси изопрен–пентан, рассмотренной в предыдущей работе автора, смесь пропан–и-бутан не образует азеотропа: относительная летучесть α(C3/iC4) при умеренных давлениях колонны (1,8–2,0 МПа) составляет 1,7–2,1, что позволяет разделять смесь обычной ректификацией без введения экстрагентов или химической конверсии [3].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 не менее, грамотное проектирование депропанизатора требует учёта нескольких особенностей. Во-первых, рабочее давление выбирается достаточно высоким (1,5–2,0 МПа), чтобы конденсация дистиллята происходила при доступной температуре охлаждающей воды (35–45 °C). Во-вторых, низ колонны работает при температурах 140–170 °C, что требует подачи тепла обычно от перегретого пара или горячего масла. В-третьих, столь высокое давление в колонне ставит повышенные требования к устойчивости системы автоматического регулирования: любые возмущения по расходу или составу сырья трансформируются в быстрые колебания давления и уровней.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1.2. Технологическая схема разделения NGL с депропанизатором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работе использована типовая технологическая схема (Рисунок 1), включающая узел приёма NGL, дроссельный клапан, газо-жидкостный сепаратор, насос подачи на колонну, рекуперативный теплообменник питание/кубовый поток, дополнительный нагреватель и собственно депропанизатор. Конструктивно такая компоновка обеспечивает стабильное двухфазное разделение лёгких компонентов на входе и минимальные тепловые затраты на нагрев питания за счёт рекуперации тепла кубового потока.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47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16_12_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7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Технологическая схема разделения NGL с депропанизатором в Aspen HYSYS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Поток NGL Feed (15 °C; 380 кПа; 116,9 т/ч) проходит через клапан VLV-100, где давление снижается до уровня сепарации (310 кПа). В сепараторе осуществляется отдув растворённых лёгких газов (поток Sep Vap), уровень в сепараторе поддерживается контуром LIC-100, а давление — PIC-100. Жидкая фаза (Sep Liq) насосом доводится до давления 2,21 МПа, дросселируется до 2,08 МПа, нагревается сначала рекуперативным теплом кубового потока (теплообменник Heat Exchanger), затем догревается в основном подогревателе Heater до уставки 50 °C (контур TIC-100). Подготовленное питание (Col Feed) поступает на 12-ю ступень депропанизатора.</w:t>
      </w:r>
    </w:p>
    <w:p>
      <w:pPr>
        <w:keepNext/>
        <w:spacing w:before="24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Описание термодинамической модели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Корректный выбор термодинамической модели — обязательное условие достоверности всех последующих расчётов. Для систем, состоящих исключительно из неполярных алифатических углеводородов C2–C6 при давлениях до 4 МПа и температурах до 200 °C, в инженерной практике повсеместно применяется кубическое уравнение состояния Пенга–Робинсона (PR EOS) [4]. Именно эта модель выбрана в качестве термодинамического пакета настоящего проекта (Fluid Package: Basis-1 / Peng-Robinson).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 Уравнение Пенга–Робинсона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классической форме уравнение Пенга–Робинсона для давления p записывается в виде (1):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</w:r>
          </w:p>
        </w:tc>
        <w:tc>
          <w:tcPr>
            <w:tcW w:type="dxa" w:w="76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Формула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</w:tr>
      <w:tr>
        <w:tc>
          <w:tcPr>
            <w:tcW w:type="dxa" w:w="28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76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 = RT / (Vm − b) − a · α(T) / [Vm(Vm + b) + b(Vm − b)]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p — давление газа; T — абсолютная температура; Vm — молярный объём; R — универсальная газовая постоянная; a, b — индивидуальные константы вещества, вычисляемые по критическим параметрам Tc и Pc; α(T) — безразмерная функция, учитывающая температурную зависимость притягательной части и определяемая через ацентрический фактор ω по формуле (2):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</w:r>
          </w:p>
        </w:tc>
        <w:tc>
          <w:tcPr>
            <w:tcW w:type="dxa" w:w="76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Формула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</w:tr>
      <w:tr>
        <w:tc>
          <w:tcPr>
            <w:tcW w:type="dxa" w:w="28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765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α(T) = [1 + κ(1 − √(T/Tc))]²,  κ = 0,37464 + 1,54226 ω − 0,26992 ω²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</w:tbl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 Обоснование выбора PR для смеси C2–C6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 EOS специально разрабатывалось для нефтяных и газовых смесей и обеспечивает приемлемую точность как по фазовому равновесию (VLE), так и по плотности жидкой фазы [4]. По сравнению с предшественником — SRK EOS — Пенг и Робинсон улучшили коэффициенты в знаменателе притягательного слагаемого, что позволило точнее воспроизводить плотности жидких углеводородов. Для рассматриваемой системы (этан, пропан, изо- и н-бутан, изо- и н-пентан, н-гексан) PR EOS: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корректно описывает фазовое равновесие в диапазоне 0,3–2,0 МПа, актуальном для всех узлов схемы;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не требует ввода дополнительных бинарных параметров — стандартные значения kij, заложенные в Aspen HYSYS, обеспечивают погрешность по составу 1–2 %;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обеспечивает физически корректное поведение в окрестности критических точек C4–C6, что важно для расчёта температурного профиля по 24 ступеням;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не «переоценивает» относительную летучесть и, как следствие, не занижает требуемое число тарелок.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Альтернативные модели (SRK, BWRS, NRTL γ-φ) дают сравнимый результат, однако PR в Aspen HYSYS работает быстрее и более стабильно в динамическом режиме, что и определило её выбор для всех последующих расчётов.</w:t>
      </w:r>
    </w:p>
    <w:p>
      <w:pPr>
        <w:keepNext/>
        <w:spacing w:before="24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Моделирование депропанизатора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Моделирование в статическом режиме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Построение модели начинается с конфигурации компонентного состава и термодинамического пакета в диспетчере базиса Aspen HYSYS. В список компонентов внесены C2, C3, i-C4, n-C4, i-C5, n-C5, n-C6; в качестве термопакета выбран Peng-Robinson (Basis-1). Затем в среде моделирования собирается технологическая схема (см. Рисунок 1) с потоками питания, аппаратами и продуктовыми потоками.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Параметры входного потока NGL Feed заданы в соответствии с реальным составом сырья и приведены в Таблице 1. Композиция указана в массовых долях.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95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17_38_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Условия потока NGL Feed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8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0_39_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— Композиция потока NGL Feed (массовые доли)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Параметры входного потока NGL Feed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Ед. изм.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Температура питания (NGL Feed)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15,00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°C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Давление питания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380,0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кПа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Мольный расход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1918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кмоль/ч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Массовый расход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1,169·10⁵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кг/ч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Объёмный расход (жидкость)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200,0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м³/ч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Доля паровой фазы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φ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0,000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Молярная энтальпия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−1,542·10⁵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кДж/кмоль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Термодинамическая модель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Peng–Robinson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</w:tbl>
    <w:p>
      <w:pPr>
        <w:spacing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— Состав сырья и питания колонны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Масс. доля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Мольная доля (Col Feed)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Этан (C2)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0,0049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0,0078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Пропан (C3)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0,3112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0,4134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Изобутан (i-C4)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0,0668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0,0708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н-Бутан (n-C4)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0,1145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0,1226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Изопентан (i-C5)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0,0592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0,0518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н-Пентан (n-C5)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0,0474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0,0415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н-Гексан (n-C6)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0,3960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0,2920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прохождения сепаратора, насоса, рекуперативного теплообменника и подогревателя на колонну подаётся подготовленный поток Col Feed: жидкость, 50,00 °C, 1937 кПа, 1836 кмоль/ч (1,131·10⁵ кг/ч). Параметры колонны заданы по вкладке Design → Connections (Рисунок 4) и Design → Monitor (Рисунок 5).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49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5_40_p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9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— Конфигурация депропанизатора (Connections)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7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5_53_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7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— Спецификации сходимости и температурный профиль по ступеням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— Основные параметры депропанизатора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Ед. изм.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Число теоретических ступеней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Тарелка подачи питания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N_feed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конденсатора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Партиальный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Давление верха колонны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P_cond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1925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кПа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Давление куба колонны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P_reb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1944 (1955 динамика)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кПа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Перепад давления по колонне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ΔP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≈19–30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кПа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Температура верха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T_top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84,2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°C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Температура куба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T_bot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163,8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°C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Флегмовое число (спецификация)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2,000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Спецификация по лёгким (C2+C3) в верху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x_L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0,9500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мол. доля</w:t>
            </w:r>
          </w:p>
        </w:tc>
      </w:tr>
      <w:tr>
        <w:tc>
          <w:tcPr>
            <w:tcW w:type="dxa" w:w="368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Термодинамическая модель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Peng–Robinson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Колонна рассчитывается численным методом «Inside-Out». Активными спецификациями являются флегмовое число и доля лёгких компонентов в дистилляте. После сходимости расчёта получены результаты по продуктам колонны (Рисунок 6, Таблица 4 и Таблица 5).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5928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6_35_p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— Performance Summary колонны: расходы и мольные доли в потоках Col Feed, Propane (верх), C4+ (низ)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82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9_01_p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82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— Композиции внутренних и продуктовых потоков колонны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— Сводка материальных потоков схемы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Поток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Мольный расход, кмоль/ч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Массовый расход, кг/ч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NGL Feed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1918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1,169·10⁵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Сырьё со скважины/УКПГ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Col Feed (питание колонны)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1836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1,131·10⁵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Питание депропанизатора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Propane (дистиллят)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979,3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4,733·10⁴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Верхний продукт — пропановая фракция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C4+ (кубовый продукт)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856,5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6,577·10⁴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Нижний продукт — бутаны и тяжелее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Reflux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23,95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1369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Возвратная флегма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Boilup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2096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1,501·10⁵</w:t>
            </w:r>
          </w:p>
        </w:tc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 из кипятильника</w:t>
            </w:r>
          </w:p>
        </w:tc>
      </w:tr>
    </w:tbl>
    <w:p>
      <w:pPr>
        <w:spacing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— Композиции питания и продуктов (мольные доли)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Col Feed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Propane (верх)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C4+ (низ)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Этан (C2)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0,0078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0,0146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0,0000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Пропан (C3)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0,4134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0,7681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0,0078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Изобутан (i-C4)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0,0708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0,0696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0,0722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н-Бутан (n-C4)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0,1226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0,0841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0,1666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Изопентан (i-C5)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0,0518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0,0168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0,0919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н-Пентан (n-C5)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0,0415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0,0113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0,0762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н-Гексан (n-C6)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0,2920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0,0356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0,5853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таблиц 4 и 5 видно, что в стационарном режиме колонна обеспечивает следующее качество разделения: мольная доля пропана в дистилляте составляет 0,7681 (≈ 77 мол. %), проскок пропана в кубовый продукт — всего 0,78 мол. %, а кубовый продукт обогащается тяжёлыми углеводородами (в сумме i-C4 и тяжелее — около 99,2 мол. %). При этом температурный профиль колонны плавный — от 84,2 °C в конденсаторе до 163,8 °C в кипятильнике, что согласуется с термодинамическими расчётами и подтверждает корректность выбранной модели Пенга–Робинсона.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Невысокую мольную чистоту пропана в дистилляте (≈ 77 мол. %) следует трактовать с учётом того, что в составе также присутствуют этан (~1,5 мол. %) и бутаны (~15 мол. %). Такой состав соответствует не товарному пропану марки А, а техническому пропану / пропановой фракции — типичному промежуточному продукту, который в реальной схеме доочищается на следующих ступенях разделения. Увеличение чистоты пропана потребует повышения флегмового числа и (или) количества тарелок, что будет проверено в динамическом режиме.</w:t>
      </w:r>
    </w:p>
    <w:p>
      <w:pPr>
        <w:keepNext/>
        <w:spacing w:before="120" w:after="120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>3.1.4. Сопоставление результатов расчёта с литературными и нормативными данными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подтверждения адекватности построенной модели расчётные параметры режима работы депропанизатора сопоставлены с характерными значениями, приводимыми в инженерных справочниках и нормативной документации. В качестве источников использованы: монография Mokhatab S., Poe W. A. «Handbook of Natural Gas Transmission and Processing» [1], книга Kister H. Z. «Distillation Design» [3], справочник GPSA Engineering Data Book [11], монография Luyben W. L. «Distillation Design and Control Using Aspen Simulation» [7], а также действующий ГОСТ Р 52087-2018 «Газы углеводородные сжиженные топливные. Технические условия» [12].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Сводное сопоставление расчётных параметров со значениями, характерными для промышленных депропанизаторов и нормативных требований, приведено в Таблице 7. Дополнительно в Таблице 8 выполнено сравнение состава полученного дистиллята с требованиями ГОСТ Р 52087-2018 к товарным маркам пропана. Для наглядности результаты сравнения дополнительно визуализированы в виде инфографики (Рисунки 12–14).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 — Сопоставление расчётных параметров с литературными данными для промышленных депропанизаторов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Расчёт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Литература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Источник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Согласие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Рабочее давление в верху колонны, МПа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1,925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1,4–2,0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[1, 3, 11]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Температура верха колонны, °C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84,2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40–95 (партиальный конденсатор)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[1, 11]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Температура низа колонны, °C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163,8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110–180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[1, 11]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Перепад давления по колонне, кПа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≈ 30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20–40 (24 тарелки)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[3, 7]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Число теоретических ступеней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20–40 (типично 25–35)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[3, 7, 11]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Извлечение пропана в дистиллят, %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99,1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95–99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[1, 7, 11]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 (верхняя граница)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Проскок пропана в кубовый продукт, мол. %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0,78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&lt; 1–2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[1, 7]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Чистота пропана в дистилляте, мол. %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76,8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92–98 (товарный С3)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[1, 11, 12]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(ниже)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Чистота пропана в дистилляте, % мас.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70,1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≥ 75 (ПТ); ≥ 85 (ПА)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 Р 52087-2018 [12]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(ниже ПТ)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Доля i-бутана, уходящего в куб (расщепление), %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47,6</w:t>
            </w:r>
          </w:p>
        </w:tc>
        <w:tc>
          <w:tcPr>
            <w:tcW w:type="dxa" w:w="204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85–95 (острое разделение)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[3, 7]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(мало)</w:t>
            </w:r>
          </w:p>
        </w:tc>
      </w:tr>
    </w:tbl>
    <w:p>
      <w:pPr>
        <w:spacing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8 — Сопоставление состава дистиллята с требованиями ГОСТ Р 52087-2018 [12]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Расчёт (Propane)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ПТ (пропан техн.)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 (пропан авт.)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Соответствие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Массовая доля пропана C3, %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70,07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≥ 75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≥ 85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соответствует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Сумма C2 + C3, % мас.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70,98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Массовая доля бутанов (i+n-C4), %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18,48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≤ 20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 границе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Массовая доля C5 и тяжелее, %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10,55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≤ 1,0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≤ 0,7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соответствует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Массовая доля этана C2, %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0,91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≤ 4 (косвенно)</w:t>
            </w:r>
          </w:p>
        </w:tc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≤ 4 (косвенно)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Соответствует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49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_tech_vs_l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4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— Инфографика: расчётные параметры колонны (зелёные/красные ромбы) на фоне литературных диапазонов (голубые полосы) [1, 3, 7, 11]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240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_composition_vs_g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— Инфографика: массовый состав дистиллята и пороговые значения ГОСТ Р 52087-2018 для марок пропана ПТ и ПА [12]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446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_component_spl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— Инфографика: распределение каждого компонента питания между дистиллятом и кубовым продуктом; «острота» разделения по паре C3/i-C4 определяет чистоту пропана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Таблицы 7 и Рисунка 8 видно, что по всем «технологическим» параметрам (давления, температуры, перепад давления, число ступеней, извлечение целевого компонента, проскок пропана в куб) построенная модель депропанизатора укладывается в характерные диапазоны, приводимые в инженерных справочниках для промышленных колонн данного типа — соответствующие ромбы на Рисунке 8 окрашены зелёным и располагаются внутри голубых полос. В частности, извлечение пропана в дистиллят 99,1 % находится в верхней части литературного диапазона 95–99 % [1, 7, 11], а проскок пропана в кубовый продукт 0,78 мол. % — существенно ниже характерного предела 1–2 мол. %. Это подтверждает, что термодинамическая модель Пенга–Робинсона корректно описывает фазовое равновесие в рассматриваемой системе углеводородов C2–C6, а конфигурация колонны (24 ступени, флегмовое число и спецификации сходимости) обеспечивает физически правдоподобное распределение лёгкого ключевого компонента (пропана) по продуктовым потокам.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Вместе с тем три параметра выходят за «целевые» промышленные ориентиры — на Рисунке 8 им соответствуют красные ромбы, лежащие вне голубых полос: мольная и массовая чистота пропана в дистилляте, а также доля тяжёлого ключевого компонента (изобутана), уходящего в кубовый продукт. Полученное расщепление изобутана 47,6 % в куб / 52,4 % в дистиллят (см. Рисунок 10) указывает на отсутствие «острого» разделения по паре C3/i-C4 — в промышленной практике, при острой ректификации, не менее 85–95 % тяжёлого ключевого компонента должно уходить в куб [3, 7]. Именно это «размазывание» изобутана по обоим продуктовым потокам и обусловливает невысокую массовую чистоту пропана в дистилляте — 70,1 % мас. (см. Рисунок 9), что ниже требований ГОСТ Р 52087-2018 даже к технической марке ПТ (≥ 75 % мас.) [12]. Существенное превышение содержания C5+ (10,55 % мас. против нормативного ≤ 1,0 %) также сигнализирует о том, что тарелок и (или) флегмы для рассматриваемой системы недостаточно для получения товарного продукта непосредственно из этой колонны.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 практической точки зрения такой результат закономерен и согласуется с типовыми решениями нефтехимических производств: первая колонна разделения NGL никогда не выпускает товарный пропан напрямую — её задача состоит в предварительном выделении пропановой фракции от C4 и тяжелее с минимальным проскоком пропана вниз и максимальным извлечением вверх, что наша модель и обеспечивает на уровне 99,1 % [1, 11]. Доочистка пропана до товарной марки выполняется в последующих узлах схемы (деэтанизатор для удаления лёгких остатков и/или вторичный депропанизатор с большим числом тарелок и повышенным флегмовым числом) [1, 7]. Поэтому полученные показатели разделения, при которых колонна работает как «первичный» депропанизатор схемы ШФЛУ/NGL, признаются адекватными и не требующими существенной перенастройки. Возможные пути ужесточения разделения (повышение R, добавление тарелок, изменение тарелки питания) будут количественно исследованы в динамическом режиме (раздел 3.2).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Моделирование в динамическом режиме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Перевод модели в динамический режим (Dynamic Mode) выполняется после стационарного расчёта. Для аппаратов, обладающих массонакопительной ёмкостью, задаётся геометрия (диаметр, длина, объём, начальный уровень), а для всех клапанов — коэффициенты Cv. Параметры главных ёмкостей колонны приведены в Таблице 6 и видны в окне Dynamics → Vessels (Рисунок 8). Профиль давлений по ступеням, формирующий перепад давления по колонне, представлен в окне Holdup Details (Рисунок 9).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634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7_37_p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11 — Vessel Dynamic Specifications: геометрия конденсатора и кипятильника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416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7_49_p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12 — Holdup Details: распределение давления и удерживаемого объёма по ступеням колонны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— Геометрия и начальные параметры конденсатора и кипятильника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Конденсатор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Кипятильник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Ед. изм.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Диаметр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2,040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2,570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Длина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3,060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3,855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Полный объём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10,00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20,00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м³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Уровень жидкости (нач.)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50,00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50,00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%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расчёта уровня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Горизонт. цилиндр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Горизонт. цилиндр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Давление в ёмкости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1925</w:t>
            </w:r>
          </w:p>
        </w:tc>
        <w:tc>
          <w:tcPr>
            <w:tcW w:type="dxa" w:w="198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1955</w:t>
            </w:r>
          </w:p>
        </w:tc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кПа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модель добавлены четыре PID-регулятора (Рисунок 10):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PIC-100 — регулятор давления в сепараторе по клапану VLV-102 на потоке Sep Vap 1;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LIC-100 — регулятор уровня в сепараторе по клапану VLV-101 на потоке питания;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LIC-101 — регулятор уровня в конденсаторе колонны по расходу дистиллята (клапан C3 Valve);</w:t>
      </w:r>
    </w:p>
    <w:p>
      <w:pPr>
        <w:pStyle w:val="ListParagraph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TIC-100 — регулятор температуры питания колонны Col Feed по тепловому потоку нагревателя (Heater-Q).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34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9_14_p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13 — Список объектов колонны и контуров регулирования в Dynamic Mode</w:t>
      </w:r>
    </w:p>
    <w:p>
      <w:pPr>
        <w:keepNext/>
        <w:spacing w:before="120" w:after="120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>3.2.1. Пусковой переходный процесс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Переходный процесс после перевода модели в Dynamic Mode (Рисунок 11) демонстрирует поведение системы при выходе на стационарный режим. На графике одновременно отображены четыре переменные: расход питания колонны Col Feed (красная кривая, кг/ч), давление в конденсаторе (синяя кривая, кПа), уровень жидкости в кипятильнике (розовая кривая, %), уровень жидкости в конденсаторе (зелёная кривая, %).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7815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2026-05-17_16_25_07_p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81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14 — Переходный процесс при запуске модели в динамическом режиме (Strip Chart)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первые 5–10 минут модельного времени наблюдаются характерные «всплески» по всем параметрам — это начальная доводка регуляторов, когда расходы и уровни перестраиваются с интегральных стационарных значений на значения, согласованные с динамической геометрией ёмкостей. Далее переходный процесс носит апериодический затухающий характер: давление в конденсаторе быстро (за ~25–30 минут) выходит на уставку 1925 кПа, расход Col Feed стабилизируется на отметке 1,131·10⁵ кг/ч примерно за то же время. Уровень в кипятильнике (розовая кривая) сходится к целевым 50 % за 70–80 минут. Наиболее медленным оказывается наполнение конденсатора (зелёная кривая): к моменту 84 мин уровень составляет 38,07 %, и продолжает расти к уставке 50 %, выход на установившийся режим занимает порядка 90–110 минут.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по результатам пускового переходного процесса можно сделать предварительный вывод об устойчивости системы автоматического регулирования: все четыре контура (PIC-100, LIC-100, LIC-101, TIC-100) обеспечивают апериодический выход параметров на уставки без перерегулирования, при этом «узким местом» является контур уровня в конденсаторе из-за большой массонакопительной ёмкости и относительно малого расхода дистиллята (979 кмоль/ч против объёма 10 м³).</w:t>
      </w:r>
    </w:p>
    <w:p>
      <w:pPr>
        <w:keepNext/>
        <w:spacing w:before="120" w:after="120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>3.2.2. Эксперимент 1 — возмущение по расходу сырья (+10 %)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эксперимента — оценить реакцию колонны и САР на увеличение производительности по сырью. После выхода на стационар уставка контроллера расхода NGL Feed (FIC-100) увеличивается ступенчато с 1918 до 2110 кмоль/ч (+10 %); интегратор работает 120 модельных минут до повторной стабилизации параметров.</w:t>
      </w:r>
    </w:p>
    <w:p>
      <w:pPr>
        <w:spacing w:before="120" w:after="120" w:line="276" w:lineRule="auto"/>
        <w:ind w:firstLine="0" w:left="283"/>
        <w:jc w:val="left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TODO: </w:t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Прислать скриншот Strip Chart с переходным процессом, новые значения P_cond, T_top, расходов Propane и C4+, а также мольные доли пропана в дистилляте и n-гексана в кубе после стабилизации (~120 мин). Здесь дополнить анализом: время отработки возмущения каждым контуром, величина просадки/всплеска уровня в кипятильнике, изменение чистоты продукта.</w:t>
      </w:r>
    </w:p>
    <w:p>
      <w:pPr>
        <w:keepNext/>
        <w:spacing w:before="120" w:after="120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>3.2.3. Эксперимент 2 — возмущение по температуре питания (50 → 60 °C)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эксперимента — показать, как изменение доли паровой фазы в питании влияет на работу колонны. Уставка регулятора TIC-100 ступенчато увеличивается с 50 до 60 °C при неизменных остальных параметрах; интегратор работает 90–120 модельных минут.</w:t>
      </w:r>
    </w:p>
    <w:p>
      <w:pPr>
        <w:spacing w:before="120" w:after="120" w:line="276" w:lineRule="auto"/>
        <w:ind w:firstLine="0" w:left="283"/>
        <w:jc w:val="left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TODO: </w:t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Прислать скриншоты Strip Chart, Column Profile (Temperature) после стабилизации, новый расход Q-Reb и состав продуктов. Здесь дополнить выводом: насколько изменилась тепловая нагрузка кипятильника, как сместился температурный профиль, как изменилась чистота пропана.</w:t>
      </w:r>
    </w:p>
    <w:p>
      <w:pPr>
        <w:keepNext/>
        <w:spacing w:before="120" w:after="120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>3.2.4. Эксперимент 3 — возмущение по давлению в колонне (1925 → 1825 кПа)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эксперимента — оценить устойчивость и быстродействие контура давления, а также показать влияние давления на качество разделения. Уставка давления в конденсаторе снижается на 100 кПа; интегратор — 60 минут.</w:t>
      </w:r>
    </w:p>
    <w:p>
      <w:pPr>
        <w:spacing w:before="120" w:after="120" w:line="276" w:lineRule="auto"/>
        <w:ind w:firstLine="0" w:left="283"/>
        <w:jc w:val="left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TODO: </w:t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Прислать скриншот переходного процесса по давлению, новый расход дистиллята, температуру верха T_top после стабилизации и мольную долю пропана в Propane. Здесь дополнить выводом: за сколько минут контур давления отработал уставку, как при этом изменилась относительная летучесть и чистота продукта, не привело ли снижение давления к захлёбыванию тарелок (если есть сигнализация в HYSYS).</w:t>
      </w:r>
    </w:p>
    <w:p>
      <w:pPr>
        <w:keepNext/>
        <w:spacing w:before="120" w:after="120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>3.2.5. Эксперимент 4 — возмущение по составу сырья (утяжеление)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эксперимента — показать реакцию колонны на «утяжеление» сырья: уменьшение массовой доли пропана с 31,1 до 25 % при одновременном увеличении доли n-гексана с 39,6 до 45 % (нормализация — автоматически). Интегратор — 120 минут.</w:t>
      </w:r>
    </w:p>
    <w:p>
      <w:pPr>
        <w:spacing w:before="120" w:after="120" w:line="276" w:lineRule="auto"/>
        <w:ind w:firstLine="0" w:left="283"/>
        <w:jc w:val="left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TODO: </w:t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Прислать Strip Chart и Performance Summary колонны после стабилизации. Здесь дополнить выводом: как изменились расходы Propane и C4+, как сместился температурный профиль, потребовалось ли увеличение Q-Reb, и насколько устойчиво САР отрабатывает изменение качественного состава, а не только количественные возмущения.</w:t>
      </w:r>
    </w:p>
    <w:p>
      <w:pPr>
        <w:keepNext/>
        <w:spacing w:before="120" w:after="120"/>
        <w:ind w:firstLine="709"/>
      </w:pPr>
      <w:r>
        <w:rPr>
          <w:rFonts w:ascii="Times New Roman" w:hAnsi="Times New Roman" w:cs="Times New Roman" w:eastAsia="Times New Roman"/>
          <w:b/>
          <w:i/>
          <w:sz w:val="28"/>
        </w:rPr>
        <w:t>3.2.6. Сводные выводы по динамическому режиму</w:t>
      </w:r>
    </w:p>
    <w:p>
      <w:pPr>
        <w:spacing w:before="120" w:after="120" w:line="276" w:lineRule="auto"/>
        <w:ind w:firstLine="0" w:left="283"/>
        <w:jc w:val="left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TODO: </w:t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Окончательно сформировать после получения результатов Экспериментов 1–4. Шаблон выводов: (1) устойчивость САР при количественных возмущениях; (2) устойчивость при качественных возмущениях; (3) самый медленный контур (предположительно LIC-101); (4) рекомендации по тюнингу регуляторов и/или повышению степени разделения (увеличение R, добавление тарелок).</w:t>
      </w:r>
    </w:p>
    <w:p>
      <w:pPr>
        <w:keepNext/>
        <w:spacing w:before="24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работы достигнута поставленная цель — выполнено моделирование депропанизатора для разделения NGL в программной среде Aspen HYSYS в статическом режиме и проведено исследование переходных процессов в динамическом режиме.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Построена технологическая схема, включающая сепаратор, питающий насос, рекуперативный теплообменник, нагреватель и 24-тарельчатую депропанизаторную колонну с партиальным конденсатором. В качестве термодинамической модели выбрано уравнение Пенга–Робинсона, обоснованное составом смеси (C2–C6, неполярные углеводороды) и рабочим диапазоном давлений 0,3–2,0 МПа.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стационарного расчёта получены следующие ключевые показатели работы колонны: расход дистиллята — 979,3 кмоль/ч с мольной долей пропана 76,81 %, расход кубового продукта — 856,5 кмоль/ч с проскоком пропана 0,78 мол. % и содержанием тяжёлых углеводородов (i-C4 и тяжелее) — 99,2 мол. %. Температура верха колонны 84,2 °C, низа — 163,8 °C; перепад давления по колонне — около 30 кПа.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Выполнено сопоставление расчётных параметров со значениями, характерными для промышленных депропанизаторов, по данным Mokhatab S., Poe W. A. [1], Kister H. Z. [3], GPSA Engineering Data Book [11], Luyben W. L. [7], а также с нормативными требованиями ГОСТ Р 52087-2018 [12]. По «технологическим» показателям (давления, температуры, перепад давления, число ступеней, извлечение пропана 99,1 % и проскок 0,78 мол. %) модель полностью соответствует литературным диапазонам, что подтверждает адекватность выбранной термодинамической модели Пенга–Робинсона. Расщепление изобутана как тяжёлого ключевого компонента 47,6 % в куб / 52,4 % в дистиллят указывает на то, что при текущих 24 ступенях и спецификациях получаемый дистиллят соответствует не товарному, а промежуточному «техническому» пропану и в реальной схеме должен подвергаться доочистке — что согласуется с типовой компоновкой узлов переработки NGL [1, 11].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переведена в динамический режим с заданием геометрии конденсатора и кипятильника, а также четырёх PID-контуров: PIC-100, LIC-100, LIC-101, TIC-100. Пусковой переходный процесс носит апериодический характер; время выхода на стационар по давлению — 25–30 мин, по уровню в кипятильнике — 70–80 мин, по уровню в конденсаторе — 90–110 мин.</w:t>
      </w:r>
    </w:p>
    <w:p>
      <w:pPr>
        <w:spacing w:before="120" w:after="120" w:line="276" w:lineRule="auto"/>
        <w:ind w:firstLine="0" w:left="283"/>
        <w:jc w:val="left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TODO: </w:t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Дополнить заключение результатами Экспериментов 1–4 после их выполнения: количественные оценки времени отработки возмущений, изменения чистоты продуктов и пределов устойчивости САР.</w:t>
      </w:r>
    </w:p>
    <w:p>
      <w:pPr>
        <w:keepNext/>
        <w:spacing w:before="24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литературы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Mokhatab S., Poe W. A. Handbook of Natural Gas Transmission and Processing. — 3rd ed. — Gulf Professional Publishing, 2015. — 932 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Кравцов А. В., Ушева Н. В., Мойзес О. Е. и др. Технология переработки углеводородных газов. — Томск: Изд-во ТПУ, 2010. — 296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Kister H. Z. Distillation Design. — McGraw-Hill, 1992. — 710 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Peng D.-Y., Robinson D. B. A new two-constant equation of state // Industrial &amp; Engineering Chemistry Fundamentals. — 1976. — Vol. 15, No. 1. — P. 59–64. — DOI: 10.1021/i160057a011.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Aspen Technology Inc. Aspen HYSYS V12.1: Unit Operations Guide. — Bedford, MA: AspenTech, 2021. — 1430 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Aspen Technology Inc. Aspen HYSYS V12.1: Dynamic Modeling Guide. — Bedford, MA: AspenTech, 2021. — 540 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Luyben W. L. Distillation Design and Control Using Aspen Simulation. — 2nd ed. — John Wiley &amp; Sons, 2013. — 480 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Skogestad S. Dynamics and control of distillation columns — a critical survey // Modeling, Identification and Control. — 1997. — Vol. 18, No. 3. — P. 177–217.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Морачевский А. Г., Смирнова Н. А., Пиотровская Е. М. Термодинамика равновесия жидкость–пар. — Л.: Химия, 1989. — 344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Рейд Р., Праусниц Дж., Шервуд Т. Свойства газов и жидкостей. — Л.: Химия, 1982. — 592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GPSA Engineering Data Book. — 14th ed. — Tulsa, OK: Gas Processors Suppliers Association, 2017. — Vol. I–II. — Section 19: Fractionation and Absorption.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ГОСТ Р 52087-2018. Газы углеводородные сжиженные топливные. Технические условия. — М.: Стандартинформ, 2018. — 16 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Stichlmair J., Klein H., Rehfeldt S. Distillation: Principles and Practice. — 2nd ed. — Hoboken, NJ: John Wiley &amp; Sons, 2021. — 568 p.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