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240" w:line="427" w:lineRule="auto"/>
        <w:ind w:firstLine="288"/>
      </w:pPr>
      <w:r>
        <w:rPr>
          <w:rFonts w:ascii="Liberation Serif" w:hAnsi="Liberation Serif" w:eastAsia="Liberation Serif" w:cs="Liberation Serif"/>
          <w:color w:val="222222"/>
          <w:sz w:val="24"/>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240" w:line="427" w:lineRule="auto"/>
        <w:ind w:firstLine="288"/>
      </w:pPr>
      <w:r>
        <w:rPr>
          <w:rFonts w:ascii="Liberation Serif" w:hAnsi="Liberation Serif" w:eastAsia="Liberation Serif" w:cs="Liberation Serif"/>
          <w:color w:val="222222"/>
          <w:sz w:val="24"/>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240" w:line="427" w:lineRule="auto"/>
        <w:ind w:firstLine="288"/>
      </w:pPr>
      <w:r>
        <w:rPr>
          <w:rFonts w:ascii="Liberation Serif" w:hAnsi="Liberation Serif" w:eastAsia="Liberation Serif" w:cs="Liberation Serif"/>
          <w:color w:val="222222"/>
          <w:sz w:val="24"/>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240" w:line="427" w:lineRule="auto"/>
        <w:ind w:firstLine="288"/>
      </w:pPr>
      <w:r>
        <w:rPr>
          <w:rFonts w:ascii="Liberation Serif" w:hAnsi="Liberation Serif" w:eastAsia="Liberation Serif" w:cs="Liberation Serif"/>
          <w:color w:val="222222"/>
          <w:sz w:val="24"/>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240" w:line="427" w:lineRule="auto"/>
        <w:ind w:firstLine="288"/>
      </w:pPr>
      <w:r>
        <w:rPr>
          <w:rFonts w:ascii="Liberation Serif" w:hAnsi="Liberation Serif" w:eastAsia="Liberation Serif" w:cs="Liberation Serif"/>
          <w:color w:val="222222"/>
          <w:sz w:val="24"/>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240" w:line="427" w:lineRule="auto"/>
        <w:ind w:firstLine="288"/>
      </w:pPr>
      <w:r>
        <w:rPr>
          <w:rFonts w:ascii="Liberation Serif" w:hAnsi="Liberation Serif" w:eastAsia="Liberation Serif" w:cs="Liberation Serif"/>
          <w:color w:val="222222"/>
          <w:sz w:val="24"/>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240" w:line="427" w:lineRule="auto"/>
        <w:ind w:firstLine="288"/>
      </w:pPr>
      <w:r>
        <w:rPr>
          <w:rFonts w:ascii="Liberation Serif" w:hAnsi="Liberation Serif" w:eastAsia="Liberation Serif" w:cs="Liberation Serif"/>
          <w:color w:val="222222"/>
          <w:sz w:val="24"/>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240" w:line="427" w:lineRule="auto"/>
        <w:ind w:firstLine="288"/>
      </w:pPr>
      <w:r>
        <w:rPr>
          <w:rFonts w:ascii="Liberation Serif" w:hAnsi="Liberation Serif" w:eastAsia="Liberation Serif" w:cs="Liberation Serif"/>
          <w:color w:val="222222"/>
          <w:sz w:val="24"/>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240" w:line="427" w:lineRule="auto"/>
        <w:ind w:firstLine="288"/>
      </w:pPr>
      <w:r>
        <w:rPr>
          <w:rFonts w:ascii="Liberation Serif" w:hAnsi="Liberation Serif" w:eastAsia="Liberation Serif" w:cs="Liberation Serif"/>
          <w:color w:val="222222"/>
          <w:sz w:val="24"/>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240" w:line="427" w:lineRule="auto"/>
        <w:ind w:firstLine="288"/>
      </w:pPr>
      <w:r>
        <w:rPr>
          <w:rFonts w:ascii="Liberation Serif" w:hAnsi="Liberation Serif" w:eastAsia="Liberation Serif" w:cs="Liberation Serif"/>
          <w:color w:val="222222"/>
          <w:sz w:val="24"/>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240" w:line="427" w:lineRule="auto"/>
        <w:ind w:firstLine="288"/>
      </w:pPr>
      <w:r>
        <w:rPr>
          <w:rFonts w:ascii="Liberation Serif" w:hAnsi="Liberation Serif" w:eastAsia="Liberation Serif" w:cs="Liberation Serif"/>
          <w:color w:val="222222"/>
          <w:sz w:val="24"/>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240" w:line="427" w:lineRule="auto"/>
        <w:ind w:firstLine="288"/>
      </w:pPr>
      <w:r>
        <w:rPr>
          <w:rFonts w:ascii="Liberation Serif" w:hAnsi="Liberation Serif" w:eastAsia="Liberation Serif" w:cs="Liberation Serif"/>
          <w:color w:val="222222"/>
          <w:sz w:val="24"/>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240" w:line="427" w:lineRule="auto"/>
        <w:ind w:firstLine="288"/>
      </w:pPr>
      <w:r>
        <w:rPr>
          <w:rFonts w:ascii="Liberation Serif" w:hAnsi="Liberation Serif" w:eastAsia="Liberation Serif" w:cs="Liberation Serif"/>
          <w:color w:val="222222"/>
          <w:sz w:val="24"/>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240" w:line="427" w:lineRule="auto"/>
        <w:ind w:firstLine="288"/>
      </w:pPr>
      <w:r>
        <w:rPr>
          <w:rFonts w:ascii="Liberation Serif" w:hAnsi="Liberation Serif" w:eastAsia="Liberation Serif" w:cs="Liberation Serif"/>
          <w:color w:val="222222"/>
          <w:sz w:val="24"/>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240" w:line="427" w:lineRule="auto"/>
        <w:ind w:firstLine="288"/>
      </w:pPr>
      <w:r>
        <w:rPr>
          <w:rFonts w:ascii="Liberation Serif" w:hAnsi="Liberation Serif" w:eastAsia="Liberation Serif" w:cs="Liberation Serif"/>
          <w:color w:val="222222"/>
          <w:sz w:val="24"/>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4"/>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4"/>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4"/>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4"/>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4"/>
        </w:rPr>
        <w:t>Fired trigger means: Datadog APM as OTLP exporter from the existing collector, no dd-trace-java, no metrics, no logs, 90-day checkpoint, cap custom metrics at zero in the contract. Priya signs the PO. I write a one-page addendum to this memo.</w:t>
      </w:r>
    </w:p>
    <w:p>
      <w:pPr>
        <w:spacing w:before="0" w:after="240" w:line="427" w:lineRule="auto"/>
        <w:ind w:firstLine="288"/>
      </w:pPr>
      <w:r>
        <w:rPr>
          <w:rFonts w:ascii="Liberation Serif" w:hAnsi="Liberation Serif" w:eastAsia="Liberation Serif" w:cs="Liberation Serif"/>
          <w:color w:val="222222"/>
          <w:sz w:val="24"/>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240" w:line="427" w:lineRule="auto"/>
        <w:ind w:firstLine="288"/>
      </w:pPr>
      <w:r>
        <w:rPr>
          <w:rFonts w:ascii="Liberation Serif" w:hAnsi="Liberation Serif" w:eastAsia="Liberation Serif" w:cs="Liberation Serif"/>
          <w:color w:val="222222"/>
          <w:sz w:val="24"/>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240" w:line="427" w:lineRule="auto"/>
        <w:ind w:firstLine="288"/>
      </w:pPr>
      <w:r>
        <w:rPr>
          <w:rFonts w:ascii="Liberation Serif" w:hAnsi="Liberation Serif" w:eastAsia="Liberation Serif" w:cs="Liberation Serif"/>
          <w:color w:val="222222"/>
          <w:sz w:val="24"/>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240" w:line="427" w:lineRule="auto"/>
        <w:ind w:firstLine="288"/>
      </w:pPr>
      <w:r>
        <w:rPr>
          <w:rFonts w:ascii="Liberation Serif" w:hAnsi="Liberation Serif" w:eastAsia="Liberation Serif" w:cs="Liberation Serif"/>
          <w:color w:val="222222"/>
          <w:sz w:val="24"/>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240" w:line="427" w:lineRule="auto"/>
        <w:ind w:firstLine="288"/>
      </w:pPr>
      <w:r>
        <w:rPr>
          <w:rFonts w:ascii="Liberation Serif" w:hAnsi="Liberation Serif" w:eastAsia="Liberation Serif" w:cs="Liberation Serif"/>
          <w:color w:val="222222"/>
          <w:sz w:val="24"/>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4"/>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4"/>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4"/>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4"/>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4"/>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4"/>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240" w:line="427" w:lineRule="auto"/>
        <w:ind w:firstLine="288"/>
      </w:pPr>
      <w:r>
        <w:rPr>
          <w:rFonts w:ascii="Liberation Serif" w:hAnsi="Liberation Serif" w:eastAsia="Liberation Serif" w:cs="Liberation Serif"/>
          <w:color w:val="222222"/>
          <w:sz w:val="24"/>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240" w:line="427" w:lineRule="auto"/>
        <w:ind w:firstLine="288"/>
      </w:pPr>
      <w:r>
        <w:rPr>
          <w:rFonts w:ascii="Liberation Serif" w:hAnsi="Liberation Serif" w:eastAsia="Liberation Serif" w:cs="Liberation Serif"/>
          <w:color w:val="222222"/>
          <w:sz w:val="24"/>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240" w:line="427" w:lineRule="auto"/>
        <w:ind w:firstLine="288"/>
      </w:pPr>
      <w:r>
        <w:rPr>
          <w:rFonts w:ascii="Liberation Serif" w:hAnsi="Liberation Serif" w:eastAsia="Liberation Serif" w:cs="Liberation Serif"/>
          <w:color w:val="222222"/>
          <w:sz w:val="24"/>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240" w:line="427" w:lineRule="auto"/>
        <w:ind w:firstLine="288"/>
      </w:pPr>
      <w:r>
        <w:rPr>
          <w:rFonts w:ascii="Liberation Serif" w:hAnsi="Liberation Serif" w:eastAsia="Liberation Serif" w:cs="Liberation Serif"/>
          <w:color w:val="222222"/>
          <w:sz w:val="24"/>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240" w:line="427" w:lineRule="auto"/>
        <w:ind w:firstLine="288"/>
      </w:pPr>
      <w:r>
        <w:rPr>
          <w:rFonts w:ascii="Liberation Serif" w:hAnsi="Liberation Serif" w:eastAsia="Liberation Serif" w:cs="Liberation Serif"/>
          <w:color w:val="222222"/>
          <w:sz w:val="24"/>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240" w:line="427" w:lineRule="auto"/>
        <w:ind w:firstLine="288"/>
      </w:pPr>
      <w:r>
        <w:rPr>
          <w:rFonts w:ascii="Liberation Serif" w:hAnsi="Liberation Serif" w:eastAsia="Liberation Serif" w:cs="Liberation Serif"/>
          <w:color w:val="222222"/>
          <w:sz w:val="24"/>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p>
      <w:pPr>
        <w:pStyle w:val="Heading1"/>
      </w:pPr>
      <w:r>
        <w:t>If we do nothing, and if we do this (CLH-MEM-2024-009)</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Stay on Grafana for metrics. Do not buy Datadog as a platform.,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Rahul Deshmukh.</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14. Year-1 extra cash about $3.9k on top of what we already burn. Ops pages: 9 a month if we stay, 2 if we switch. I want Diego Alvarez to pick a path in writing on CLH-TDD-2024-006.</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17% of month-end windows, using the same clock as the front of the memo. Engineering days 16. Year-1 extra cash about $6.6k on top of what we already burn. Ops pages: 7 a month if we stay, 3 if we switch. I want Diego Alvarez to pick a path in writing on CLH-TDD-2024-006.</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13. Year-1 extra cash about $9.0k on top of what we already burn. Ops pages: 7 a month if we stay, 4 if we switch. I want Diego Alvarez to pick a path in writing on CLH-TDD-2024-006.</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$9.6k on top of what we already burn. Ops pages: 1 a month if we stay, 1 if we switch. I want Diego Alvarez to pick a path in writing on CLH-TDD-2024-006.</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grafana.clh.prod.northstar.internal and in CLH-INC-2023-061.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Rahul Deshmukh. Evidence lives on grafana.clh.prod.northstar.internal and in CLH-7310.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Helen Cho. Evidence lives on grafana.clh.prod.northstar.internal and in CLH-INC-2023-204.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grafana.clh.prod.northstar.internal and in CLH-MEM-2023-004.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CLH-TDD-2024-006: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grafana.clh.prod.northstar.internal. I will not average QPS to hide a close spike. Aman Kumar will bring the dry-run count, not a slide with a hockey stick.</w:t>
      </w:r>
    </w:p>
    <w:p>
      <w:pPr>
        <w:pStyle w:val="Heading1"/>
      </w:pPr>
      <w:r>
        <w:t>Working remainder for CLH-MEM-2024-009</w:t>
      </w:r>
    </w:p>
    <w:p>
      <w:pPr>
        <w:spacing w:before="0" w:after="240" w:line="427" w:lineRule="auto"/>
        <w:ind w:firstLine="288"/>
      </w:pPr>
      <w:r>
        <w:rPr>
          <w:rFonts w:ascii="Liberation Serif" w:hAnsi="Liberation Serif" w:eastAsia="Liberation Serif" w:cs="Liberation Serif"/>
          <w:color w:val="222222"/>
          <w:sz w:val="24"/>
        </w:rPr>
        <w:t>The front of Stay on Grafana for metrics. Do not buy Datadog as a platform. is the document. This remainder is the leftover a colleague still trips on: named people, named boxes, named tickets, and the work I still owe after April 9, 2024.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grafana.clh.prod.northstar.internal looks easy to bump, stop and write the count on CLH-TDD-2024-006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CLH-MEM-2024-009 already killed a path. I will not kill it again in a wiki comment. Ticket CLH-TDD-2024-006 is the record. Diego Alvarez owns the next sentence if they want it undone. Aman Kumar is the writer, not the backup owner. Elapsed I would still defend: 28 minutes on grafana.clh.prod.northstar.internal, sample 6324, using the same clock as the number 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CLH-TDD-2024-006 before asking for more people. If legal or the control owner asks why we still refuse identifiers in chat, logs, or a support zip, the answer is this paragraph plus the decision callout in the front, not a Slack thread from April 9,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grafana.clh.prod.northstar.internal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grafana.clh.prod.northstar.internal,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CLH-MEM-2024-009 already made the call. This leftover is execution. Diego Alvarez owns CLH-TDD-2024-006. grafana.clh.prod.northstar.internal is the box I would open first. The number I would put on the table is 19, and if that is stale I would say so instead of performing precision. I would ask whether we are still inside the freeze and whether Diego Alvarez can hit April 15, 2024.</w:t>
      </w:r>
    </w:p>
    <w:p>
      <w:pPr>
        <w:spacing w:before="0" w:after="240" w:line="427" w:lineRule="auto"/>
        <w:ind w:firstLine="288"/>
      </w:pPr>
      <w:r>
        <w:rPr>
          <w:rFonts w:ascii="Liberation Serif" w:hAnsi="Liberation Serif" w:eastAsia="Liberation Serif" w:cs="Liberation Serif"/>
          <w:color w:val="222222"/>
          <w:sz w:val="24"/>
        </w:rPr>
        <w:t>Rahul Deshmukh asked whether we could 'just' keep a side path for identifiers in chat, logs, or a support zip until the window ends. No. Side paths are how the last exception file grew. If we need a carve-out, it expires, it lives on CLH-TDD-2024-006, and rollback is delete-and-restart on grafana.clh.prod.northstar.internal,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CLH-TDD-2024-006 and this file are the record. If Diego Alvarez needs a diagram, they get a permalink, not a photo of a whiteboard. grafana.clh.prod.northstar.internal stays out of the diagram title. If a new engineer asks where the leftover lives, I point here. I do not point at a Slack pin from April 9, 2024. Client Clearhaven.</w:t>
      </w:r>
    </w:p>
    <w:p>
      <w:pPr>
        <w:pStyle w:val="Heading2"/>
      </w:pPr>
      <w:r>
        <w:t>Numbers I will still quote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These are working numbers for what a written no from the EM looks like, not a new model. If they disagree with the front of Stay on Grafana for metrics. Do not buy Datadog as a platform., the front wins. I measured on grafana.clh.prod.northstar.internal. Ticket CLH-INC-2023-061. Owner for the next measurement is Rahul Deshmukh. Sample window was 79 minutes. Rows in the sample: 15898. Front-matter figure I am not relitigating: 19.</w:t>
      </w:r>
    </w:p>
    <w:p>
      <w:pPr>
        <w:spacing w:before="80" w:after="60" w:line="200" w:lineRule="auto"/>
      </w:pPr>
      <w:r>
        <w:rPr>
          <w:rFonts w:ascii="Liberation Sans" w:hAnsi="Liberation Sans" w:eastAsia="Liberation Sans" w:cs="Liberation Sans"/>
          <w:i/>
          <w:color w:val="555555"/>
          <w:sz w:val="17"/>
        </w:rPr>
        <w:t>Working measurements for CLH-MEM-2024-009, what a written no from the EM looks like.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grafana.clh.prod.northstar.internal.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Rahul Deshmukh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what a written no from the EM looks like: the canary plus two neighbors. That is the difference between a DLQ and a desk thread. I want the gate in CI or in the runbook, not in my memory. Related leftover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what a written no from the EM looks like is the spend on grafana.clh.prod.northstar.internal and this job. I will not average it into a team number. If finance asks why we skipped the cheaper look, the answer is the page and the miss rate, not a deck. Rahul Deshmukh can disagree on CLH-INC-2023-061. Sample I still like: 4583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14.6. I will not mix clocks to make what a written no from the EM looks like look healthier. Rahul Deshmukh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grafana.clh.prod.northstar.internal. It includes the window, the user-visible effect, and whether we are done. Helen Cho drafts. I review. Ticket CLH-7310.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grafana.clh.prod.northstar.internal,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grafana.clh.prod.northstar.internal, counts, CLH-7310.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CLH-7310 so we do not invent tone at 01:10. If the incident is still open, the draft says 'still open' and a next update time we can actually hit, usually 87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Helen Cho asks today: we are inside the window already named, the user-visible effect is the one in the front, and we are not done until Helen Cho closes CLH-7310. I will not add grafana.clh.prod.northstar.internal to that sentence. I will not promise April 17,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secret skew that looks like 'no work', I answer from the comms leftover. I do not paste grafana.clh.prod.northstar.internal. I do not paste a stack trace. I do not promise April 17, 2024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grafana.clh.prod.northstar.internal, CLH-INC-2023-204, and the last three working pages of CLH-MEM-2024-009. I will not leave a Slack screenshot as the record. Aman Kumar is owner until they accept in writing. Date I want that written: April 21,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Rahul Deshmukh is the named backup, not 'the team.' I will write that on CLH-INC-2023-204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grafana.clh.prod.northstar.internal after April 18, 2024, the handoff failed. Aman Kumar accepts in writing on CLH-INC-2023-204 or we keep paging me, which is the same as not handing off. Buy Datadog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April 18, 2024. If we miss it, the grant dies, the work waits. Aman Kumar can renew on CLH-INC-2023-204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grafana.clh.prod.northstar.internal. Stop after the first unexpected line. Buy Datadog is the wake-up, not a group chat. Ticket CLH-MEM-2023-004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CLH-MEM-2023-004. grafana.clh.prod.northstar.internal.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CLH-MEM-2023-004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grafana.clh.prod.northstar.internal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Buy Datadog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Buy Datadog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grafana.clh.prod.northstar.internal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grafana.clh.prod.northstar.internal for replica lag after a count that looked fine is still a read. Second is the last error line. Third is whether the front-matter rule is still true. I will not restart to silence a page. Restart is a listed step. Buy Datadog gets the one-line diagnosis before a write. Ticket CLH-MEM-2023-004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Buy Datadog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grafana.clh.prod.northstar.internal in CLH-MEM-2023-004 before anyone says they 'restarted just in case.' Restart without a tell is how we lost time last incident. Buy Datadog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Datadog Logs still owes a close, not a status. Due April 26, 2024. The question is whether grafana.clh.prod.northstar.internal stays in the path for raising retries on a poison record. If yes, the main body already says how. If no, Datadog Logs writes the cut on CLH-TDD-2024-006.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Datadog Logs</w:t>
      </w:r>
    </w:p>
    <w:p>
      <w:pPr>
        <w:pStyle w:val="ListBullet"/>
        <w:spacing w:before="20" w:after="60" w:line="260" w:lineRule="auto"/>
      </w:pPr>
      <w:r>
        <w:rPr>
          <w:rFonts w:ascii="Liberation Serif" w:hAnsi="Liberation Serif" w:eastAsia="Liberation Serif" w:cs="Liberation Serif"/>
          <w:color w:val="222222"/>
          <w:sz w:val="24"/>
        </w:rPr>
        <w:t>Ticket: CLH-TDD-2024-006</w:t>
      </w:r>
    </w:p>
    <w:p>
      <w:pPr>
        <w:pStyle w:val="ListBullet"/>
        <w:spacing w:before="20" w:after="60" w:line="260" w:lineRule="auto"/>
      </w:pPr>
      <w:r>
        <w:rPr>
          <w:rFonts w:ascii="Liberation Serif" w:hAnsi="Liberation Serif" w:eastAsia="Liberation Serif" w:cs="Liberation Serif"/>
          <w:color w:val="222222"/>
          <w:sz w:val="24"/>
        </w:rPr>
        <w:t>Host in play: grafana.clh.prod.northstar.internal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Stay on Grafana for metrics. Do not buy Datadog as a platform.. It is leftover work. If Datadog Logs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CLH-TDD-2024-006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CLH-TDD-2024-006 by April 20, 2024. Datadog Logs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grafana.clh.prod.northstar.internal does not get a special thaw because someone booked a demo. Number I will cite: 2.0.</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CLH-TDD-2024-006 as a subtask so it looks small.</w:t>
      </w:r>
    </w:p>
    <w:p>
      <w:pPr>
        <w:pStyle w:val="Heading2"/>
      </w:pPr>
      <w:r>
        <w:t>Failure we already paid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grafana.clh.prod.northstar.internal. CLH-INC-2023-061 is the record. staging that is too small to catch the bug is how it will show up again if we get sloppy. The fix is to make the failure loud and stop the write path before it creates 2039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Datadog Metrics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Stay on Grafana for metrics. Do not buy Datadog as a platform. as therapy. What we will do if the date slips: Datadog Metrics says so on CLH-TDD-2024-006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staging that is too small to catch the bug bit us, the tell showed up on grafana.clh.prod.northstar.internal and we argued about CPU. CPU was late. Queue was the tell. I want the next page to name queue. Datadog Metrics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Our Grafana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staging that is too small to catch the bug names the tell in plain words. Datadog Metrics writes it. I will not accept 'check the dashboard' as a page body. If uniqueness is red and freshness is green, the page says that. If rows are zero and the job is green, the page says that. grafana.clh.prod.northstar.internal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grafana.clh.prod.northstar.internal. Order is expand, backfill, contract. I will not drop a column in the same release as a code deploy that still reads it. Owner Our Grafana. Ticket CLH-7310. Dual-write window is measured in hours, not left open. If the backfill is still running at a freeze, I stop the freeze, not the backfill, unless legal says otherwise. I write the stop condition on CLH-7310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grafana.clh.prod.northstar.internal for longer than the 6s budget last time. Historical load never runs on the OLTP primary. Cost the job, then run it. Number from the front I am using as the size hint: 9.8.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CLH-7310.</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Our Grafana signs the count on CLH-7310.</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grafana.clh.prod.northstar.internal is not the place to drop a column the same day readers still need it. Our Grafana signs the count on CLH-7310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CLH-7310. Our Grafana writes the stop condition first. Batch size I would start at 12k.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Datadog Synthetics, Diego Alvarez, and whoever owns grafana.clh.prod.northstar.internal. One question was on the table: can we ship without dealing with a cleanup PR that renames a field. Answer was no. I repeated the number 90 because two people in the room had stale graphs. Action: Datadog Synthetics files the follow-up on CLH-INC-2023-204 before April 21,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CLH-INC-2023-204. I parked it. A calendar invite is not a decision. If someone wants this recorded as a decision, they write it here or they change the callout in the front of CLH-MEM-2024-009.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CLH-INC-2023-204.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Datadog Synthetics, ticket CLH-INC-2023-204. Not a reconstruction of tone. What Grafana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What Grafana is on that list if they were missing. Decision, refuse, date, owner, ticket CLH-INC-2023-204.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grafana.clh.prod.northstar.internal. Assert the smallest row that still fails without the fix. I will not copy a sanitized production dump; it is too big and it hid the bug twice. Owner What Grafana.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grafana.clh.prod.northstar.internal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What Grafana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2024.</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CLH-MEM-2023-004, CI fails. What Grafana owns the fixture. Soak host if we must: grafana.clh.prod.northstar.internal.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grafana.clh.prod.northstar.internal, that is a soak, and it is ticketed. It is not a reason to skip CI. Skip reason is a ticket. Flake reason is a capture. What Grafana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grafana.clh.prod.northstar.internal is the box I keep measuring because it is the one that pages. a vendor overlay we already rejected is the reason the graph lies if you only watch CPU. Queue depth and disk are the two numbers I write down. Owner The Datadog. Ticket CLH-TDD-2024-006.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grafana.clh.prod.northstar.internal and this job, not a team average. Year-1 extra I would put on a sticky: about $8.8k on top of what we already burn, or zero if we do nothing and eat the miss rate. Front-matter volume I am using: 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The Datadog picks in writing on CLH-TDD-2024-006.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grafana.clh.prod.northstar.internal pages because of a vendor overlay we already rejected more than because of CPU. I write queue and disk. Headroom I want on a Tuesday is about 31 percent. Below that I file for hardware or I shed load, not both. The Datadog picks on CLH-TDD-2024-006.</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grafana.clh.prod.northstar.internal first. Then a ticket. Then a buy if The Datadog still needs it. Headroom I want on a Tuesday is about 30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grafana.clh.prod.northstar.internal: not in git, not in the ticket description, not in a screenshot. owner as a team name instead of a person is not a reason to paste a token into chat. Owner The Grafana. Ticket CLH-INC-2023-061.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grafana.clh.prod.northstar.internal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grafana.clh.prod.northstar.internal is the tell that the secret is wrong. Alert on that. The Grafana owns the grant. CLH-INC-2023-061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CLH-INC-2023-061.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grafana.clh.prod.northstar.internal is the box. CLH-7310 is the thread. Our Prometheus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CLH-MEM-2024-009.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grafana.clh.prod.northstar.internal; ticket CLH-7310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Prometheus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grafana.clh.prod.northstar.internal jumped, window math is garbage. I want that checked before I argue about 19.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grafana.clh.prod.northstar.internal NTP gets checked before I argue about 19. Our Prometheus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grafana.clh.prod.northstar.internal.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grafana.clh.prod.northstar.internal is wrong, I will not debate 19. Fix the clock, then measure. Our Prometheus owns that check. Window math is garbage if the clock jumped. I will not reconstruct a minute novel to hide that.</w:t>
      </w:r>
    </w:p>
    <w:p>
      <w:pPr>
        <w:pStyle w:val="Heading2"/>
      </w:pPr>
      <w:r>
        <w:t>What would make me reopen CLH-MEM-2024-009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CLH-MEM-2024-009 still stands. averaging QPS instead of testing the close does not reopen it. Priya Nair owns CLH-INC-2023-204. grafana.clh.prod.northstar.internal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grafana.clh.prod.northstar.internal says the cutover is lying, if a freeze and a migrate disagree, or if Priya Nair puts a new date on CLH-INC-2023-204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688 rows, 18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averaging QPS instead of testing the close is done as a heading when Priya Nair closes CLH-INC-2023-204 or writes a new date.</w:t>
      </w:r>
    </w:p>
    <w:p>
      <w:pPr>
        <w:spacing w:before="0" w:after="240" w:line="427" w:lineRule="auto"/>
        <w:ind w:firstLine="288"/>
      </w:pPr>
      <w:r>
        <w:rPr>
          <w:rFonts w:ascii="Liberation Serif" w:hAnsi="Liberation Serif" w:eastAsia="Liberation Serif" w:cs="Liberation Serif"/>
          <w:color w:val="222222"/>
          <w:sz w:val="24"/>
        </w:rPr>
        <w:t>I reopen CLH-MEM-2024-009 for averaging QPS instead of testing the close only if the measurement on grafana.clh.prod.northstar.internal says the cutover is lying, a freeze and a migrate disagree, or Priya Nair puts a new date on CLH-INC-2023-204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CLH-MEM-2023-004 instead of asking me to re-explain cost of doing nothing through next month-end on grafana.clh.prod.northstar.internal.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grafana.clh.prod.northstar.internal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Diego Alvarez.</w:t>
      </w:r>
    </w:p>
    <w:p>
      <w:pPr>
        <w:pStyle w:val="ListBullet"/>
        <w:spacing w:before="20" w:after="60" w:line="260" w:lineRule="auto"/>
      </w:pPr>
      <w:r>
        <w:rPr>
          <w:rFonts w:ascii="Liberation Serif" w:hAnsi="Liberation Serif" w:eastAsia="Liberation Serif" w:cs="Liberation Serif"/>
          <w:color w:val="222222"/>
          <w:sz w:val="24"/>
        </w:rPr>
        <w:t>What number do I cite? 9.8,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CLH-MEM-2024-009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cost of doing nothing through next month-end, with the short answers: Is v1 smaller than people want? Yes. Is that a bug? No. Can we add it in the same release? Only if Diego Alvarez signs a new slice. Can grafana.clh.prod.northstar.internal be a special case? No. Owner on the FAQ is Diego Alvarez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cost of doing nothing through next month-end from this file until CLH-MEM-2023-004 closes. I will not fork a FAQ. Two truths is how we shipped the last wrong field name. If the answer changes, the front of CLH-MEM-2024-009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grafana.clh.prod.northstar.internal. A small apply is still an apply. SEV1 is the SOP definition. Rahul Deshmukh can argue SEV1 on CLH-TDD-2024-006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CLH-TDD-2024-006.</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grafana.clh.prod.northstar.internal.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grafana.clh.prod.northstar.internal does not get a courtesy thaw. SEV1 is the definition in the SOP, not a feeling. Rahul Deshmukh can argue SEV1 on CLH-TDD-2024-006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30,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grafana.clh.prod.northstar.internal is a change. Rahul Deshmukh can wait or they can argue SEV1 with a count on CLH-TDD-2024-006.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grafana.clh.prod.northstar.internal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CLH-INC-2023-061.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CLH-INC-2023-061 the same day, not a hope that someone is watching grafana.clh.prod.northstar.internal.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Helen Cho, accountable Diego Alvarez, consulted Aman Kumar, informed Helen Cho.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Helen Cho fixes the row on CLH-INC-2023-061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grafana.clh.prod.northstar.internal, we abort. Aman Kumar pastes the output on CLH-7310.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dry-run / weekend coverage that is not in the SLA</w:t>
            </w:r>
          </w:p>
          <w:p>
            <w:pPr>
              <w:spacing w:before="0" w:after="0" w:line="220" w:lineRule="auto"/>
            </w:pPr>
            <w:r>
              <w:rPr>
                <w:rFonts w:ascii="Liberation Mono" w:hAnsi="Liberation Mono" w:eastAsia="Liberation Mono" w:cs="Liberation Mono"/>
                <w:color w:val="222222"/>
                <w:sz w:val="17"/>
              </w:rPr>
              <w:t># run on grafana.clh.prod.northstar.internal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CLH-7310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 by more than we can explain in one sentence, we do not 'split the difference.' We stop and Aman Kumar writes the discrepancy on CLH-7310.</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grafana.clh.prod.northstar.internal, we abort. Aman Kumar keeps the output on CLH-7310.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Buy Datadog does not get to redefine uniqueness to hit May 2,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CLH-7310, then maybe write. Aman Kumar does not get to invert that order because May 2, 2024 is close. If the count disagrees with 2.0 and we cannot explain it in one sentence, we stop. We do not split the difference.</w:t>
      </w:r>
    </w:p>
    <w:p>
      <w:pPr>
        <w:pStyle w:val="Heading1"/>
      </w:pPr>
      <w:r>
        <w:t>Named leftovers still on CLH-MEM-2024-009</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CLH-TDD-2024-006 still sits with Diego Alvarez. Host grafana.clh.prod.northstar.internal. Due April 20, 2024 unless they write a new date. Close is a decision, a refuse, or that date. I will not accept a status dump. Front-matter number I am not re-arguing: 19. If this leftover is done, Diego Alvarez marks CLH-TDD-2024-006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Rahul Deshmukh a usable remainder on CLH-INC-2023-061, not a transcript. The leftover on grafana.clh.prod.northstar.internal is whether we keep the path the front already named. Due April 22, 2024. If they need a user-visible line, it goes through the comms leftover, not this sentence. Number in play: 14.6.</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April 24, 2024, revoke it. Helen Cho either has the grant or the work is not theirs yet. Ticket CLH-7310.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CLH-INC-2023-204 is done. Aman Kumar pastes it. If it disagrees with 2024 and we cannot explain that in one sentence, we are not done. Due April 26, 2024.</w:t>
      </w:r>
    </w:p>
    <w:p>
      <w:pPr>
        <w:spacing w:before="0" w:after="240" w:line="427" w:lineRule="auto"/>
        <w:ind w:firstLine="288"/>
      </w:pPr>
      <w:r>
        <w:rPr>
          <w:rFonts w:ascii="Liberation Serif" w:hAnsi="Liberation Serif" w:eastAsia="Liberation Serif" w:cs="Liberation Serif"/>
          <w:color w:val="222222"/>
          <w:sz w:val="24"/>
        </w:rPr>
        <w:t>Comms leftover for CLH-MEM-2023-004: no hostname, no payload. Buy Datadog drafts, I review. If we are not done by April 28, 2024, the outbound line says we are not done and names the next update we can hit. Clearhaven does not get grafana.clh.prod.northstar.internal.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CLH-TDD-2024-006 still has to fail if someone cleans the fixture. Datadog Logs owns that fixture. Host if we soak: grafana.clh.prod.northstar.internal. Due April 30,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 2024 versus the freeze already in the front. If they collide, Datadog Metrics moves CLH-INC-2023-061, not the freeze. grafana.clh.prod.northstar.internal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CLH-7310 is not a twin of CLH-INC-2023-204. Keep one thread. Our Grafana on grafana.clh.prod.northstar.internal. If this paragraph fights the front of CLH-MEM-2024-009, strike it. Due May 4, 2024. Client Clearhaven.</w:t>
      </w:r>
    </w:p>
    <w:p>
      <w:pPr>
        <w:spacing w:before="0" w:after="240" w:line="427" w:lineRule="auto"/>
        <w:ind w:firstLine="288"/>
      </w:pPr>
      <w:r>
        <w:rPr>
          <w:rFonts w:ascii="Liberation Serif" w:hAnsi="Liberation Serif" w:eastAsia="Liberation Serif" w:cs="Liberation Serif"/>
          <w:color w:val="222222"/>
          <w:sz w:val="24"/>
        </w:rPr>
        <w:t>CLH-INC-2023-204 still sits with Datadog Synthetics. Host grafana.clh.prod.northstar.internal. Due May 6, 2024 unless they write a new date. Close is a decision, a refuse, or that date. I will not accept a status dump. Front-matter number I am not re-arguing: 90. If this leftover is done, Datadog Synthetics marks CLH-INC-2023-204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What Grafana a usable remainder on CLH-MEM-2023-004, not a transcript. The leftover on grafana.clh.prod.northstar.internal is whether we keep the path the front already named. Due May 8, 2024.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May 10, 2024, revoke it. The Datadog either has the grant or the work is not theirs yet. Ticket CLH-TDD-2024-006.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CLH-INC-2023-061 is done. The Grafana pastes it. If it disagrees with 4.8 and we cannot explain that in one sentence, we are not done. Due May 12,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