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240" w:line="427" w:lineRule="auto"/>
        <w:ind w:firstLine="288"/>
      </w:pPr>
      <w:r>
        <w:rPr>
          <w:rFonts w:ascii="Liberation Serif" w:hAnsi="Liberation Serif" w:eastAsia="Liberation Serif" w:cs="Liberation Serif"/>
          <w:color w:val="222222"/>
          <w:sz w:val="24"/>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240" w:line="427" w:lineRule="auto"/>
        <w:ind w:firstLine="288"/>
      </w:pPr>
      <w:r>
        <w:rPr>
          <w:rFonts w:ascii="Liberation Serif" w:hAnsi="Liberation Serif" w:eastAsia="Liberation Serif" w:cs="Liberation Serif"/>
          <w:color w:val="222222"/>
          <w:sz w:val="24"/>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240" w:line="427" w:lineRule="auto"/>
        <w:ind w:firstLine="288"/>
      </w:pPr>
      <w:r>
        <w:rPr>
          <w:rFonts w:ascii="Liberation Serif" w:hAnsi="Liberation Serif" w:eastAsia="Liberation Serif" w:cs="Liberation Serif"/>
          <w:color w:val="222222"/>
          <w:sz w:val="24"/>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240" w:line="427" w:lineRule="auto"/>
        <w:ind w:firstLine="288"/>
      </w:pPr>
      <w:r>
        <w:rPr>
          <w:rFonts w:ascii="Liberation Serif" w:hAnsi="Liberation Serif" w:eastAsia="Liberation Serif" w:cs="Liberation Serif"/>
          <w:color w:val="222222"/>
          <w:sz w:val="24"/>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240" w:line="427" w:lineRule="auto"/>
        <w:ind w:firstLine="288"/>
      </w:pPr>
      <w:r>
        <w:rPr>
          <w:rFonts w:ascii="Liberation Serif" w:hAnsi="Liberation Serif" w:eastAsia="Liberation Serif" w:cs="Liberation Serif"/>
          <w:color w:val="222222"/>
          <w:sz w:val="24"/>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240" w:line="427" w:lineRule="auto"/>
        <w:ind w:firstLine="288"/>
      </w:pPr>
      <w:r>
        <w:rPr>
          <w:rFonts w:ascii="Liberation Serif" w:hAnsi="Liberation Serif" w:eastAsia="Liberation Serif" w:cs="Liberation Serif"/>
          <w:color w:val="222222"/>
          <w:sz w:val="24"/>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240" w:line="427" w:lineRule="auto"/>
        <w:ind w:firstLine="288"/>
      </w:pPr>
      <w:r>
        <w:rPr>
          <w:rFonts w:ascii="Liberation Serif" w:hAnsi="Liberation Serif" w:eastAsia="Liberation Serif" w:cs="Liberation Serif"/>
          <w:color w:val="222222"/>
          <w:sz w:val="24"/>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240" w:line="427" w:lineRule="auto"/>
        <w:ind w:firstLine="288"/>
      </w:pPr>
      <w:r>
        <w:rPr>
          <w:rFonts w:ascii="Liberation Serif" w:hAnsi="Liberation Serif" w:eastAsia="Liberation Serif" w:cs="Liberation Serif"/>
          <w:color w:val="222222"/>
          <w:sz w:val="24"/>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240" w:line="427" w:lineRule="auto"/>
        <w:ind w:firstLine="288"/>
      </w:pPr>
      <w:r>
        <w:rPr>
          <w:rFonts w:ascii="Liberation Serif" w:hAnsi="Liberation Serif" w:eastAsia="Liberation Serif" w:cs="Liberation Serif"/>
          <w:color w:val="222222"/>
          <w:sz w:val="24"/>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240" w:line="427" w:lineRule="auto"/>
        <w:ind w:firstLine="288"/>
      </w:pPr>
      <w:r>
        <w:rPr>
          <w:rFonts w:ascii="Liberation Serif" w:hAnsi="Liberation Serif" w:eastAsia="Liberation Serif" w:cs="Liberation Serif"/>
          <w:color w:val="222222"/>
          <w:sz w:val="24"/>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240" w:line="427" w:lineRule="auto"/>
        <w:ind w:firstLine="288"/>
      </w:pPr>
      <w:r>
        <w:rPr>
          <w:rFonts w:ascii="Liberation Serif" w:hAnsi="Liberation Serif" w:eastAsia="Liberation Serif" w:cs="Liberation Serif"/>
          <w:color w:val="222222"/>
          <w:sz w:val="24"/>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240" w:line="427" w:lineRule="auto"/>
        <w:ind w:firstLine="288"/>
      </w:pPr>
      <w:r>
        <w:rPr>
          <w:rFonts w:ascii="Liberation Serif" w:hAnsi="Liberation Serif" w:eastAsia="Liberation Serif" w:cs="Liberation Serif"/>
          <w:color w:val="222222"/>
          <w:sz w:val="24"/>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992"/>
        <w:gridCol w:w="992"/>
        <w:gridCol w:w="992"/>
        <w:gridCol w:w="992"/>
        <w:gridCol w:w="992"/>
        <w:gridCol w:w="992"/>
        <w:gridCol w:w="992"/>
        <w:gridCol w:w="992"/>
        <w:gridCol w:w="992"/>
      </w:tblGrid>
      <w:tr>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116"/>
        <w:gridCol w:w="1116"/>
        <w:gridCol w:w="1116"/>
        <w:gridCol w:w="1116"/>
        <w:gridCol w:w="1116"/>
        <w:gridCol w:w="1116"/>
        <w:gridCol w:w="1116"/>
        <w:gridCol w:w="1116"/>
      </w:tblGrid>
      <w:tr>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240" w:line="427" w:lineRule="auto"/>
        <w:ind w:firstLine="288"/>
      </w:pPr>
      <w:r>
        <w:rPr>
          <w:rFonts w:ascii="Liberation Serif" w:hAnsi="Liberation Serif" w:eastAsia="Liberation Serif" w:cs="Liberation Serif"/>
          <w:color w:val="222222"/>
          <w:sz w:val="24"/>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240" w:line="427" w:lineRule="auto"/>
        <w:ind w:firstLine="288"/>
      </w:pPr>
      <w:r>
        <w:rPr>
          <w:rFonts w:ascii="Liberation Serif" w:hAnsi="Liberation Serif" w:eastAsia="Liberation Serif" w:cs="Liberation Serif"/>
          <w:color w:val="222222"/>
          <w:sz w:val="24"/>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240" w:line="427" w:lineRule="auto"/>
        <w:ind w:firstLine="288"/>
      </w:pPr>
      <w:r>
        <w:rPr>
          <w:rFonts w:ascii="Liberation Serif" w:hAnsi="Liberation Serif" w:eastAsia="Liberation Serif" w:cs="Liberation Serif"/>
          <w:color w:val="222222"/>
          <w:sz w:val="24"/>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4"/>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4"/>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4"/>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4"/>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4"/>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4"/>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240" w:line="427" w:lineRule="auto"/>
        <w:ind w:firstLine="288"/>
      </w:pPr>
      <w:r>
        <w:rPr>
          <w:rFonts w:ascii="Liberation Serif" w:hAnsi="Liberation Serif" w:eastAsia="Liberation Serif" w:cs="Liberation Serif"/>
          <w:color w:val="222222"/>
          <w:sz w:val="24"/>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240" w:line="427" w:lineRule="auto"/>
        <w:ind w:firstLine="288"/>
      </w:pPr>
      <w:r>
        <w:rPr>
          <w:rFonts w:ascii="Liberation Serif" w:hAnsi="Liberation Serif" w:eastAsia="Liberation Serif" w:cs="Liberation Serif"/>
          <w:color w:val="222222"/>
          <w:sz w:val="24"/>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240" w:line="427" w:lineRule="auto"/>
        <w:ind w:firstLine="288"/>
      </w:pPr>
      <w:r>
        <w:rPr>
          <w:rFonts w:ascii="Liberation Serif" w:hAnsi="Liberation Serif" w:eastAsia="Liberation Serif" w:cs="Liberation Serif"/>
          <w:color w:val="222222"/>
          <w:sz w:val="24"/>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240" w:line="427" w:lineRule="auto"/>
        <w:ind w:firstLine="288"/>
      </w:pPr>
      <w:r>
        <w:rPr>
          <w:rFonts w:ascii="Liberation Serif" w:hAnsi="Liberation Serif" w:eastAsia="Liberation Serif" w:cs="Liberation Serif"/>
          <w:color w:val="222222"/>
          <w:sz w:val="24"/>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240" w:line="427" w:lineRule="auto"/>
        <w:ind w:firstLine="288"/>
      </w:pPr>
      <w:r>
        <w:rPr>
          <w:rFonts w:ascii="Liberation Serif" w:hAnsi="Liberation Serif" w:eastAsia="Liberation Serif" w:cs="Liberation Serif"/>
          <w:color w:val="222222"/>
          <w:sz w:val="24"/>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240" w:line="427" w:lineRule="auto"/>
        <w:ind w:firstLine="288"/>
      </w:pPr>
      <w:r>
        <w:rPr>
          <w:rFonts w:ascii="Liberation Serif" w:hAnsi="Liberation Serif" w:eastAsia="Liberation Serif" w:cs="Liberation Serif"/>
          <w:color w:val="222222"/>
          <w:sz w:val="24"/>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240" w:line="427" w:lineRule="auto"/>
        <w:ind w:firstLine="288"/>
      </w:pPr>
      <w:r>
        <w:rPr>
          <w:rFonts w:ascii="Liberation Serif" w:hAnsi="Liberation Serif" w:eastAsia="Liberation Serif" w:cs="Liberation Serif"/>
          <w:color w:val="222222"/>
          <w:sz w:val="24"/>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240" w:line="427" w:lineRule="auto"/>
        <w:ind w:firstLine="288"/>
      </w:pPr>
      <w:r>
        <w:rPr>
          <w:rFonts w:ascii="Liberation Serif" w:hAnsi="Liberation Serif" w:eastAsia="Liberation Serif" w:cs="Liberation Serif"/>
          <w:color w:val="222222"/>
          <w:sz w:val="24"/>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240" w:line="427" w:lineRule="auto"/>
        <w:ind w:firstLine="288"/>
      </w:pPr>
      <w:r>
        <w:rPr>
          <w:rFonts w:ascii="Liberation Serif" w:hAnsi="Liberation Serif" w:eastAsia="Liberation Serif" w:cs="Liberation Serif"/>
          <w:color w:val="222222"/>
          <w:sz w:val="24"/>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240" w:line="427" w:lineRule="auto"/>
        <w:ind w:firstLine="288"/>
      </w:pPr>
      <w:r>
        <w:rPr>
          <w:rFonts w:ascii="Liberation Serif" w:hAnsi="Liberation Serif" w:eastAsia="Liberation Serif" w:cs="Liberation Serif"/>
          <w:color w:val="222222"/>
          <w:sz w:val="24"/>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240" w:line="427" w:lineRule="auto"/>
        <w:ind w:firstLine="288"/>
      </w:pPr>
      <w:r>
        <w:rPr>
          <w:rFonts w:ascii="Liberation Serif" w:hAnsi="Liberation Serif" w:eastAsia="Liberation Serif" w:cs="Liberation Serif"/>
          <w:color w:val="222222"/>
          <w:sz w:val="24"/>
        </w:rPr>
        <w:t>The load test is also a rehearsal. These are the things that went wrong or would have gone wrong if we had been on prod.</w:t>
      </w:r>
    </w:p>
    <w:p>
      <w:pPr>
        <w:pStyle w:val="Heading3"/>
      </w:pPr>
      <w:r>
        <w:t>9.1 Harness disk fill</w:t>
      </w:r>
    </w:p>
    <w:p>
      <w:pPr>
        <w:spacing w:before="0" w:after="240" w:line="427" w:lineRule="auto"/>
        <w:ind w:firstLine="288"/>
      </w:pPr>
      <w:r>
        <w:rPr>
          <w:rFonts w:ascii="Liberation Serif" w:hAnsi="Liberation Serif" w:eastAsia="Liberation Serif" w:cs="Liberation Serif"/>
          <w:color w:val="222222"/>
          <w:sz w:val="24"/>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240" w:line="427" w:lineRule="auto"/>
        <w:ind w:firstLine="288"/>
      </w:pPr>
      <w:r>
        <w:rPr>
          <w:rFonts w:ascii="Liberation Serif" w:hAnsi="Liberation Serif" w:eastAsia="Liberation Serif" w:cs="Liberation Serif"/>
          <w:color w:val="222222"/>
          <w:sz w:val="24"/>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240" w:line="427" w:lineRule="auto"/>
        <w:ind w:firstLine="288"/>
      </w:pPr>
      <w:r>
        <w:rPr>
          <w:rFonts w:ascii="Liberation Serif" w:hAnsi="Liberation Serif" w:eastAsia="Liberation Serif" w:cs="Liberation Serif"/>
          <w:color w:val="222222"/>
          <w:sz w:val="24"/>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240" w:line="427" w:lineRule="auto"/>
        <w:ind w:firstLine="288"/>
      </w:pPr>
      <w:r>
        <w:rPr>
          <w:rFonts w:ascii="Liberation Serif" w:hAnsi="Liberation Serif" w:eastAsia="Liberation Serif" w:cs="Liberation Serif"/>
          <w:color w:val="222222"/>
          <w:sz w:val="24"/>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240" w:line="427" w:lineRule="auto"/>
        <w:ind w:firstLine="288"/>
      </w:pPr>
      <w:r>
        <w:rPr>
          <w:rFonts w:ascii="Liberation Serif" w:hAnsi="Liberation Serif" w:eastAsia="Liberation Serif" w:cs="Liberation Serif"/>
          <w:color w:val="222222"/>
          <w:sz w:val="24"/>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4"/>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4"/>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4"/>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4"/>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4"/>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4"/>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4"/>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4"/>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4"/>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4"/>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240" w:line="427" w:lineRule="auto"/>
        <w:ind w:firstLine="288"/>
      </w:pPr>
      <w:r>
        <w:rPr>
          <w:rFonts w:ascii="Liberation Serif" w:hAnsi="Liberation Serif" w:eastAsia="Liberation Serif" w:cs="Liberation Serif"/>
          <w:color w:val="222222"/>
          <w:sz w:val="24"/>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240" w:line="427" w:lineRule="auto"/>
        <w:ind w:firstLine="288"/>
      </w:pPr>
      <w:r>
        <w:rPr>
          <w:rFonts w:ascii="Liberation Serif" w:hAnsi="Liberation Serif" w:eastAsia="Liberation Serif" w:cs="Liberation Serif"/>
          <w:color w:val="222222"/>
          <w:sz w:val="24"/>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240" w:line="427" w:lineRule="auto"/>
        <w:ind w:firstLine="288"/>
      </w:pPr>
      <w:r>
        <w:rPr>
          <w:rFonts w:ascii="Liberation Serif" w:hAnsi="Liberation Serif" w:eastAsia="Liberation Serif" w:cs="Liberation Serif"/>
          <w:color w:val="222222"/>
          <w:sz w:val="24"/>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240" w:line="427" w:lineRule="auto"/>
        <w:ind w:firstLine="288"/>
      </w:pPr>
      <w:r>
        <w:rPr>
          <w:rFonts w:ascii="Liberation Serif" w:hAnsi="Liberation Serif" w:eastAsia="Liberation Serif" w:cs="Liberation Serif"/>
          <w:color w:val="222222"/>
          <w:sz w:val="24"/>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240" w:line="427" w:lineRule="auto"/>
        <w:ind w:firstLine="288"/>
      </w:pPr>
      <w:r>
        <w:rPr>
          <w:rFonts w:ascii="Liberation Serif" w:hAnsi="Liberation Serif" w:eastAsia="Liberation Serif" w:cs="Liberation Serif"/>
          <w:color w:val="222222"/>
          <w:sz w:val="24"/>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p>
      <w:pPr>
        <w:pStyle w:val="Heading1"/>
      </w:pPr>
      <w:r>
        <w:t>Cases that must fail in CI if someone 'cleans up' a fixture (CLH-TST-2024-008)</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2: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2</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(CLH-TDD-2023-014)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CLH-TDD-2023-014</w:t>
            </w:r>
          </w:p>
        </w:tc>
      </w:tr>
    </w:tbl>
    <w:p>
      <w:pPr>
        <w:spacing w:before="40" w:after="160" w:line="80" w:lineRule="auto"/>
      </w:pPr>
    </w:p>
    <w:p>
      <w:pPr>
        <w:pStyle w:val="Heading2"/>
      </w:pPr>
      <w:r>
        <w:t>Case 4: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(CLH-TDD-2023-008)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4</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CLH-TDD-2023-008</w:t>
            </w:r>
          </w:p>
        </w:tc>
      </w:tr>
    </w:tbl>
    <w:p>
      <w:pPr>
        <w:spacing w:before="40" w:after="160" w:line="80" w:lineRule="auto"/>
      </w:pPr>
    </w:p>
    <w:p>
      <w:pPr>
        <w:pStyle w:val="Heading2"/>
      </w:pPr>
      <w:r>
        <w:t>Case 5: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(CLH-TCK-9020)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5</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CLH-TCK-9020</w:t>
            </w:r>
          </w:p>
        </w:tc>
      </w:tr>
    </w:tbl>
    <w:p>
      <w:pPr>
        <w:spacing w:before="40" w:after="160" w:line="80" w:lineRule="auto"/>
      </w:pPr>
    </w:p>
    <w:p>
      <w:pPr>
        <w:pStyle w:val="Heading2"/>
      </w:pPr>
      <w:r>
        <w:t>Case 6: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(CLH-MEM-2024-018)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6</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CLH-MEM-2024-018</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(CLH-INC-2024-017)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CLH-INC-2024-017</w:t>
            </w:r>
          </w:p>
        </w:tc>
      </w:tr>
    </w:tbl>
    <w:p>
      <w:pPr>
        <w:spacing w:before="40" w:after="160" w:line="80" w:lineRule="auto"/>
      </w:pPr>
    </w:p>
    <w:p>
      <w:pPr>
        <w:pStyle w:val="Heading2"/>
      </w:pPr>
      <w:r>
        <w:t>Case 8: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(CLH-TCK-9044)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8</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CLH-TCK-9044</w:t>
            </w:r>
          </w:p>
        </w:tc>
      </w:tr>
    </w:tbl>
    <w:p>
      <w:pPr>
        <w:spacing w:before="40" w:after="160" w:line="80" w:lineRule="auto"/>
      </w:pPr>
    </w:p>
    <w:p>
      <w:pPr>
        <w:pStyle w:val="Heading2"/>
      </w:pPr>
      <w:r>
        <w:t>Case 9: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(CLH-TCK-8841)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9</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CLH-TCK-8841</w:t>
            </w:r>
          </w:p>
        </w:tc>
      </w:tr>
    </w:tbl>
    <w:p>
      <w:pPr>
        <w:spacing w:before="40" w:after="160" w:line="80" w:lineRule="auto"/>
      </w:pPr>
    </w:p>
    <w:p>
      <w:pPr>
        <w:pStyle w:val="Heading2"/>
      </w:pPr>
      <w:r>
        <w:t>Case 10: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(CLH-TCK-8912)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10</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CLH-TCK-8912</w:t>
            </w:r>
          </w:p>
        </w:tc>
      </w:tr>
    </w:tbl>
    <w:p>
      <w:pPr>
        <w:spacing w:before="40" w:after="160" w:line="80" w:lineRule="auto"/>
      </w:pPr>
    </w:p>
    <w:p>
      <w:pPr>
        <w:pStyle w:val="Heading2"/>
      </w:pPr>
      <w:r>
        <w:t>Case 11: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11</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12: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12</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Kavya Menon owns golden fixtures. Aman Kumar owns this case list. Soak against recon-pg-01.chi.northstar.internal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CLH-TCK-8912 fail the build. Deleting a case in a drive-by is how the last regression returned.</w:t>
      </w:r>
    </w:p>
    <w:p>
      <w:pPr>
        <w:pStyle w:val="Heading1"/>
      </w:pPr>
      <w:r>
        <w:t>Working remainder for CLH-TST-2024-008</w:t>
      </w:r>
    </w:p>
    <w:p>
      <w:pPr>
        <w:spacing w:before="0" w:after="240" w:line="427" w:lineRule="auto"/>
        <w:ind w:firstLine="288"/>
      </w:pPr>
      <w:r>
        <w:rPr>
          <w:rFonts w:ascii="Liberation Serif" w:hAnsi="Liberation Serif" w:eastAsia="Liberation Serif" w:cs="Liberation Serif"/>
          <w:color w:val="222222"/>
          <w:sz w:val="24"/>
        </w:rPr>
        <w:t>The front of Load test report: match path at 8.2M and 11.4M daily is the document. This remainder is the leftover a colleague still trips on: named people, named boxes, named tickets, and the work I still owe after October 17, 2024. It is not a second log and it is not a stack of exhibits with the same stub. If a paragraph fights the decision in the front, strike the paragraph.</w:t>
      </w:r>
    </w:p>
    <w:p>
      <w:pPr>
        <w:pStyle w:val="Heading2"/>
      </w:pPr>
      <w:r>
        <w:t>What we are still refusing (fixture hash change without a ticket)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fixture hash change without a ticket. If recon-pg-01.chi.northstar.internal looks easy to bump, stop and write the count on CLH-TCK-8912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fixture hash change without a ticket is the thing people reopen when a date slips. The front of CLH-TST-2024-008 already killed a path. I will not kill it again in a wiki comment. Ticket CLH-TCK-8912 is the record. Diego Alvarez owns the next sentence if they want it undone. Aman Kumar is the writer, not the backup owner. Elapsed I would still defend: 24 minutes on recon-pg-01.chi.northstar.internal, sample 6351,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CLH-TCK-8912 before asking for more people. If legal or the control owner asks why we still refuse fixture hash change without a ticket, the answer is this paragraph plus the decision callout in the front, not a Slack thread from October 17,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fixture hash change without a ticket to Diego Alvarez in one minute: the front of CLH-TST-2024-008 already made the call. This leftover is execution. Diego Alvarez owns CLH-TCK-8912. recon-pg-01.chi.northstar.internal is the box I would open first. The number I would put on the table is 8.2, and if that is stale I would say so instead of performing precision. I would ask whether we are still inside the freeze and whether Diego Alvarez can hit October 23,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fixture hash change without a ticket until the window ends. No. Side paths are how the last exception file grew. If we need a carve-out, it expires, it lives on CLH-TCK-8912,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fixture hash change without a ticket on a wiki that drifts. CLH-TCK-8912 and this file are the record. If Diego Alvarez needs a diagram, they get a permalink, not a photo of a whiteboard. recon-pg-01.chi.northstar.internal stays out of the diagram title. If a new engineer asks where the leftover lives, I point here. I do not point at a Slack pin from October 17, 2024. Client Clearhaven.</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Load test report: match path at 8.2M and 11.4M daily, the front wins. I measured on loadgen-02.chi.northstar.internal. Ticket CLH-MTG-2024-015. Owner for the next measurement is Kavya Menon. Sample window was 53 minutes. Rows in the sample: 5479.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CLH-TST-2024-008,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loadgen-02.chi.northstar.internal.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Kavya Menon can disagree in writing on CLH-MTG-2024-015.</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loadgen-02.chi.northstar.internal and this job. I will not average it into a team number. If finance asks why we skipped the cheaper look, the answer is the page and the miss rate, not a deck. Kavya Menon can disagree on CLH-MTG-2024-015. Sample I still like: 632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CLH-MTG-2024-015,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11.4. I will not mix clocks to make staging that is too small to catch the bug look healthier. Kavya Menon can correct the clock on CLH-MTG-2024-015.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schemareg-shadow.clh.internal. It includes the window, the user-visible effect, and whether we are done. Helen Cho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schemareg-shadow.clh.internal,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schemareg-shadow.clh.internal,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Helen Cho asks today: we are inside the window already named, the user-visible effect is the one in the front, and we are not done until Helen Cho closes CLH-SOP-2024-011. I will not add schemareg-shadow.clh.internal to that sentence. I will not promise October 25,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schemareg-shadow.clh.internal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averaging QPS instead of testing the close, I answer from the comms leftover. I do not paste schemareg-shadow.clh.internal. I do not paste a stack trace. I do not promise October 25, 2024 unless we can hit it. User-visible effect, window, done or not. That is the whole outbound mail.</w:t>
      </w:r>
    </w:p>
    <w:p>
      <w:pPr>
        <w:pStyle w:val="Heading2"/>
      </w:pPr>
      <w:r>
        <w:t>Handoff for PHI in CI logs</w:t>
      </w:r>
    </w:p>
    <w:p>
      <w:pPr>
        <w:spacing w:before="0" w:after="240" w:line="427" w:lineRule="auto"/>
        <w:ind w:firstLine="288"/>
      </w:pPr>
      <w:r>
        <w:rPr>
          <w:rFonts w:ascii="Liberation Serif" w:hAnsi="Liberation Serif" w:eastAsia="Liberation Serif" w:cs="Liberation Serif"/>
          <w:color w:val="222222"/>
          <w:sz w:val="24"/>
        </w:rPr>
        <w:t>Next owner inherits kafka-shadow-01.chi.northstar.internal, CLH-TDD-2023-014, and the last three working pages of CLH-TST-2024-008. I will not leave a Slack screenshot as the record. Marcus Bell is owner until they accept in writing. Date I want that written: October 29,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PHI in CI logs.</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kafka-shadow-01.chi.northstar.internal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CLH-TDD-2023-014 the day I hand off, not the day the page fires. This handoff does not reopen PHI in CI logs.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PHI in CI logs: if I can still kubectl to kafka-shadow-01.chi.northstar.internal after October 26, 2024, the handoff failed. Marcus Bell accepts in writing on CLH-TDD-2023-014 or we keep paging me, which is the same as not handing off. Jules Park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PHI in CI logs is October 26, 2024. If we miss it, the grant dies, the work waits. Marcus Bell can renew on CLH-TDD-2023-014 with an expiry. I will not silently extend. A copied kubeconfig on a laptop is not a grant. Aman Kumar will revoke my own leftover access the same day the handoff is accepted.</w:t>
      </w:r>
    </w:p>
    <w:p>
      <w:pPr>
        <w:pStyle w:val="Heading2"/>
      </w:pPr>
      <w:r>
        <w:t>Read-only first: timezone on discharge or settlement_date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clh.northstar.example. Stop after the first unexpected line. Jules Park is the wake-up, not a group chat. Ticket CLH-TDD-2023-008 opens before any write. This is the timezone on discharge or settlement_date path, not a general restart recipe.</w:t>
      </w:r>
    </w:p>
    <w:p>
      <w:pPr>
        <w:spacing w:before="80" w:after="40" w:line="200" w:lineRule="auto"/>
      </w:pPr>
      <w:r>
        <w:rPr>
          <w:rFonts w:ascii="Liberation Sans" w:hAnsi="Liberation Sans" w:eastAsia="Liberation Sans" w:cs="Liberation Sans"/>
          <w:i/>
          <w:color w:val="555555"/>
          <w:sz w:val="17"/>
        </w:rPr>
        <w:t>Read-only. CLH-TDD-2023-008. clh.northstar.example.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CLH-TDD-2023-008 / timezone on discharge or settlement_date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clh.northstar.example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Jules Park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Jules Park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clh.northstar.example for timezone on discharge or settlement_date is still a read. Second is the last error line. Third is whether the front-matter rule is still true. I will not restart to silence a page. Restart is a listed step. Jules Park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Jules Park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clh.northstar.example in CLH-TDD-2023-008 before anyone says they 'restarted just in case.' Restart without a tell is how we lost time last incident. Jules Park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3, 2024. The question is whether recon-pg-01.chi.northstar.internal stays in the path for date pressure versus a date with owners. If yes, the main body already says how. If no, Aman Kumar writes the cut on CLH-TCK-9020.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CLH-TCK-9020</w:t>
      </w:r>
    </w:p>
    <w:p>
      <w:pPr>
        <w:pStyle w:val="ListBullet"/>
        <w:spacing w:before="20" w:after="60" w:line="260" w:lineRule="auto"/>
      </w:pPr>
      <w:r>
        <w:rPr>
          <w:rFonts w:ascii="Liberation Serif" w:hAnsi="Liberation Serif" w:eastAsia="Liberation Serif" w:cs="Liberation Serif"/>
          <w:color w:val="222222"/>
          <w:sz w:val="24"/>
        </w:rPr>
        <w:t>Host in play: recon-pg-01.chi.northstar.internal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Load test report: match path at 8.2M and 11.4M daily. It is leftover work. If Aman Kumar wants a different product, that is a new ticket and Diego Alvarez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11.1. If that number is not the blocker, say so on CLH-TCK-9020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CLH-TCK-9020 by October 28, 2024.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recon-pg-01.chi.northstar.internal does not get a special thaw because someone booked a demo. Number I will cite: 11.1.</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Diego Alvarez. Hallway yes is not a signature. I will not hide that inside CLH-TCK-9020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loadgen-02.chi.northstar.internal. CLH-MEM-2024-018 is the record. weekend coverage that is not in the SLA is how it will show up again if we get sloppy. The fix is to make the failure loud and stop the write path before it creates 6437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Rahul Deshmukh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Load test report: match path at 8.2M and 11.4M daily as therapy. What we will do if the date slips: Rahul Deshmukh says so on CLH-TCK-8912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loadgen-02.chi.northstar.internal and we argued about CPU. CPU was late. Queue was the tell. I want the next page to name queue. Rahul Deshmukh owns that alert text. CLH-MEM-2024-018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Tell Marcus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Rahul Deshmukh writes it. I will not accept 'check the dashboard' as a page body. If uniqueness is red and freshness is green, the page says that. If rows are zero and the job is green, the page says that. loadgen-02.chi.northstar.internal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schemareg-shadow.clh.internal. Order is expand, backfill, contract. I will not drop a column in the same release as a code deploy that still reads it. Owner Tell Marcus. Ticket CLH-INC-2024-017. Dual-write window is measured in hours, not left open. If the backfill is still running at a freeze, I stop the freeze, not the backfill, unless legal says otherwise. I write the stop condition on CLH-INC-2024-017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schemareg-shadow.clh.internal for longer than the 12s budget last time. Historical load never runs on the OLTP primary. Cost the job, then run it. Number from the front I am using as the size hint: 14.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CLH-INC-2024-017.</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Tell Marcus signs the count on CLH-INC-2024-017.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schemareg-shadow.clh.internal is not the place to drop a column the same day readers still need it. Tell Marcus signs the count on CLH-INC-2024-017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CLH-INC-2024-017. Tell Marcus writes the stop condition first. Batch size I would start at 35k.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Same Kafka, Diego Alvarez, and whoever owns kafka-shadow-01.chi.northstar.internal. One question was on the table: can we ship without dealing with a cleanup PR that renames a field. Answer was no. I repeated the number 14.8 because two people in the room had stale graphs. Action: Same Kafka files the follow-up on CLH-TCK-9044 before October 29,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CLH-TCK-9044. I parked it. A calendar invite is not a decision. If someone wants this recorded as a decision, they write it here or they change the callout in the front of CLH-TST-2024-008.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CLH-TCK-9044.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Same Kafka, ticket CLH-TCK-9044. Not a reconstruction of tone. Postgres Patroni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Postgres Patroni is on that list if they were missing. Decision, refuse, date, owner, ticket CLH-TCK-9044.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clh.northstar.example. Assert the smallest row that still fails without the fix. I will not copy a sanitized production dump; it is too big and it hid the bug twice. Owner Postgres Patroni. Ticket CLH-TCK-8841.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CLH-TCK-8841.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replica lag after a count that looked fine</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CLH-TCK-8841</w:t>
            </w:r>
          </w:p>
          <w:p>
            <w:pPr>
              <w:spacing w:before="0" w:after="0" w:line="220" w:lineRule="auto"/>
            </w:pPr>
            <w:r>
              <w:rPr>
                <w:rFonts w:ascii="Liberation Mono" w:hAnsi="Liberation Mono" w:eastAsia="Liberation Mono" w:cs="Liberation Mono"/>
                <w:color w:val="222222"/>
                <w:sz w:val="17"/>
              </w:rPr>
              <w:t># do not record against clh.northstar.example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(CLH-TCK-8841) and they do that in review. Postgres Patroni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CLH-TCK-8841, CI fails. Postgres Patroni owns the fixture. Soak host if we must: clh.northstar.example.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clh.northstar.example, that is a soak, and it is ticketed. It is not a reason to skip CI. Skip reason is a ticket. Flake reason is a capture. Postgres Patroni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recon-pg-01.chi.northstar.internal is the box I keep measuring because it is the one that pages. owner as a team name instead of a person is the reason the graph lies if you only watch CPU. Queue depth and disk are the two numbers I write down. Owner Chris Patel. Ticket CLH-TCK-8912.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recon-pg-01.chi.northstar.internal and this job, not a team average. Year-1 extra I would put on a sticky: about $25.3k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Chris Patel picks in writing on CLH-TCK-8912.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recon-pg-01.chi.northstar.internal pages because of owner as a team name instead of a person more than because of CPU. I write queue and disk. Headroom I want on a Tuesday is about 36 percent. Below that I file for hardware or I shed load, not both. Chris Patel picks on CLH-TCK-8912.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4.6.</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recon-pg-01.chi.northstar.internal first. Then a ticket. Then a buy if Chris Patel still needs it. Headroom I want on a Tuesday is about 26 percent. Below that I file or I shed, not both in one change.</w:t>
      </w:r>
    </w:p>
    <w:p>
      <w:pPr>
        <w:pStyle w:val="Heading2"/>
      </w:pPr>
      <w:r>
        <w:t>Secrets, grants, and pagination that repeats page 1</w:t>
      </w:r>
    </w:p>
    <w:p>
      <w:pPr>
        <w:spacing w:before="0" w:after="240" w:line="427" w:lineRule="auto"/>
        <w:ind w:firstLine="288"/>
      </w:pPr>
      <w:r>
        <w:rPr>
          <w:rFonts w:ascii="Liberation Serif" w:hAnsi="Liberation Serif" w:eastAsia="Liberation Serif" w:cs="Liberation Serif"/>
          <w:color w:val="222222"/>
          <w:sz w:val="24"/>
        </w:rPr>
        <w:t>Secret handling on loadgen-02.chi.northstar.internal: not in git, not in the ticket description, not in a screenshot. pagination that repeats page 1 is not a reason to paste a token into chat. Owner Real Clearhaven. Ticket CLH-MTG-2024-015.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loadgen-02.chi.northstar.internal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pagination that repeats page 1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pagination that repeats page 1 stay out of git, tickets, and screenshots. Zero-row success on loadgen-02.chi.northstar.internal is the tell that the secret is wrong. Alert on that. Real Clearhaven owns the grant. CLH-MTG-2024-015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pagination that repeats page 1 still has identifiers, it comes back. No 'just this once.' Aman Kumar will reject it on CLH-MTG-2024-015.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schemareg-shadow.clh.internal is the box. CLH-SOP-2024-011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CLH-TST-2024-008.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schemareg-shadow.clh.internal;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schemareg-shadow.clh.internal jumped, window math is garbage. I want that checked before I argue about 8.2.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schemareg-shadow.clh.internal NTP gets checked before I argue about 8.2.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schemareg-shadow.clh.internal.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schemareg-shadow.clh.internal is wrong, I will not debate 8.2. Fix the clock, then measure. Priya Nair owns that check. Window math is garbage if the clock jumped. I will not reconstruct a minute novel to hide that.</w:t>
      </w:r>
    </w:p>
    <w:p>
      <w:pPr>
        <w:pStyle w:val="Heading2"/>
      </w:pPr>
      <w:r>
        <w:t>What would make me reopen CLH-TST-2024-008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CLH-TST-2024-008 still stands. dropping a column in the same release as the readers does not reopen it. Diego Alvarez owns CLH-TDD-2023-014. kafka-shadow-01.chi.northstar.internal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kafka-shadow-01.chi.northstar.internal says the cutover is lying, if a freeze and a migrate disagree, or if Diego Alvarez puts a new date on CLH-TDD-2023-014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1589 rows, 35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dropping a column in the same release as the readers is done as a heading when Diego Alvarez closes CLH-TDD-2023-014 or writes a new date.</w:t>
      </w:r>
    </w:p>
    <w:p>
      <w:pPr>
        <w:spacing w:before="0" w:after="240" w:line="427" w:lineRule="auto"/>
        <w:ind w:firstLine="288"/>
      </w:pPr>
      <w:r>
        <w:rPr>
          <w:rFonts w:ascii="Liberation Serif" w:hAnsi="Liberation Serif" w:eastAsia="Liberation Serif" w:cs="Liberation Serif"/>
          <w:color w:val="222222"/>
          <w:sz w:val="24"/>
        </w:rPr>
        <w:t>I reopen CLH-TST-2024-008 for dropping a column in the same release as the readers only if the measurement on kafka-shadow-01.chi.northstar.internal says the cutover is lying, a freeze and a migrate disagree, or Diego Alvarez puts a new date on CLH-TDD-2023-014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CLH-TDD-2023-008 instead of asking me to re-explain raising retries on a poison record on clh.northstar.example.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clh.northstar.example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Kavya Menon.</w:t>
      </w:r>
    </w:p>
    <w:p>
      <w:pPr>
        <w:pStyle w:val="ListBullet"/>
        <w:spacing w:before="20" w:after="60" w:line="260" w:lineRule="auto"/>
      </w:pPr>
      <w:r>
        <w:rPr>
          <w:rFonts w:ascii="Liberation Serif" w:hAnsi="Liberation Serif" w:eastAsia="Liberation Serif" w:cs="Liberation Serif"/>
          <w:color w:val="222222"/>
          <w:sz w:val="24"/>
        </w:rPr>
        <w:t>What number do I cite? 14,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CLH-TST-2024-008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Diego Alvarez signs a new slice. Can clh.northstar.example be a special case? No. Owner on the FAQ is Kavya Menon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CLH-TDD-2023-008 closes. I will not fork a FAQ. Two truths is how we shipped the last wrong field name. If the answer changes, the front of CLH-TST-2024-008 changes in review.</w:t>
      </w:r>
    </w:p>
    <w:p>
      <w:pPr>
        <w:pStyle w:val="Heading2"/>
      </w:pPr>
      <w:r>
        <w:t>Freeze and calendar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identifiers in chat, logs, or a support zip does not get a courtesy thaw on recon-pg-01.chi.northstar.internal. A small apply is still an apply. SEV1 is the SOP definition. Helen Cho can argue SEV1 on CLH-TCK-9020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identifiers in chat, logs, or a support zip: weekend coverage that is not in the SLA, a plant shutdown, a clinical quiet hours window, month-end 16:00-21:00 ET. If the leftover date lands inside one of those, the date moves. The scope does not. Diego Alvarez hears the new date on CLH-TCK-9020.</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recon-pg-01.chi.northstar.internal.</w:t>
      </w:r>
    </w:p>
    <w:p>
      <w:pPr>
        <w:spacing w:before="0" w:after="240" w:line="427" w:lineRule="auto"/>
        <w:ind w:firstLine="288"/>
      </w:pPr>
      <w:r>
        <w:rPr>
          <w:rFonts w:ascii="Liberation Serif" w:hAnsi="Liberation Serif" w:eastAsia="Liberation Serif" w:cs="Liberation Serif"/>
          <w:color w:val="222222"/>
          <w:sz w:val="24"/>
        </w:rPr>
        <w:t>Freeze math for identifiers in chat, logs, or a support zip: if the window is already named in the front, a small apply is still an apply. recon-pg-01.chi.northstar.internal does not get a courtesy thaw. SEV1 is the definition in the SOP, not a feeling. Helen Cho can argue SEV1 on CLH-TCK-9020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recon-pg-01.chi.northstar.internal is a change. Helen Cho can wait or they can argue SEV1 with a count on CLH-TCK-9020.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CLH-MEM-2024-018.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loadgen-02.chi.northstar.internal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CLH-MEM-2024-018.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Marcus Bell is out, the backup is a name on CLH-MEM-2024-018 the same day, not a hope that someone is watching loadgen-02.chi.northstar.internal.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Marcus Bell, accountable Diego Alvarez, consulted Jules Park, informed Helen Cho. Ticket CLH-MEM-2024-018.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Marcus Bell fixes the row on CLH-MEM-2024-018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schemareg-shadow.clh.internal, we abort. Jules Park pastes the output on CLH-INC-2024-017.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dry-run / secret skew that looks like 'no work'</w:t>
            </w:r>
          </w:p>
          <w:p>
            <w:pPr>
              <w:spacing w:before="0" w:after="0" w:line="220" w:lineRule="auto"/>
            </w:pPr>
            <w:r>
              <w:rPr>
                <w:rFonts w:ascii="Liberation Mono" w:hAnsi="Liberation Mono" w:eastAsia="Liberation Mono" w:cs="Liberation Mono"/>
                <w:color w:val="222222"/>
                <w:sz w:val="17"/>
              </w:rPr>
              <w:t># run on schemareg-shadow.clh.internal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CLH-INC-2024-017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11.1 by more than we can explain in one sentence, we do not 'split the difference.' We stop and Jules Park writes the discrepancy on CLH-INC-2024-017.</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schemareg-shadow.clh.internal, we abort. Jules Park keeps the output on CLH-INC-2024-017.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November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CLH-INC-2024-017, then maybe write. Jules Park does not get to invert that order because November 9, 2024 is close. If the count disagrees with 11.1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