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0A" w:rsidRPr="00AF420A" w:rsidRDefault="00AF420A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Роль фьючерсных контрактов в инвестиционной деятельности</w:t>
      </w:r>
    </w:p>
    <w:p w:rsidR="00AF420A" w:rsidRDefault="00AF420A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</w:p>
    <w:p w:rsidR="00864229" w:rsidRDefault="00864229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Султанов Г.С., </w:t>
      </w:r>
    </w:p>
    <w:p w:rsidR="00864229" w:rsidRPr="00AF420A" w:rsidRDefault="00864229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к.э.н., доцент кафедры «А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нализ хозяйственной деятельности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 и аудит»</w:t>
      </w:r>
    </w:p>
    <w:p w:rsidR="00864229" w:rsidRDefault="00864229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ГАОУ </w:t>
      </w:r>
      <w:proofErr w:type="gramStart"/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ВО</w:t>
      </w:r>
      <w:proofErr w:type="gramEnd"/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 «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Дагестанский государственный университет народного хозяйства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»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, </w:t>
      </w:r>
    </w:p>
    <w:p w:rsidR="00864229" w:rsidRDefault="00864229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г. Махачкала, Россия</w:t>
      </w:r>
    </w:p>
    <w:p w:rsidR="00AF420A" w:rsidRPr="00AF420A" w:rsidRDefault="00AF420A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</w:p>
    <w:p w:rsidR="00975B1F" w:rsidRPr="00AF420A" w:rsidRDefault="00AA641F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Аннотация: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Что такое фьючерсные </w:t>
      </w:r>
      <w:proofErr w:type="gramStart"/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контракты</w:t>
      </w:r>
      <w:proofErr w:type="gramEnd"/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и на </w:t>
      </w:r>
      <w:proofErr w:type="gramStart"/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какие</w:t>
      </w:r>
      <w:proofErr w:type="gramEnd"/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виды они подразд</w:t>
      </w:r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е</w:t>
      </w:r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ляются? В чем их различия? Исследуется роль рынка фьючерсных контрактов как основного источника информации, используемого в различных сферах экономики, и приводится обоснование целесообразности использования фьючерсных контра</w:t>
      </w:r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</w:t>
      </w:r>
      <w:r w:rsidR="00975B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тов для анализа и прогнозирования поведения финансового рынка. </w:t>
      </w:r>
    </w:p>
    <w:p w:rsidR="00975B1F" w:rsidRPr="00AF420A" w:rsidRDefault="00975B1F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proofErr w:type="gramStart"/>
      <w:r w:rsidRPr="00AF42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Ключевые слова: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фьючерс, контракт, раскрытие цены, хеджирование, спек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у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ляция, финансовый рынок, игра на понижение и повышение, инвестиции.</w:t>
      </w:r>
      <w:proofErr w:type="gramEnd"/>
    </w:p>
    <w:p w:rsidR="00011523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</w:p>
    <w:p w:rsidR="00374490" w:rsidRPr="00AF420A" w:rsidRDefault="00374490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Фьючерсный контракт (или просто фьючерс) – ценная бумага, обязующая две стороны осуществить куплю-продажу некоторого товара по конкретной цене в ближайшем будущем.</w:t>
      </w:r>
      <w:r w:rsidR="00E03ACA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Фьючерсный контракт является более строгим документом.</w:t>
      </w:r>
      <w:r w:rsidR="00AA641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Он накладывает обязательства на две взаимодействующие стороны. Необходимо также отметить, что при торговле с использованием фьючерсов фактический обмен товара не производится.</w:t>
      </w:r>
    </w:p>
    <w:p w:rsidR="00011523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Фьючерсные контракты делятся на два вида:</w:t>
      </w:r>
      <w:r w:rsidR="00E03ACA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товарные фьючерсы (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commodity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futures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);</w:t>
      </w:r>
      <w:r w:rsidR="00E03ACA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финансовые фьючерсы (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financial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futures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).</w:t>
      </w:r>
    </w:p>
    <w:p w:rsidR="00011523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Товарные фьючерсы (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commodity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futures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) - зерновые, масличные культуры, м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я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со, различные виды металлов и другие товары, выраженные в натуральной форме.</w:t>
      </w:r>
    </w:p>
    <w:p w:rsidR="00011523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Фьючерсные контракты по товарам заключаются на фактическую поставку товара. </w:t>
      </w:r>
    </w:p>
    <w:p w:rsidR="00011523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Финансовые фьючерсы (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financial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futures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) - операции с цепными бумагами (к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а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значейскими облигациями и векселями, депозитными сертификатами и т.д.), ин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о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странной валютой, фондовыми индексами.</w:t>
      </w:r>
    </w:p>
    <w:p w:rsidR="00011523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Финансовые фьючерсы, за исключением </w:t>
      </w:r>
      <w:proofErr w:type="gram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валютных</w:t>
      </w:r>
      <w:proofErr w:type="gram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, никогда не заканчиваются поставкой товара. Финансовые фьючерсные контракты продают и покупают для получения выигрыша или для хеджирования.</w:t>
      </w:r>
    </w:p>
    <w:p w:rsidR="0009412D" w:rsidRPr="00AF420A" w:rsidRDefault="0009412D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Выделяют три направления использования фьючерсных контрактов: раскр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ы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тие цены, хеджирование и спекуляция. </w:t>
      </w:r>
    </w:p>
    <w:p w:rsidR="008B5A46" w:rsidRPr="00AF420A" w:rsidRDefault="0009412D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Хеджирование является главным направлением применения фьючерсных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ко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трактов.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Хеджирование (от английского </w:t>
      </w:r>
      <w:proofErr w:type="spell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hedge</w:t>
      </w:r>
      <w:proofErr w:type="spell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- ограждать</w:t>
      </w:r>
      <w:proofErr w:type="gram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)</w:t>
      </w:r>
      <w:proofErr w:type="gram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означает страхование сделки от возможных потерь. С помощью хеджирования и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покупатель,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и продавец стараются обезопасить себя от возможных колебаний цены основного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товара.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</w:p>
    <w:p w:rsidR="00E2592C" w:rsidRPr="00AF420A" w:rsidRDefault="008B5A46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Для того</w:t>
      </w:r>
      <w:proofErr w:type="gramStart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,</w:t>
      </w:r>
      <w:proofErr w:type="gramEnd"/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чтобы раскрыть как можно понятнее следует разъяснить суть  дли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ной и короткой позиции.</w:t>
      </w:r>
      <w:r w:rsidR="004A143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При короткой позиции 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курсы валют падают значительно быстрее, чем растут. Другими словами, стоимость на определенный валютный и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струмент обязательно снизится за определенный срок. И, как правило, срок этот к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о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роткий. Другое название таких манипуляций – сделки на понижение.</w:t>
      </w:r>
      <w:r w:rsidR="004A143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Длинная о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крытая валютная позиция (или другое название «</w:t>
      </w:r>
      <w:proofErr w:type="spellStart"/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Buy</w:t>
      </w:r>
      <w:proofErr w:type="spellEnd"/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») – это совершение сделки на 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lastRenderedPageBreak/>
        <w:t xml:space="preserve">повышение валютного курса. Кстати, длинная позиция совершается намного чаще, чем короткая. Правда, здесь есть свои «но». Когда на валютном рынке пребывает боковой </w:t>
      </w:r>
      <w:proofErr w:type="gramStart"/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-э</w:t>
      </w:r>
      <w:proofErr w:type="gramEnd"/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то ситуация, когда на валютном рынке вообще невозможно увидеть я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в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ное направление движения цены, не считая мелких скачков и шумов, когда цена движется практически горизонтально, либо слабый </w:t>
      </w:r>
      <w:hyperlink r:id="rId5" w:tgtFrame="_blank" w:history="1">
        <w:r w:rsidR="00E2592C" w:rsidRPr="00AF420A">
          <w:rPr>
            <w:rFonts w:ascii="Times New Roman" w:eastAsia="Times New Roman" w:hAnsi="Times New Roman" w:cs="Times New Roman"/>
            <w:spacing w:val="-6"/>
            <w:sz w:val="28"/>
            <w:szCs w:val="28"/>
            <w:lang w:eastAsia="ru-RU"/>
          </w:rPr>
          <w:t>тренд</w:t>
        </w:r>
      </w:hyperlink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, то лучше воспользоват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ь</w:t>
      </w:r>
      <w:r w:rsidR="00E2592C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ся короткой позицией, вместо длинной. И не стоит тянуть со временем закрытия.</w:t>
      </w:r>
    </w:p>
    <w:p w:rsidR="0009412D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Х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еджировани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е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состоит в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том,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что потенциальные участники сделки купли - продажи основного товара стремятся одновременно занять длинную и короткую позиции на рынке основного товара и на рынке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фьючерсов: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продавец товара зан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и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мает длинную позицию на рынке основного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товара,</w:t>
      </w:r>
      <w:r w:rsidR="0009412D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поэтому он продает фьючерс и становится в короткую позицию на рынке </w:t>
      </w:r>
      <w:r w:rsidR="008B5A46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фьючерсов.</w:t>
      </w:r>
    </w:p>
    <w:p w:rsidR="00F81411" w:rsidRPr="00AF420A" w:rsidRDefault="00F81411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Таким образом, 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можно сделать вывод о том, что ф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ьючерсные контракты з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а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ключаю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тся главным образом с целью хеджирования (страхования от потерь) 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или игры на курсовой разнице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и с их помощью инвесторы могут отслеживать тенде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ции изменения цен </w:t>
      </w:r>
      <w:proofErr w:type="gramStart"/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на те</w:t>
      </w:r>
      <w:proofErr w:type="gramEnd"/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или иные товары или услуги и принимать соответству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ю</w:t>
      </w:r>
      <w:r w:rsidR="00B2756F"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щие финансовые решения. </w:t>
      </w:r>
    </w:p>
    <w:p w:rsidR="009561F2" w:rsidRDefault="009561F2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</w:p>
    <w:p w:rsidR="002B47A1" w:rsidRPr="00AF420A" w:rsidRDefault="00011523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bookmarkStart w:id="0" w:name="_GoBack"/>
      <w:bookmarkEnd w:id="0"/>
      <w:r w:rsidRPr="00AF42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Список литературы</w:t>
      </w:r>
    </w:p>
    <w:p w:rsidR="001172A4" w:rsidRPr="00AF420A" w:rsidRDefault="001172A4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1. Андриянова А.А. Актуальные аспекты управления банковскими рисками // Экономика и предпринимательство. 2015. № 11-2 (64-2). С. 1052-1056.</w:t>
      </w:r>
    </w:p>
    <w:p w:rsidR="001172A4" w:rsidRPr="00AF420A" w:rsidRDefault="001172A4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2. Васильева Е.А. К вопросу о понятии финансовых инструментов // Социал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ь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ная политика и социология. 2014. № 4 (105). С. 44-54.</w:t>
      </w:r>
    </w:p>
    <w:p w:rsidR="001172A4" w:rsidRPr="00AF420A" w:rsidRDefault="001172A4" w:rsidP="00E00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3. Иванова Е.А. Механизмы минимизации финансовых рисков инвестицио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</w:t>
      </w:r>
      <w:r w:rsidRPr="00AF42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ных корпораций // Современные тенденции развития науки и технологий. 2016. № 10-11. С. 42-47.</w:t>
      </w:r>
    </w:p>
    <w:sectPr w:rsidR="001172A4" w:rsidRPr="00AF420A" w:rsidSect="0001152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7CE"/>
    <w:multiLevelType w:val="multilevel"/>
    <w:tmpl w:val="E96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savePreviewPicture/>
  <w:compat/>
  <w:rsids>
    <w:rsidRoot w:val="00686D92"/>
    <w:rsid w:val="00011523"/>
    <w:rsid w:val="0009412D"/>
    <w:rsid w:val="001172A4"/>
    <w:rsid w:val="001C62F0"/>
    <w:rsid w:val="001C6D2D"/>
    <w:rsid w:val="002B47A1"/>
    <w:rsid w:val="00327444"/>
    <w:rsid w:val="00374490"/>
    <w:rsid w:val="0047320B"/>
    <w:rsid w:val="004A143D"/>
    <w:rsid w:val="005E293C"/>
    <w:rsid w:val="006557A5"/>
    <w:rsid w:val="00686D92"/>
    <w:rsid w:val="007F022C"/>
    <w:rsid w:val="00864229"/>
    <w:rsid w:val="008B5A46"/>
    <w:rsid w:val="009561F2"/>
    <w:rsid w:val="00975B1F"/>
    <w:rsid w:val="009D7BC0"/>
    <w:rsid w:val="00AA641F"/>
    <w:rsid w:val="00AC292E"/>
    <w:rsid w:val="00AF420A"/>
    <w:rsid w:val="00B2756F"/>
    <w:rsid w:val="00B4736B"/>
    <w:rsid w:val="00B8646B"/>
    <w:rsid w:val="00C723D3"/>
    <w:rsid w:val="00D80771"/>
    <w:rsid w:val="00E004D9"/>
    <w:rsid w:val="00E03ACA"/>
    <w:rsid w:val="00E2592C"/>
    <w:rsid w:val="00F8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92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641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92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64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933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47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  <w:divsChild>
                                <w:div w:id="7340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180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20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0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  <w:divsChild>
                                <w:div w:id="202436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703749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3869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ademyfx.ru/shkola/teoriya/209-trendovye-lin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2018-05-07T11:12:00Z</dcterms:created>
  <dcterms:modified xsi:type="dcterms:W3CDTF">2018-05-07T11:12:00Z</dcterms:modified>
</cp:coreProperties>
</file>