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EEA" w:rsidRPr="007C4480" w:rsidRDefault="00697EEA" w:rsidP="00514FBE">
      <w:pPr>
        <w:spacing w:after="0" w:line="360" w:lineRule="auto"/>
        <w:ind w:left="170" w:right="85" w:firstLine="538"/>
        <w:jc w:val="center"/>
        <w:rPr>
          <w:rFonts w:ascii="Times New Roman" w:hAnsi="Times New Roman" w:cs="Times New Roman"/>
          <w:sz w:val="24"/>
          <w:szCs w:val="24"/>
        </w:rPr>
      </w:pPr>
    </w:p>
    <w:p w:rsidR="00514FBE" w:rsidRPr="00104228" w:rsidRDefault="00011B7D" w:rsidP="00C814EF">
      <w:pPr>
        <w:spacing w:after="0" w:line="240" w:lineRule="auto"/>
        <w:ind w:right="85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104228">
        <w:rPr>
          <w:rFonts w:ascii="Times New Roman" w:hAnsi="Times New Roman" w:cs="Times New Roman"/>
          <w:b/>
          <w:sz w:val="28"/>
          <w:szCs w:val="28"/>
        </w:rPr>
        <w:t>нализ показателей ф</w:t>
      </w:r>
      <w:bookmarkStart w:id="0" w:name="_GoBack"/>
      <w:bookmarkEnd w:id="0"/>
      <w:r w:rsidRPr="00104228">
        <w:rPr>
          <w:rFonts w:ascii="Times New Roman" w:hAnsi="Times New Roman" w:cs="Times New Roman"/>
          <w:b/>
          <w:sz w:val="28"/>
          <w:szCs w:val="28"/>
        </w:rPr>
        <w:t>инансовой деятельности  ПАО</w:t>
      </w:r>
      <w:r>
        <w:rPr>
          <w:rFonts w:ascii="Times New Roman" w:hAnsi="Times New Roman" w:cs="Times New Roman"/>
          <w:b/>
          <w:sz w:val="28"/>
          <w:szCs w:val="28"/>
        </w:rPr>
        <w:t xml:space="preserve"> «Сбербанк Р</w:t>
      </w:r>
      <w:r w:rsidRPr="00104228">
        <w:rPr>
          <w:rFonts w:ascii="Times New Roman" w:hAnsi="Times New Roman" w:cs="Times New Roman"/>
          <w:b/>
          <w:sz w:val="28"/>
          <w:szCs w:val="28"/>
        </w:rPr>
        <w:t xml:space="preserve">оссии» РФ за </w:t>
      </w:r>
      <w:r w:rsidR="007B1548" w:rsidRPr="00104228">
        <w:rPr>
          <w:rFonts w:ascii="Times New Roman" w:hAnsi="Times New Roman" w:cs="Times New Roman"/>
          <w:b/>
          <w:sz w:val="28"/>
          <w:szCs w:val="28"/>
        </w:rPr>
        <w:t>2014-2016</w:t>
      </w:r>
      <w:r w:rsidR="007C4480" w:rsidRPr="00104228">
        <w:rPr>
          <w:rFonts w:ascii="Times New Roman" w:hAnsi="Times New Roman" w:cs="Times New Roman"/>
          <w:b/>
          <w:sz w:val="28"/>
          <w:szCs w:val="28"/>
        </w:rPr>
        <w:t xml:space="preserve"> гг.</w:t>
      </w:r>
    </w:p>
    <w:p w:rsidR="002B0FC1" w:rsidRDefault="002B0FC1" w:rsidP="002B0FC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pacing w:val="-6"/>
          <w:sz w:val="28"/>
          <w:szCs w:val="28"/>
        </w:rPr>
      </w:pPr>
    </w:p>
    <w:p w:rsidR="002B0FC1" w:rsidRDefault="002B0FC1" w:rsidP="002B0FC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pacing w:val="-6"/>
          <w:sz w:val="28"/>
          <w:szCs w:val="28"/>
        </w:rPr>
      </w:pPr>
      <w:r w:rsidRPr="00AF420A">
        <w:rPr>
          <w:rFonts w:ascii="Times New Roman" w:eastAsia="Times New Roman" w:hAnsi="Times New Roman" w:cs="Times New Roman"/>
          <w:i/>
          <w:spacing w:val="-6"/>
          <w:sz w:val="28"/>
          <w:szCs w:val="28"/>
        </w:rPr>
        <w:t>Султанов</w:t>
      </w:r>
      <w:r>
        <w:rPr>
          <w:rFonts w:ascii="Times New Roman" w:eastAsia="Times New Roman" w:hAnsi="Times New Roman" w:cs="Times New Roman"/>
          <w:i/>
          <w:spacing w:val="-6"/>
          <w:sz w:val="28"/>
          <w:szCs w:val="28"/>
        </w:rPr>
        <w:t>а</w:t>
      </w:r>
      <w:r w:rsidRPr="00AF420A">
        <w:rPr>
          <w:rFonts w:ascii="Times New Roman" w:eastAsia="Times New Roman" w:hAnsi="Times New Roman" w:cs="Times New Roman"/>
          <w:i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pacing w:val="-6"/>
          <w:sz w:val="28"/>
          <w:szCs w:val="28"/>
        </w:rPr>
        <w:t>Э</w:t>
      </w:r>
      <w:r w:rsidRPr="00AF420A">
        <w:rPr>
          <w:rFonts w:ascii="Times New Roman" w:eastAsia="Times New Roman" w:hAnsi="Times New Roman" w:cs="Times New Roman"/>
          <w:i/>
          <w:spacing w:val="-6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i/>
          <w:spacing w:val="-6"/>
          <w:sz w:val="28"/>
          <w:szCs w:val="28"/>
        </w:rPr>
        <w:t>А</w:t>
      </w:r>
      <w:r w:rsidRPr="00AF420A">
        <w:rPr>
          <w:rFonts w:ascii="Times New Roman" w:eastAsia="Times New Roman" w:hAnsi="Times New Roman" w:cs="Times New Roman"/>
          <w:i/>
          <w:spacing w:val="-6"/>
          <w:sz w:val="28"/>
          <w:szCs w:val="28"/>
        </w:rPr>
        <w:t xml:space="preserve">., </w:t>
      </w:r>
    </w:p>
    <w:p w:rsidR="002B0FC1" w:rsidRPr="00AF420A" w:rsidRDefault="002B0FC1" w:rsidP="002B0FC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pacing w:val="-6"/>
          <w:sz w:val="28"/>
          <w:szCs w:val="28"/>
        </w:rPr>
      </w:pPr>
      <w:r w:rsidRPr="00AF420A">
        <w:rPr>
          <w:rFonts w:ascii="Times New Roman" w:eastAsia="Times New Roman" w:hAnsi="Times New Roman" w:cs="Times New Roman"/>
          <w:i/>
          <w:spacing w:val="-6"/>
          <w:sz w:val="28"/>
          <w:szCs w:val="28"/>
        </w:rPr>
        <w:t>к.э.н., доцент кафедры «</w:t>
      </w:r>
      <w:r>
        <w:rPr>
          <w:rFonts w:ascii="Times New Roman" w:eastAsia="Times New Roman" w:hAnsi="Times New Roman" w:cs="Times New Roman"/>
          <w:i/>
          <w:spacing w:val="-6"/>
          <w:sz w:val="28"/>
          <w:szCs w:val="28"/>
        </w:rPr>
        <w:t>Бухгалтерский учет-1</w:t>
      </w:r>
      <w:r w:rsidRPr="00AF420A">
        <w:rPr>
          <w:rFonts w:ascii="Times New Roman" w:eastAsia="Times New Roman" w:hAnsi="Times New Roman" w:cs="Times New Roman"/>
          <w:i/>
          <w:spacing w:val="-6"/>
          <w:sz w:val="28"/>
          <w:szCs w:val="28"/>
        </w:rPr>
        <w:t>»</w:t>
      </w:r>
    </w:p>
    <w:p w:rsidR="002B0FC1" w:rsidRDefault="002B0FC1" w:rsidP="002B0FC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pacing w:val="-6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pacing w:val="-6"/>
          <w:sz w:val="28"/>
          <w:szCs w:val="28"/>
        </w:rPr>
        <w:t xml:space="preserve">ГАОУ </w:t>
      </w:r>
      <w:proofErr w:type="gramStart"/>
      <w:r>
        <w:rPr>
          <w:rFonts w:ascii="Times New Roman" w:eastAsia="Times New Roman" w:hAnsi="Times New Roman" w:cs="Times New Roman"/>
          <w:i/>
          <w:spacing w:val="-6"/>
          <w:sz w:val="28"/>
          <w:szCs w:val="28"/>
        </w:rPr>
        <w:t>ВО</w:t>
      </w:r>
      <w:proofErr w:type="gramEnd"/>
      <w:r>
        <w:rPr>
          <w:rFonts w:ascii="Times New Roman" w:eastAsia="Times New Roman" w:hAnsi="Times New Roman" w:cs="Times New Roman"/>
          <w:i/>
          <w:spacing w:val="-6"/>
          <w:sz w:val="28"/>
          <w:szCs w:val="28"/>
        </w:rPr>
        <w:t xml:space="preserve"> «</w:t>
      </w:r>
      <w:r w:rsidRPr="00AF420A">
        <w:rPr>
          <w:rFonts w:ascii="Times New Roman" w:eastAsia="Times New Roman" w:hAnsi="Times New Roman" w:cs="Times New Roman"/>
          <w:i/>
          <w:spacing w:val="-6"/>
          <w:sz w:val="28"/>
          <w:szCs w:val="28"/>
        </w:rPr>
        <w:t>Дагестанский государственный университет народного хозяйства</w:t>
      </w:r>
      <w:r>
        <w:rPr>
          <w:rFonts w:ascii="Times New Roman" w:eastAsia="Times New Roman" w:hAnsi="Times New Roman" w:cs="Times New Roman"/>
          <w:i/>
          <w:spacing w:val="-6"/>
          <w:sz w:val="28"/>
          <w:szCs w:val="28"/>
        </w:rPr>
        <w:t>»</w:t>
      </w:r>
      <w:r w:rsidRPr="00AF420A">
        <w:rPr>
          <w:rFonts w:ascii="Times New Roman" w:eastAsia="Times New Roman" w:hAnsi="Times New Roman" w:cs="Times New Roman"/>
          <w:i/>
          <w:spacing w:val="-6"/>
          <w:sz w:val="28"/>
          <w:szCs w:val="28"/>
        </w:rPr>
        <w:t xml:space="preserve">, </w:t>
      </w:r>
    </w:p>
    <w:p w:rsidR="002B0FC1" w:rsidRDefault="002B0FC1" w:rsidP="002B0FC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pacing w:val="-6"/>
          <w:sz w:val="28"/>
          <w:szCs w:val="28"/>
        </w:rPr>
      </w:pPr>
      <w:r w:rsidRPr="00AF420A">
        <w:rPr>
          <w:rFonts w:ascii="Times New Roman" w:eastAsia="Times New Roman" w:hAnsi="Times New Roman" w:cs="Times New Roman"/>
          <w:i/>
          <w:spacing w:val="-6"/>
          <w:sz w:val="28"/>
          <w:szCs w:val="28"/>
        </w:rPr>
        <w:t>г. Махачкала, Россия</w:t>
      </w:r>
    </w:p>
    <w:p w:rsidR="00E064C8" w:rsidRPr="00104228" w:rsidRDefault="00E064C8" w:rsidP="00C814EF">
      <w:pPr>
        <w:spacing w:after="0" w:line="240" w:lineRule="auto"/>
        <w:ind w:left="170" w:right="85" w:firstLine="53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E49AA" w:rsidRPr="00104228" w:rsidRDefault="006E5EAB" w:rsidP="00C814EF">
      <w:pPr>
        <w:spacing w:after="0" w:line="240" w:lineRule="auto"/>
        <w:ind w:right="8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4228">
        <w:rPr>
          <w:rFonts w:ascii="Times New Roman" w:hAnsi="Times New Roman" w:cs="Times New Roman"/>
          <w:sz w:val="28"/>
          <w:szCs w:val="28"/>
        </w:rPr>
        <w:t>В статье</w:t>
      </w:r>
      <w:r w:rsidR="00BD5D2F" w:rsidRPr="00104228">
        <w:rPr>
          <w:rFonts w:ascii="Times New Roman" w:hAnsi="Times New Roman" w:cs="Times New Roman"/>
          <w:sz w:val="28"/>
          <w:szCs w:val="28"/>
        </w:rPr>
        <w:t xml:space="preserve"> </w:t>
      </w:r>
      <w:r w:rsidR="00585A77" w:rsidRPr="00104228">
        <w:rPr>
          <w:rFonts w:ascii="Times New Roman" w:hAnsi="Times New Roman" w:cs="Times New Roman"/>
          <w:sz w:val="28"/>
          <w:szCs w:val="28"/>
        </w:rPr>
        <w:t>проводится вертикальный и горизонтальный анализ основных финансовых показателей деятельности ПАО «Сбербанк»</w:t>
      </w:r>
      <w:r w:rsidRPr="00104228">
        <w:rPr>
          <w:rFonts w:ascii="Times New Roman" w:hAnsi="Times New Roman" w:cs="Times New Roman"/>
          <w:sz w:val="28"/>
          <w:szCs w:val="28"/>
        </w:rPr>
        <w:t xml:space="preserve">, </w:t>
      </w:r>
      <w:r w:rsidR="00585A77" w:rsidRPr="00104228">
        <w:rPr>
          <w:rFonts w:ascii="Times New Roman" w:hAnsi="Times New Roman" w:cs="Times New Roman"/>
          <w:sz w:val="28"/>
          <w:szCs w:val="28"/>
        </w:rPr>
        <w:t>анализ отчета о прибылях и убытках за период с 2014 – 2016 гг. В целом в деятельности ПАО « Сбербанк» отмечается положительная динамика роста основных п</w:t>
      </w:r>
      <w:r w:rsidR="00585A77" w:rsidRPr="00104228">
        <w:rPr>
          <w:rFonts w:ascii="Times New Roman" w:hAnsi="Times New Roman" w:cs="Times New Roman"/>
          <w:sz w:val="28"/>
          <w:szCs w:val="28"/>
        </w:rPr>
        <w:t>о</w:t>
      </w:r>
      <w:r w:rsidR="00585A77" w:rsidRPr="00104228">
        <w:rPr>
          <w:rFonts w:ascii="Times New Roman" w:hAnsi="Times New Roman" w:cs="Times New Roman"/>
          <w:sz w:val="28"/>
          <w:szCs w:val="28"/>
        </w:rPr>
        <w:t xml:space="preserve">казателей финансовой отчетности.  Немало важную роль на положительную динамику показателей оказала и система управления финансовыми активами банка,  </w:t>
      </w:r>
      <w:r w:rsidR="00D80404" w:rsidRPr="00104228">
        <w:rPr>
          <w:rFonts w:ascii="Times New Roman" w:hAnsi="Times New Roman" w:cs="Times New Roman"/>
          <w:sz w:val="28"/>
          <w:szCs w:val="28"/>
        </w:rPr>
        <w:t>которая,</w:t>
      </w:r>
      <w:r w:rsidR="00585A77" w:rsidRPr="00104228">
        <w:rPr>
          <w:rFonts w:ascii="Times New Roman" w:hAnsi="Times New Roman" w:cs="Times New Roman"/>
          <w:sz w:val="28"/>
          <w:szCs w:val="28"/>
        </w:rPr>
        <w:t xml:space="preserve"> в конечном </w:t>
      </w:r>
      <w:r w:rsidR="00D80404" w:rsidRPr="00104228">
        <w:rPr>
          <w:rFonts w:ascii="Times New Roman" w:hAnsi="Times New Roman" w:cs="Times New Roman"/>
          <w:sz w:val="28"/>
          <w:szCs w:val="28"/>
        </w:rPr>
        <w:t>счете,</w:t>
      </w:r>
      <w:r w:rsidR="00585A77" w:rsidRPr="00104228">
        <w:rPr>
          <w:rFonts w:ascii="Times New Roman" w:hAnsi="Times New Roman" w:cs="Times New Roman"/>
          <w:sz w:val="28"/>
          <w:szCs w:val="28"/>
        </w:rPr>
        <w:t xml:space="preserve"> можно назвать эффективной</w:t>
      </w:r>
      <w:r w:rsidR="00D80404" w:rsidRPr="00104228">
        <w:rPr>
          <w:rFonts w:ascii="Times New Roman" w:hAnsi="Times New Roman" w:cs="Times New Roman"/>
          <w:sz w:val="28"/>
          <w:szCs w:val="28"/>
        </w:rPr>
        <w:t xml:space="preserve"> системой управления активами и пассивами</w:t>
      </w:r>
      <w:r w:rsidR="00585A77" w:rsidRPr="00104228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916F90" w:rsidRPr="00104228" w:rsidRDefault="00514FBE" w:rsidP="00C814EF">
      <w:pPr>
        <w:spacing w:after="0" w:line="240" w:lineRule="auto"/>
        <w:ind w:right="8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4228">
        <w:rPr>
          <w:rFonts w:ascii="Times New Roman" w:hAnsi="Times New Roman" w:cs="Times New Roman"/>
          <w:sz w:val="28"/>
          <w:szCs w:val="28"/>
        </w:rPr>
        <w:t xml:space="preserve"> </w:t>
      </w:r>
      <w:r w:rsidR="00916F90" w:rsidRPr="00104228">
        <w:rPr>
          <w:rFonts w:ascii="Times New Roman" w:hAnsi="Times New Roman" w:cs="Times New Roman"/>
          <w:sz w:val="28"/>
          <w:szCs w:val="28"/>
        </w:rPr>
        <w:t xml:space="preserve">Ключевые слова: </w:t>
      </w:r>
      <w:r w:rsidR="00D80404" w:rsidRPr="00104228">
        <w:rPr>
          <w:rFonts w:ascii="Times New Roman" w:hAnsi="Times New Roman" w:cs="Times New Roman"/>
          <w:sz w:val="28"/>
          <w:szCs w:val="28"/>
        </w:rPr>
        <w:t>ПАО «Сбербанк», финансовая отчетность, отчет о прибылях и убытках.</w:t>
      </w:r>
    </w:p>
    <w:p w:rsidR="00CD3C43" w:rsidRPr="00104228" w:rsidRDefault="00CD3C43" w:rsidP="00C814EF">
      <w:pPr>
        <w:spacing w:after="0" w:line="240" w:lineRule="auto"/>
        <w:ind w:right="85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55D69" w:rsidRPr="00C814EF" w:rsidRDefault="007B1548" w:rsidP="00C814EF">
      <w:pPr>
        <w:spacing w:after="0" w:line="240" w:lineRule="auto"/>
        <w:ind w:right="85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14EF">
        <w:rPr>
          <w:rFonts w:ascii="Times New Roman" w:hAnsi="Times New Roman" w:cs="Times New Roman"/>
          <w:sz w:val="28"/>
          <w:szCs w:val="28"/>
          <w:lang w:val="en-US"/>
        </w:rPr>
        <w:t>In the article the vertical and horizontal analysis of the key financial indic</w:t>
      </w:r>
      <w:r w:rsidRPr="00C814E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814EF">
        <w:rPr>
          <w:rFonts w:ascii="Times New Roman" w:hAnsi="Times New Roman" w:cs="Times New Roman"/>
          <w:sz w:val="28"/>
          <w:szCs w:val="28"/>
          <w:lang w:val="en-US"/>
        </w:rPr>
        <w:t>tors of PJSC "Sberbank", the analysis of the profit and loss account for the period from 2014 - 2016 years. In general, the activity of PJSC "Sberbank" positive d</w:t>
      </w:r>
      <w:r w:rsidRPr="00C814E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814EF">
        <w:rPr>
          <w:rFonts w:ascii="Times New Roman" w:hAnsi="Times New Roman" w:cs="Times New Roman"/>
          <w:sz w:val="28"/>
          <w:szCs w:val="28"/>
          <w:lang w:val="en-US"/>
        </w:rPr>
        <w:t>namics of growth of the main indicators of the financial statements. Many an i</w:t>
      </w:r>
      <w:r w:rsidRPr="00C814E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814EF">
        <w:rPr>
          <w:rFonts w:ascii="Times New Roman" w:hAnsi="Times New Roman" w:cs="Times New Roman"/>
          <w:sz w:val="28"/>
          <w:szCs w:val="28"/>
          <w:lang w:val="en-US"/>
        </w:rPr>
        <w:t>portant role in the positive dynamics of indicators has provided and financial asset management system of the bank, which, ultimately, can be called an effective a</w:t>
      </w:r>
      <w:r w:rsidRPr="00C814E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814EF">
        <w:rPr>
          <w:rFonts w:ascii="Times New Roman" w:hAnsi="Times New Roman" w:cs="Times New Roman"/>
          <w:sz w:val="28"/>
          <w:szCs w:val="28"/>
          <w:lang w:val="en-US"/>
        </w:rPr>
        <w:t>set management system and liabilities.</w:t>
      </w:r>
    </w:p>
    <w:p w:rsidR="00916F90" w:rsidRPr="00C814EF" w:rsidRDefault="00916F90" w:rsidP="00C814EF">
      <w:pPr>
        <w:spacing w:after="0" w:line="240" w:lineRule="auto"/>
        <w:ind w:right="85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14EF">
        <w:rPr>
          <w:rFonts w:ascii="Times New Roman" w:hAnsi="Times New Roman" w:cs="Times New Roman"/>
          <w:sz w:val="28"/>
          <w:szCs w:val="28"/>
          <w:lang w:val="en-US"/>
        </w:rPr>
        <w:t xml:space="preserve">Keywords: </w:t>
      </w:r>
      <w:r w:rsidR="007B1548" w:rsidRPr="00C814EF">
        <w:rPr>
          <w:rFonts w:ascii="Times New Roman" w:hAnsi="Times New Roman" w:cs="Times New Roman"/>
          <w:sz w:val="28"/>
          <w:szCs w:val="28"/>
          <w:lang w:val="en-US"/>
        </w:rPr>
        <w:t>PC «S</w:t>
      </w:r>
      <w:r w:rsidR="007C4480" w:rsidRPr="00C814EF">
        <w:rPr>
          <w:rFonts w:ascii="Times New Roman" w:hAnsi="Times New Roman" w:cs="Times New Roman"/>
          <w:sz w:val="28"/>
          <w:szCs w:val="28"/>
          <w:lang w:val="en-US"/>
        </w:rPr>
        <w:t>berbank</w:t>
      </w:r>
      <w:r w:rsidR="007B1548" w:rsidRPr="00C814EF">
        <w:rPr>
          <w:rFonts w:ascii="Times New Roman" w:hAnsi="Times New Roman" w:cs="Times New Roman"/>
          <w:sz w:val="28"/>
          <w:szCs w:val="28"/>
          <w:lang w:val="en-US"/>
        </w:rPr>
        <w:t>» financial statements, profit and loss account.</w:t>
      </w:r>
    </w:p>
    <w:p w:rsidR="007B1548" w:rsidRPr="00C814EF" w:rsidRDefault="007B1548" w:rsidP="00C814EF">
      <w:pPr>
        <w:spacing w:after="0" w:line="240" w:lineRule="auto"/>
        <w:ind w:right="85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43C57" w:rsidRPr="00104228" w:rsidRDefault="008957C0" w:rsidP="00C814EF">
      <w:pPr>
        <w:spacing w:after="0" w:line="240" w:lineRule="auto"/>
        <w:ind w:righ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4228">
        <w:rPr>
          <w:rFonts w:ascii="Times New Roman" w:hAnsi="Times New Roman" w:cs="Times New Roman"/>
          <w:sz w:val="28"/>
          <w:szCs w:val="28"/>
        </w:rPr>
        <w:t xml:space="preserve">ПАО </w:t>
      </w:r>
      <w:r w:rsidR="003B13E4" w:rsidRPr="00104228">
        <w:rPr>
          <w:rFonts w:ascii="Times New Roman" w:hAnsi="Times New Roman" w:cs="Times New Roman"/>
          <w:sz w:val="28"/>
          <w:szCs w:val="28"/>
        </w:rPr>
        <w:t>Сбербанк – это крупнейшая финансовая организация мирового масштаба, с общим количеством клиентов по стране более 127 млн. т.е. по</w:t>
      </w:r>
      <w:r w:rsidR="003B13E4" w:rsidRPr="00104228">
        <w:rPr>
          <w:rFonts w:ascii="Times New Roman" w:hAnsi="Times New Roman" w:cs="Times New Roman"/>
          <w:sz w:val="28"/>
          <w:szCs w:val="28"/>
        </w:rPr>
        <w:t>ч</w:t>
      </w:r>
      <w:r w:rsidR="003B13E4" w:rsidRPr="00104228">
        <w:rPr>
          <w:rFonts w:ascii="Times New Roman" w:hAnsi="Times New Roman" w:cs="Times New Roman"/>
          <w:sz w:val="28"/>
          <w:szCs w:val="28"/>
        </w:rPr>
        <w:t xml:space="preserve">ти каждый гражданин Российской Федерации пользуется теми или иными услугами данной кредитной организации. </w:t>
      </w:r>
    </w:p>
    <w:p w:rsidR="00843C57" w:rsidRPr="00104228" w:rsidRDefault="003B13E4" w:rsidP="00C814EF">
      <w:pPr>
        <w:spacing w:after="0" w:line="240" w:lineRule="auto"/>
        <w:ind w:righ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4228">
        <w:rPr>
          <w:rFonts w:ascii="Times New Roman" w:hAnsi="Times New Roman" w:cs="Times New Roman"/>
          <w:sz w:val="28"/>
          <w:szCs w:val="28"/>
        </w:rPr>
        <w:t>Ежедневно отделения Сбербанка посещают до 5 млн. клиентов, что способствовало улучшению качества обслуживания клиентов за последние годы: новое техническое оснащение банка, а также повышение компетен</w:t>
      </w:r>
      <w:r w:rsidRPr="00104228">
        <w:rPr>
          <w:rFonts w:ascii="Times New Roman" w:hAnsi="Times New Roman" w:cs="Times New Roman"/>
          <w:sz w:val="28"/>
          <w:szCs w:val="28"/>
        </w:rPr>
        <w:t>т</w:t>
      </w:r>
      <w:r w:rsidRPr="00104228">
        <w:rPr>
          <w:rFonts w:ascii="Times New Roman" w:hAnsi="Times New Roman" w:cs="Times New Roman"/>
          <w:sz w:val="28"/>
          <w:szCs w:val="28"/>
        </w:rPr>
        <w:t>ности персонала и</w:t>
      </w:r>
      <w:r w:rsidR="00A6379A" w:rsidRPr="00104228">
        <w:rPr>
          <w:rFonts w:ascii="Times New Roman" w:hAnsi="Times New Roman" w:cs="Times New Roman"/>
          <w:sz w:val="28"/>
          <w:szCs w:val="28"/>
        </w:rPr>
        <w:t xml:space="preserve"> развитие </w:t>
      </w:r>
      <w:r w:rsidRPr="00104228">
        <w:rPr>
          <w:rFonts w:ascii="Times New Roman" w:hAnsi="Times New Roman" w:cs="Times New Roman"/>
          <w:sz w:val="28"/>
          <w:szCs w:val="28"/>
        </w:rPr>
        <w:t xml:space="preserve"> интернет - </w:t>
      </w:r>
      <w:r w:rsidR="00A6379A" w:rsidRPr="00104228">
        <w:rPr>
          <w:rFonts w:ascii="Times New Roman" w:hAnsi="Times New Roman" w:cs="Times New Roman"/>
          <w:sz w:val="28"/>
          <w:szCs w:val="28"/>
        </w:rPr>
        <w:t>банкинга</w:t>
      </w:r>
      <w:r w:rsidRPr="00104228">
        <w:rPr>
          <w:rFonts w:ascii="Times New Roman" w:hAnsi="Times New Roman" w:cs="Times New Roman"/>
          <w:sz w:val="28"/>
          <w:szCs w:val="28"/>
        </w:rPr>
        <w:t>,</w:t>
      </w:r>
      <w:r w:rsidR="00A6379A" w:rsidRPr="00104228">
        <w:rPr>
          <w:rFonts w:ascii="Times New Roman" w:hAnsi="Times New Roman" w:cs="Times New Roman"/>
          <w:sz w:val="28"/>
          <w:szCs w:val="28"/>
        </w:rPr>
        <w:t xml:space="preserve"> все это в свою очередь п</w:t>
      </w:r>
      <w:r w:rsidR="00A6379A" w:rsidRPr="00104228">
        <w:rPr>
          <w:rFonts w:ascii="Times New Roman" w:hAnsi="Times New Roman" w:cs="Times New Roman"/>
          <w:sz w:val="28"/>
          <w:szCs w:val="28"/>
        </w:rPr>
        <w:t>о</w:t>
      </w:r>
      <w:r w:rsidR="00A6379A" w:rsidRPr="00104228">
        <w:rPr>
          <w:rFonts w:ascii="Times New Roman" w:hAnsi="Times New Roman" w:cs="Times New Roman"/>
          <w:sz w:val="28"/>
          <w:szCs w:val="28"/>
        </w:rPr>
        <w:t>зволило банку стать лидером на рынке банковских продуктов</w:t>
      </w:r>
      <w:r w:rsidRPr="0010422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957C0" w:rsidRPr="00104228" w:rsidRDefault="007440E1" w:rsidP="00C814EF">
      <w:pPr>
        <w:spacing w:after="0" w:line="240" w:lineRule="auto"/>
        <w:ind w:righ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4228">
        <w:rPr>
          <w:rFonts w:ascii="Times New Roman" w:hAnsi="Times New Roman" w:cs="Times New Roman"/>
          <w:sz w:val="28"/>
          <w:szCs w:val="28"/>
        </w:rPr>
        <w:t>В связи,</w:t>
      </w:r>
      <w:r w:rsidR="008957C0" w:rsidRPr="00104228">
        <w:rPr>
          <w:rFonts w:ascii="Times New Roman" w:hAnsi="Times New Roman" w:cs="Times New Roman"/>
          <w:sz w:val="28"/>
          <w:szCs w:val="28"/>
        </w:rPr>
        <w:t xml:space="preserve"> с чем интерес к С</w:t>
      </w:r>
      <w:r w:rsidRPr="00104228">
        <w:rPr>
          <w:rFonts w:ascii="Times New Roman" w:hAnsi="Times New Roman" w:cs="Times New Roman"/>
          <w:sz w:val="28"/>
          <w:szCs w:val="28"/>
        </w:rPr>
        <w:t xml:space="preserve">бербанку и актуальность </w:t>
      </w:r>
      <w:r w:rsidR="008957C0" w:rsidRPr="00104228">
        <w:rPr>
          <w:rFonts w:ascii="Times New Roman" w:hAnsi="Times New Roman" w:cs="Times New Roman"/>
          <w:sz w:val="28"/>
          <w:szCs w:val="28"/>
        </w:rPr>
        <w:t xml:space="preserve">анализа ее </w:t>
      </w:r>
      <w:r w:rsidRPr="00104228">
        <w:rPr>
          <w:rFonts w:ascii="Times New Roman" w:hAnsi="Times New Roman" w:cs="Times New Roman"/>
          <w:sz w:val="28"/>
          <w:szCs w:val="28"/>
        </w:rPr>
        <w:t>фина</w:t>
      </w:r>
      <w:r w:rsidRPr="00104228">
        <w:rPr>
          <w:rFonts w:ascii="Times New Roman" w:hAnsi="Times New Roman" w:cs="Times New Roman"/>
          <w:sz w:val="28"/>
          <w:szCs w:val="28"/>
        </w:rPr>
        <w:t>н</w:t>
      </w:r>
      <w:r w:rsidRPr="00104228">
        <w:rPr>
          <w:rFonts w:ascii="Times New Roman" w:hAnsi="Times New Roman" w:cs="Times New Roman"/>
          <w:sz w:val="28"/>
          <w:szCs w:val="28"/>
        </w:rPr>
        <w:t>сового состояния из года в год только растет.</w:t>
      </w:r>
      <w:r w:rsidR="008957C0" w:rsidRPr="00104228">
        <w:rPr>
          <w:rFonts w:ascii="Times New Roman" w:hAnsi="Times New Roman" w:cs="Times New Roman"/>
          <w:sz w:val="28"/>
          <w:szCs w:val="28"/>
        </w:rPr>
        <w:t xml:space="preserve"> Объектом исследования явл</w:t>
      </w:r>
      <w:r w:rsidR="008957C0" w:rsidRPr="00104228">
        <w:rPr>
          <w:rFonts w:ascii="Times New Roman" w:hAnsi="Times New Roman" w:cs="Times New Roman"/>
          <w:sz w:val="28"/>
          <w:szCs w:val="28"/>
        </w:rPr>
        <w:t>я</w:t>
      </w:r>
      <w:r w:rsidR="008957C0" w:rsidRPr="00104228">
        <w:rPr>
          <w:rFonts w:ascii="Times New Roman" w:hAnsi="Times New Roman" w:cs="Times New Roman"/>
          <w:sz w:val="28"/>
          <w:szCs w:val="28"/>
        </w:rPr>
        <w:t>ются результаты финансовой деятельности Сбербанка за период 2014-2016 гг. В целях анализа результатов финансовой деятельности Сбербанка о</w:t>
      </w:r>
      <w:r w:rsidRPr="00104228">
        <w:rPr>
          <w:rFonts w:ascii="Times New Roman" w:hAnsi="Times New Roman" w:cs="Times New Roman"/>
          <w:sz w:val="28"/>
          <w:szCs w:val="28"/>
        </w:rPr>
        <w:t>с</w:t>
      </w:r>
      <w:r w:rsidRPr="00104228">
        <w:rPr>
          <w:rFonts w:ascii="Times New Roman" w:hAnsi="Times New Roman" w:cs="Times New Roman"/>
          <w:sz w:val="28"/>
          <w:szCs w:val="28"/>
        </w:rPr>
        <w:t>новными источниками информации о финансовом состоянии сбербанка ст</w:t>
      </w:r>
      <w:r w:rsidRPr="00104228">
        <w:rPr>
          <w:rFonts w:ascii="Times New Roman" w:hAnsi="Times New Roman" w:cs="Times New Roman"/>
          <w:sz w:val="28"/>
          <w:szCs w:val="28"/>
        </w:rPr>
        <w:t>а</w:t>
      </w:r>
      <w:r w:rsidRPr="00104228">
        <w:rPr>
          <w:rFonts w:ascii="Times New Roman" w:hAnsi="Times New Roman" w:cs="Times New Roman"/>
          <w:sz w:val="28"/>
          <w:szCs w:val="28"/>
        </w:rPr>
        <w:t xml:space="preserve">ли финансовая отчетность сбербанка, официальные интернет сайты </w:t>
      </w:r>
      <w:r w:rsidR="008957C0" w:rsidRPr="00104228">
        <w:rPr>
          <w:rFonts w:ascii="Times New Roman" w:hAnsi="Times New Roman" w:cs="Times New Roman"/>
          <w:sz w:val="28"/>
          <w:szCs w:val="28"/>
        </w:rPr>
        <w:t>Сбе</w:t>
      </w:r>
      <w:r w:rsidR="008957C0" w:rsidRPr="00104228">
        <w:rPr>
          <w:rFonts w:ascii="Times New Roman" w:hAnsi="Times New Roman" w:cs="Times New Roman"/>
          <w:sz w:val="28"/>
          <w:szCs w:val="28"/>
        </w:rPr>
        <w:t>р</w:t>
      </w:r>
      <w:r w:rsidR="008957C0" w:rsidRPr="00104228">
        <w:rPr>
          <w:rFonts w:ascii="Times New Roman" w:hAnsi="Times New Roman" w:cs="Times New Roman"/>
          <w:sz w:val="28"/>
          <w:szCs w:val="28"/>
        </w:rPr>
        <w:t>банка и Центрального Б</w:t>
      </w:r>
      <w:r w:rsidRPr="00104228">
        <w:rPr>
          <w:rFonts w:ascii="Times New Roman" w:hAnsi="Times New Roman" w:cs="Times New Roman"/>
          <w:sz w:val="28"/>
          <w:szCs w:val="28"/>
        </w:rPr>
        <w:t xml:space="preserve">анка </w:t>
      </w:r>
      <w:r w:rsidR="008957C0" w:rsidRPr="00104228">
        <w:rPr>
          <w:rFonts w:ascii="Times New Roman" w:hAnsi="Times New Roman" w:cs="Times New Roman"/>
          <w:sz w:val="28"/>
          <w:szCs w:val="28"/>
        </w:rPr>
        <w:t>России</w:t>
      </w:r>
      <w:r w:rsidRPr="00104228">
        <w:rPr>
          <w:rFonts w:ascii="Times New Roman" w:hAnsi="Times New Roman" w:cs="Times New Roman"/>
          <w:sz w:val="28"/>
          <w:szCs w:val="28"/>
        </w:rPr>
        <w:t>.</w:t>
      </w:r>
    </w:p>
    <w:p w:rsidR="006E3355" w:rsidRPr="00104228" w:rsidRDefault="008957C0" w:rsidP="00C814EF">
      <w:pPr>
        <w:spacing w:after="0" w:line="240" w:lineRule="auto"/>
        <w:ind w:righ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4228">
        <w:rPr>
          <w:rFonts w:ascii="Times New Roman" w:hAnsi="Times New Roman" w:cs="Times New Roman"/>
          <w:sz w:val="28"/>
          <w:szCs w:val="28"/>
        </w:rPr>
        <w:lastRenderedPageBreak/>
        <w:t>Основным документом финансовой отчетности для анализа использ</w:t>
      </w:r>
      <w:r w:rsidRPr="00104228">
        <w:rPr>
          <w:rFonts w:ascii="Times New Roman" w:hAnsi="Times New Roman" w:cs="Times New Roman"/>
          <w:sz w:val="28"/>
          <w:szCs w:val="28"/>
        </w:rPr>
        <w:t>о</w:t>
      </w:r>
      <w:r w:rsidRPr="00104228">
        <w:rPr>
          <w:rFonts w:ascii="Times New Roman" w:hAnsi="Times New Roman" w:cs="Times New Roman"/>
          <w:sz w:val="28"/>
          <w:szCs w:val="28"/>
        </w:rPr>
        <w:t>ван отчет о прибылях и убытках за рассматриваемый период</w:t>
      </w:r>
      <w:r w:rsidR="006E3355" w:rsidRPr="00104228">
        <w:rPr>
          <w:rFonts w:ascii="Times New Roman" w:hAnsi="Times New Roman" w:cs="Times New Roman"/>
          <w:sz w:val="28"/>
          <w:szCs w:val="28"/>
        </w:rPr>
        <w:t>.</w:t>
      </w:r>
    </w:p>
    <w:p w:rsidR="00D769AE" w:rsidRPr="00104228" w:rsidRDefault="006E3355" w:rsidP="00C814EF">
      <w:pPr>
        <w:spacing w:after="0" w:line="240" w:lineRule="auto"/>
        <w:ind w:right="142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04228">
        <w:rPr>
          <w:rFonts w:ascii="Times New Roman" w:hAnsi="Times New Roman" w:cs="Times New Roman"/>
          <w:sz w:val="28"/>
          <w:szCs w:val="28"/>
        </w:rPr>
        <w:t>А</w:t>
      </w:r>
      <w:r w:rsidRPr="00104228">
        <w:rPr>
          <w:rFonts w:ascii="Times New Roman" w:hAnsi="Times New Roman" w:cs="Times New Roman"/>
          <w:color w:val="000000"/>
          <w:sz w:val="28"/>
          <w:szCs w:val="28"/>
        </w:rPr>
        <w:t>нализ отчета о прибылях и убытках ПАО «Сбербанк России» был сделан на основании формы банковской отчетности - бухгалтерского бала</w:t>
      </w:r>
      <w:r w:rsidRPr="00104228"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104228">
        <w:rPr>
          <w:rFonts w:ascii="Times New Roman" w:hAnsi="Times New Roman" w:cs="Times New Roman"/>
          <w:color w:val="000000"/>
          <w:sz w:val="28"/>
          <w:szCs w:val="28"/>
        </w:rPr>
        <w:t xml:space="preserve">са за 2014 – 2016 гг. </w:t>
      </w:r>
      <w:r w:rsidR="007F4413" w:rsidRPr="00104228">
        <w:rPr>
          <w:rFonts w:ascii="Times New Roman" w:hAnsi="Times New Roman" w:cs="Times New Roman"/>
          <w:color w:val="000000"/>
          <w:sz w:val="28"/>
          <w:szCs w:val="28"/>
        </w:rPr>
        <w:t xml:space="preserve"> Проанализируем  основные статьи доходной части б</w:t>
      </w:r>
      <w:r w:rsidR="007F4413" w:rsidRPr="00104228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7F4413" w:rsidRPr="00104228">
        <w:rPr>
          <w:rFonts w:ascii="Times New Roman" w:hAnsi="Times New Roman" w:cs="Times New Roman"/>
          <w:color w:val="000000"/>
          <w:sz w:val="28"/>
          <w:szCs w:val="28"/>
        </w:rPr>
        <w:t>ланса.</w:t>
      </w:r>
      <w:r w:rsidR="00D769AE" w:rsidRPr="00104228">
        <w:rPr>
          <w:rFonts w:ascii="Times New Roman" w:hAnsi="Times New Roman" w:cs="Times New Roman"/>
          <w:color w:val="000000"/>
          <w:sz w:val="28"/>
          <w:szCs w:val="28"/>
        </w:rPr>
        <w:t xml:space="preserve"> Одним из основных инструментов анализа эффективности формир</w:t>
      </w:r>
      <w:r w:rsidR="00D769AE" w:rsidRPr="00104228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D769AE" w:rsidRPr="00104228">
        <w:rPr>
          <w:rFonts w:ascii="Times New Roman" w:hAnsi="Times New Roman" w:cs="Times New Roman"/>
          <w:color w:val="000000"/>
          <w:sz w:val="28"/>
          <w:szCs w:val="28"/>
        </w:rPr>
        <w:t>вания и использования ресурсов является вертикальный и горизонтальный анализ баланса.</w:t>
      </w:r>
    </w:p>
    <w:p w:rsidR="00FD0F51" w:rsidRPr="00104228" w:rsidRDefault="006E3355" w:rsidP="00C814EF">
      <w:pPr>
        <w:spacing w:after="0" w:line="240" w:lineRule="auto"/>
        <w:ind w:right="142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04228">
        <w:rPr>
          <w:rFonts w:ascii="Times New Roman" w:hAnsi="Times New Roman" w:cs="Times New Roman"/>
          <w:color w:val="000000"/>
          <w:sz w:val="28"/>
          <w:szCs w:val="28"/>
        </w:rPr>
        <w:t>Из данных представленных в таб</w:t>
      </w:r>
      <w:r w:rsidR="00B244B6" w:rsidRPr="00104228">
        <w:rPr>
          <w:rFonts w:ascii="Times New Roman" w:hAnsi="Times New Roman" w:cs="Times New Roman"/>
          <w:color w:val="000000"/>
          <w:sz w:val="28"/>
          <w:szCs w:val="28"/>
        </w:rPr>
        <w:t>лиц</w:t>
      </w:r>
      <w:r w:rsidR="007F4413" w:rsidRPr="00104228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="00B244B6" w:rsidRPr="00104228">
        <w:rPr>
          <w:rFonts w:ascii="Times New Roman" w:hAnsi="Times New Roman" w:cs="Times New Roman"/>
          <w:color w:val="000000"/>
          <w:sz w:val="28"/>
          <w:szCs w:val="28"/>
        </w:rPr>
        <w:t xml:space="preserve"> 1 видно, что деятельность П</w:t>
      </w:r>
      <w:r w:rsidRPr="00104228">
        <w:rPr>
          <w:rFonts w:ascii="Times New Roman" w:hAnsi="Times New Roman" w:cs="Times New Roman"/>
          <w:color w:val="000000"/>
          <w:sz w:val="28"/>
          <w:szCs w:val="28"/>
        </w:rPr>
        <w:t>АО «Сбербанк России» за период 201</w:t>
      </w:r>
      <w:r w:rsidR="00B244B6" w:rsidRPr="00104228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104228">
        <w:rPr>
          <w:rFonts w:ascii="Times New Roman" w:hAnsi="Times New Roman" w:cs="Times New Roman"/>
          <w:color w:val="000000"/>
          <w:sz w:val="28"/>
          <w:szCs w:val="28"/>
        </w:rPr>
        <w:t>-201</w:t>
      </w:r>
      <w:r w:rsidR="00B244B6" w:rsidRPr="00104228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Pr="00104228">
        <w:rPr>
          <w:rFonts w:ascii="Times New Roman" w:hAnsi="Times New Roman" w:cs="Times New Roman"/>
          <w:color w:val="000000"/>
          <w:sz w:val="28"/>
          <w:szCs w:val="28"/>
        </w:rPr>
        <w:t xml:space="preserve"> год направлена на повышение э</w:t>
      </w:r>
      <w:r w:rsidRPr="00104228">
        <w:rPr>
          <w:rFonts w:ascii="Times New Roman" w:hAnsi="Times New Roman" w:cs="Times New Roman"/>
          <w:color w:val="000000"/>
          <w:sz w:val="28"/>
          <w:szCs w:val="28"/>
        </w:rPr>
        <w:t>ф</w:t>
      </w:r>
      <w:r w:rsidRPr="00104228">
        <w:rPr>
          <w:rFonts w:ascii="Times New Roman" w:hAnsi="Times New Roman" w:cs="Times New Roman"/>
          <w:color w:val="000000"/>
          <w:sz w:val="28"/>
          <w:szCs w:val="28"/>
        </w:rPr>
        <w:t>фективности деятельности всего банка.</w:t>
      </w:r>
    </w:p>
    <w:p w:rsidR="007C4480" w:rsidRPr="00104228" w:rsidRDefault="007C4480" w:rsidP="00C814EF">
      <w:pPr>
        <w:spacing w:after="0" w:line="240" w:lineRule="auto"/>
        <w:ind w:left="170" w:right="142" w:firstLine="538"/>
        <w:jc w:val="right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04228">
        <w:rPr>
          <w:rFonts w:ascii="Times New Roman" w:hAnsi="Times New Roman" w:cs="Times New Roman"/>
          <w:b/>
          <w:color w:val="000000"/>
          <w:sz w:val="28"/>
          <w:szCs w:val="28"/>
        </w:rPr>
        <w:t>Таблица 1</w:t>
      </w:r>
    </w:p>
    <w:p w:rsidR="0015628F" w:rsidRPr="00104228" w:rsidRDefault="0015628F" w:rsidP="00C814EF">
      <w:pPr>
        <w:spacing w:after="0" w:line="240" w:lineRule="auto"/>
        <w:ind w:left="170" w:right="142" w:firstLine="538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04228">
        <w:rPr>
          <w:rFonts w:ascii="Times New Roman" w:hAnsi="Times New Roman" w:cs="Times New Roman"/>
          <w:b/>
          <w:color w:val="000000"/>
          <w:sz w:val="28"/>
          <w:szCs w:val="28"/>
        </w:rPr>
        <w:t>Основные статьи доходов отчета о прибылях и убытках</w:t>
      </w:r>
    </w:p>
    <w:tbl>
      <w:tblPr>
        <w:tblStyle w:val="a8"/>
        <w:tblW w:w="9315" w:type="dxa"/>
        <w:tblInd w:w="250" w:type="dxa"/>
        <w:tblLook w:val="04A0"/>
      </w:tblPr>
      <w:tblGrid>
        <w:gridCol w:w="3827"/>
        <w:gridCol w:w="1418"/>
        <w:gridCol w:w="1701"/>
        <w:gridCol w:w="2369"/>
      </w:tblGrid>
      <w:tr w:rsidR="000E49C2" w:rsidRPr="007C4480" w:rsidTr="007C4480">
        <w:trPr>
          <w:trHeight w:val="20"/>
        </w:trPr>
        <w:tc>
          <w:tcPr>
            <w:tcW w:w="3827" w:type="dxa"/>
            <w:vMerge w:val="restart"/>
          </w:tcPr>
          <w:p w:rsidR="000E49C2" w:rsidRPr="007C4480" w:rsidRDefault="000E49C2" w:rsidP="00C814EF">
            <w:pPr>
              <w:ind w:right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480">
              <w:rPr>
                <w:rFonts w:ascii="Times New Roman" w:hAnsi="Times New Roman" w:cs="Times New Roman"/>
                <w:sz w:val="24"/>
                <w:szCs w:val="24"/>
              </w:rPr>
              <w:t>Название статей</w:t>
            </w:r>
          </w:p>
        </w:tc>
        <w:tc>
          <w:tcPr>
            <w:tcW w:w="1418" w:type="dxa"/>
          </w:tcPr>
          <w:p w:rsidR="000E49C2" w:rsidRPr="007C4480" w:rsidRDefault="000E49C2" w:rsidP="00C814EF">
            <w:pPr>
              <w:ind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480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1701" w:type="dxa"/>
          </w:tcPr>
          <w:p w:rsidR="000E49C2" w:rsidRPr="007C4480" w:rsidRDefault="000E49C2" w:rsidP="00C814EF">
            <w:pPr>
              <w:ind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480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2369" w:type="dxa"/>
          </w:tcPr>
          <w:p w:rsidR="000E49C2" w:rsidRPr="007C4480" w:rsidRDefault="000E49C2" w:rsidP="00C814EF">
            <w:pPr>
              <w:ind w:right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480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  <w:r w:rsidR="007F4413" w:rsidRPr="007C4480">
              <w:rPr>
                <w:rFonts w:ascii="Times New Roman" w:hAnsi="Times New Roman" w:cs="Times New Roman"/>
                <w:sz w:val="24"/>
                <w:szCs w:val="24"/>
              </w:rPr>
              <w:t xml:space="preserve"> (за 9 месяцев)</w:t>
            </w:r>
          </w:p>
        </w:tc>
      </w:tr>
      <w:tr w:rsidR="0015628F" w:rsidRPr="007C4480" w:rsidTr="007C4480">
        <w:trPr>
          <w:trHeight w:val="20"/>
        </w:trPr>
        <w:tc>
          <w:tcPr>
            <w:tcW w:w="3827" w:type="dxa"/>
            <w:vMerge/>
          </w:tcPr>
          <w:p w:rsidR="0015628F" w:rsidRPr="007C4480" w:rsidRDefault="0015628F" w:rsidP="00C814EF">
            <w:pPr>
              <w:ind w:right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15628F" w:rsidRPr="007C4480" w:rsidRDefault="00DB5FFE" w:rsidP="00C814EF">
            <w:pPr>
              <w:ind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480">
              <w:rPr>
                <w:rFonts w:ascii="Times New Roman" w:hAnsi="Times New Roman" w:cs="Times New Roman"/>
                <w:sz w:val="24"/>
                <w:szCs w:val="24"/>
              </w:rPr>
              <w:t>млрд</w:t>
            </w:r>
            <w:r w:rsidR="0015628F" w:rsidRPr="007C4480">
              <w:rPr>
                <w:rFonts w:ascii="Times New Roman" w:hAnsi="Times New Roman" w:cs="Times New Roman"/>
                <w:sz w:val="24"/>
                <w:szCs w:val="24"/>
              </w:rPr>
              <w:t>. руб.</w:t>
            </w:r>
          </w:p>
        </w:tc>
        <w:tc>
          <w:tcPr>
            <w:tcW w:w="1701" w:type="dxa"/>
          </w:tcPr>
          <w:p w:rsidR="0015628F" w:rsidRPr="007C4480" w:rsidRDefault="00DB5FFE" w:rsidP="00C814EF">
            <w:pPr>
              <w:ind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480">
              <w:rPr>
                <w:rFonts w:ascii="Times New Roman" w:hAnsi="Times New Roman" w:cs="Times New Roman"/>
                <w:sz w:val="24"/>
                <w:szCs w:val="24"/>
              </w:rPr>
              <w:t>млрд</w:t>
            </w:r>
            <w:r w:rsidR="0015628F" w:rsidRPr="007C4480">
              <w:rPr>
                <w:rFonts w:ascii="Times New Roman" w:hAnsi="Times New Roman" w:cs="Times New Roman"/>
                <w:sz w:val="24"/>
                <w:szCs w:val="24"/>
              </w:rPr>
              <w:t>. руб.</w:t>
            </w:r>
          </w:p>
        </w:tc>
        <w:tc>
          <w:tcPr>
            <w:tcW w:w="2369" w:type="dxa"/>
          </w:tcPr>
          <w:p w:rsidR="0015628F" w:rsidRPr="007C4480" w:rsidRDefault="00DB5FFE" w:rsidP="00C814EF">
            <w:pPr>
              <w:ind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480">
              <w:rPr>
                <w:rFonts w:ascii="Times New Roman" w:hAnsi="Times New Roman" w:cs="Times New Roman"/>
                <w:sz w:val="24"/>
                <w:szCs w:val="24"/>
              </w:rPr>
              <w:t>млрд</w:t>
            </w:r>
            <w:r w:rsidR="0015628F" w:rsidRPr="007C4480">
              <w:rPr>
                <w:rFonts w:ascii="Times New Roman" w:hAnsi="Times New Roman" w:cs="Times New Roman"/>
                <w:sz w:val="24"/>
                <w:szCs w:val="24"/>
              </w:rPr>
              <w:t>. руб.</w:t>
            </w:r>
          </w:p>
        </w:tc>
      </w:tr>
      <w:tr w:rsidR="0015628F" w:rsidRPr="007C4480" w:rsidTr="007C4480">
        <w:trPr>
          <w:trHeight w:val="20"/>
        </w:trPr>
        <w:tc>
          <w:tcPr>
            <w:tcW w:w="3827" w:type="dxa"/>
          </w:tcPr>
          <w:p w:rsidR="0015628F" w:rsidRPr="007C4480" w:rsidRDefault="0015628F" w:rsidP="00C814EF">
            <w:pPr>
              <w:ind w:right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7C4480">
              <w:rPr>
                <w:rFonts w:ascii="Times New Roman" w:hAnsi="Times New Roman" w:cs="Times New Roman"/>
                <w:sz w:val="24"/>
                <w:szCs w:val="24"/>
              </w:rPr>
              <w:t>1. Процентные доходы</w:t>
            </w:r>
          </w:p>
        </w:tc>
        <w:tc>
          <w:tcPr>
            <w:tcW w:w="1418" w:type="dxa"/>
          </w:tcPr>
          <w:p w:rsidR="0015628F" w:rsidRPr="007C4480" w:rsidRDefault="0015628F" w:rsidP="00C814EF">
            <w:pPr>
              <w:ind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480">
              <w:rPr>
                <w:rFonts w:ascii="Times New Roman" w:hAnsi="Times New Roman" w:cs="Times New Roman"/>
                <w:sz w:val="24"/>
                <w:szCs w:val="24"/>
              </w:rPr>
              <w:t>1 837,9</w:t>
            </w:r>
          </w:p>
        </w:tc>
        <w:tc>
          <w:tcPr>
            <w:tcW w:w="1701" w:type="dxa"/>
          </w:tcPr>
          <w:p w:rsidR="0015628F" w:rsidRPr="007C4480" w:rsidRDefault="0015628F" w:rsidP="00C814EF">
            <w:pPr>
              <w:ind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480">
              <w:rPr>
                <w:rFonts w:ascii="Times New Roman" w:hAnsi="Times New Roman" w:cs="Times New Roman"/>
                <w:sz w:val="24"/>
                <w:szCs w:val="24"/>
              </w:rPr>
              <w:t>2 279,6</w:t>
            </w:r>
          </w:p>
        </w:tc>
        <w:tc>
          <w:tcPr>
            <w:tcW w:w="2369" w:type="dxa"/>
          </w:tcPr>
          <w:p w:rsidR="0015628F" w:rsidRPr="007C4480" w:rsidRDefault="00DB5FFE" w:rsidP="00C814EF">
            <w:pPr>
              <w:ind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480">
              <w:rPr>
                <w:rFonts w:ascii="Times New Roman" w:hAnsi="Times New Roman" w:cs="Times New Roman"/>
                <w:sz w:val="24"/>
                <w:szCs w:val="24"/>
              </w:rPr>
              <w:t>2281,5</w:t>
            </w:r>
          </w:p>
        </w:tc>
      </w:tr>
      <w:tr w:rsidR="0015628F" w:rsidRPr="007C4480" w:rsidTr="007C4480">
        <w:trPr>
          <w:trHeight w:val="20"/>
        </w:trPr>
        <w:tc>
          <w:tcPr>
            <w:tcW w:w="3827" w:type="dxa"/>
          </w:tcPr>
          <w:p w:rsidR="0015628F" w:rsidRPr="007C4480" w:rsidRDefault="0015628F" w:rsidP="00C814EF">
            <w:pPr>
              <w:ind w:right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480">
              <w:rPr>
                <w:rFonts w:ascii="Times New Roman" w:hAnsi="Times New Roman" w:cs="Times New Roman"/>
                <w:sz w:val="24"/>
                <w:szCs w:val="24"/>
              </w:rPr>
              <w:t>2. Комиссионные доходы</w:t>
            </w:r>
          </w:p>
        </w:tc>
        <w:tc>
          <w:tcPr>
            <w:tcW w:w="1418" w:type="dxa"/>
          </w:tcPr>
          <w:p w:rsidR="0015628F" w:rsidRPr="007C4480" w:rsidRDefault="0015628F" w:rsidP="00C814EF">
            <w:pPr>
              <w:ind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480">
              <w:rPr>
                <w:rFonts w:ascii="Times New Roman" w:hAnsi="Times New Roman" w:cs="Times New Roman"/>
                <w:sz w:val="24"/>
                <w:szCs w:val="24"/>
              </w:rPr>
              <w:t>306,4</w:t>
            </w:r>
          </w:p>
        </w:tc>
        <w:tc>
          <w:tcPr>
            <w:tcW w:w="1701" w:type="dxa"/>
          </w:tcPr>
          <w:p w:rsidR="0015628F" w:rsidRPr="007C4480" w:rsidRDefault="0015628F" w:rsidP="00C814EF">
            <w:pPr>
              <w:ind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480">
              <w:rPr>
                <w:rFonts w:ascii="Times New Roman" w:hAnsi="Times New Roman" w:cs="Times New Roman"/>
                <w:sz w:val="24"/>
                <w:szCs w:val="24"/>
              </w:rPr>
              <w:t>384,1</w:t>
            </w:r>
          </w:p>
        </w:tc>
        <w:tc>
          <w:tcPr>
            <w:tcW w:w="2369" w:type="dxa"/>
          </w:tcPr>
          <w:p w:rsidR="0015628F" w:rsidRPr="007C4480" w:rsidRDefault="00417405" w:rsidP="00C814EF">
            <w:pPr>
              <w:ind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480">
              <w:rPr>
                <w:rFonts w:ascii="Times New Roman" w:hAnsi="Times New Roman" w:cs="Times New Roman"/>
                <w:sz w:val="24"/>
                <w:szCs w:val="24"/>
              </w:rPr>
              <w:t>442,0</w:t>
            </w:r>
          </w:p>
        </w:tc>
      </w:tr>
      <w:tr w:rsidR="0015628F" w:rsidRPr="007C4480" w:rsidTr="007C4480">
        <w:trPr>
          <w:trHeight w:val="20"/>
        </w:trPr>
        <w:tc>
          <w:tcPr>
            <w:tcW w:w="3827" w:type="dxa"/>
          </w:tcPr>
          <w:p w:rsidR="0015628F" w:rsidRPr="007C4480" w:rsidRDefault="0015628F" w:rsidP="00C814EF">
            <w:pPr>
              <w:ind w:right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480">
              <w:rPr>
                <w:rFonts w:ascii="Times New Roman" w:hAnsi="Times New Roman" w:cs="Times New Roman"/>
                <w:sz w:val="24"/>
                <w:szCs w:val="24"/>
              </w:rPr>
              <w:t>3. доходы от валютной пер</w:t>
            </w:r>
            <w:r w:rsidRPr="007C4480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7C4480">
              <w:rPr>
                <w:rFonts w:ascii="Times New Roman" w:hAnsi="Times New Roman" w:cs="Times New Roman"/>
                <w:sz w:val="24"/>
                <w:szCs w:val="24"/>
              </w:rPr>
              <w:t>оценки и торговых операций</w:t>
            </w:r>
          </w:p>
        </w:tc>
        <w:tc>
          <w:tcPr>
            <w:tcW w:w="1418" w:type="dxa"/>
          </w:tcPr>
          <w:p w:rsidR="0015628F" w:rsidRPr="007C4480" w:rsidRDefault="0015628F" w:rsidP="00C814EF">
            <w:pPr>
              <w:ind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480">
              <w:rPr>
                <w:rFonts w:ascii="Times New Roman" w:hAnsi="Times New Roman" w:cs="Times New Roman"/>
                <w:sz w:val="24"/>
                <w:szCs w:val="24"/>
              </w:rPr>
              <w:t>8,1</w:t>
            </w:r>
          </w:p>
        </w:tc>
        <w:tc>
          <w:tcPr>
            <w:tcW w:w="1701" w:type="dxa"/>
          </w:tcPr>
          <w:p w:rsidR="0015628F" w:rsidRPr="007C4480" w:rsidRDefault="0015628F" w:rsidP="00C814EF">
            <w:pPr>
              <w:ind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480">
              <w:rPr>
                <w:rFonts w:ascii="Times New Roman" w:hAnsi="Times New Roman" w:cs="Times New Roman"/>
                <w:sz w:val="24"/>
                <w:szCs w:val="24"/>
              </w:rPr>
              <w:t>83,1</w:t>
            </w:r>
          </w:p>
        </w:tc>
        <w:tc>
          <w:tcPr>
            <w:tcW w:w="2369" w:type="dxa"/>
          </w:tcPr>
          <w:p w:rsidR="0015628F" w:rsidRPr="007C4480" w:rsidRDefault="000C70D1" w:rsidP="00C814EF">
            <w:pPr>
              <w:ind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480">
              <w:rPr>
                <w:rFonts w:ascii="Times New Roman" w:hAnsi="Times New Roman" w:cs="Times New Roman"/>
                <w:sz w:val="24"/>
                <w:szCs w:val="24"/>
              </w:rPr>
              <w:t>14,1</w:t>
            </w:r>
          </w:p>
        </w:tc>
      </w:tr>
      <w:tr w:rsidR="0015628F" w:rsidRPr="007C4480" w:rsidTr="007C4480">
        <w:trPr>
          <w:trHeight w:val="20"/>
        </w:trPr>
        <w:tc>
          <w:tcPr>
            <w:tcW w:w="3827" w:type="dxa"/>
          </w:tcPr>
          <w:p w:rsidR="0015628F" w:rsidRPr="007C4480" w:rsidRDefault="0015628F" w:rsidP="00C814EF">
            <w:pPr>
              <w:ind w:right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480">
              <w:rPr>
                <w:rFonts w:ascii="Times New Roman" w:hAnsi="Times New Roman" w:cs="Times New Roman"/>
                <w:sz w:val="24"/>
                <w:szCs w:val="24"/>
              </w:rPr>
              <w:t>4. операционные доходы</w:t>
            </w:r>
          </w:p>
        </w:tc>
        <w:tc>
          <w:tcPr>
            <w:tcW w:w="1418" w:type="dxa"/>
          </w:tcPr>
          <w:p w:rsidR="0015628F" w:rsidRPr="007C4480" w:rsidRDefault="0015628F" w:rsidP="00C814EF">
            <w:pPr>
              <w:ind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480">
              <w:rPr>
                <w:rFonts w:ascii="Times New Roman" w:hAnsi="Times New Roman" w:cs="Times New Roman"/>
                <w:sz w:val="24"/>
                <w:szCs w:val="24"/>
              </w:rPr>
              <w:t>939,3</w:t>
            </w:r>
          </w:p>
        </w:tc>
        <w:tc>
          <w:tcPr>
            <w:tcW w:w="1701" w:type="dxa"/>
          </w:tcPr>
          <w:p w:rsidR="0015628F" w:rsidRPr="007C4480" w:rsidRDefault="0015628F" w:rsidP="00C814EF">
            <w:pPr>
              <w:ind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480">
              <w:rPr>
                <w:rFonts w:ascii="Times New Roman" w:hAnsi="Times New Roman" w:cs="Times New Roman"/>
                <w:sz w:val="24"/>
                <w:szCs w:val="24"/>
              </w:rPr>
              <w:t>954,6</w:t>
            </w:r>
          </w:p>
        </w:tc>
        <w:tc>
          <w:tcPr>
            <w:tcW w:w="2369" w:type="dxa"/>
          </w:tcPr>
          <w:p w:rsidR="0015628F" w:rsidRPr="007C4480" w:rsidRDefault="0015628F" w:rsidP="00C814EF">
            <w:pPr>
              <w:ind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480">
              <w:rPr>
                <w:rFonts w:ascii="Times New Roman" w:hAnsi="Times New Roman" w:cs="Times New Roman"/>
                <w:sz w:val="24"/>
                <w:szCs w:val="24"/>
              </w:rPr>
              <w:t>1056,2</w:t>
            </w:r>
          </w:p>
        </w:tc>
      </w:tr>
      <w:tr w:rsidR="0015628F" w:rsidRPr="007C4480" w:rsidTr="007C4480">
        <w:trPr>
          <w:trHeight w:val="20"/>
        </w:trPr>
        <w:tc>
          <w:tcPr>
            <w:tcW w:w="3827" w:type="dxa"/>
          </w:tcPr>
          <w:p w:rsidR="0015628F" w:rsidRPr="007C4480" w:rsidRDefault="0015628F" w:rsidP="00C814EF">
            <w:pPr>
              <w:ind w:right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480">
              <w:rPr>
                <w:rFonts w:ascii="Times New Roman" w:hAnsi="Times New Roman" w:cs="Times New Roman"/>
                <w:sz w:val="24"/>
                <w:szCs w:val="24"/>
              </w:rPr>
              <w:t>5. прибыль до налогообложения</w:t>
            </w:r>
          </w:p>
        </w:tc>
        <w:tc>
          <w:tcPr>
            <w:tcW w:w="1418" w:type="dxa"/>
          </w:tcPr>
          <w:p w:rsidR="0015628F" w:rsidRPr="007C4480" w:rsidRDefault="0015628F" w:rsidP="00C814EF">
            <w:pPr>
              <w:ind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480">
              <w:rPr>
                <w:rFonts w:ascii="Times New Roman" w:hAnsi="Times New Roman" w:cs="Times New Roman"/>
                <w:sz w:val="24"/>
                <w:szCs w:val="24"/>
              </w:rPr>
              <w:t>374,2</w:t>
            </w:r>
          </w:p>
        </w:tc>
        <w:tc>
          <w:tcPr>
            <w:tcW w:w="1701" w:type="dxa"/>
          </w:tcPr>
          <w:p w:rsidR="0015628F" w:rsidRPr="007C4480" w:rsidRDefault="0015628F" w:rsidP="00C814EF">
            <w:pPr>
              <w:ind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480">
              <w:rPr>
                <w:rFonts w:ascii="Times New Roman" w:hAnsi="Times New Roman" w:cs="Times New Roman"/>
                <w:sz w:val="24"/>
                <w:szCs w:val="24"/>
              </w:rPr>
              <w:t>331,2</w:t>
            </w:r>
          </w:p>
        </w:tc>
        <w:tc>
          <w:tcPr>
            <w:tcW w:w="2369" w:type="dxa"/>
          </w:tcPr>
          <w:p w:rsidR="0015628F" w:rsidRPr="007C4480" w:rsidRDefault="0015628F" w:rsidP="00C814EF">
            <w:pPr>
              <w:ind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480">
              <w:rPr>
                <w:rFonts w:ascii="Times New Roman" w:hAnsi="Times New Roman" w:cs="Times New Roman"/>
                <w:sz w:val="24"/>
                <w:szCs w:val="24"/>
              </w:rPr>
              <w:t>487,3</w:t>
            </w:r>
          </w:p>
        </w:tc>
      </w:tr>
      <w:tr w:rsidR="0015628F" w:rsidRPr="007C4480" w:rsidTr="007C4480">
        <w:trPr>
          <w:trHeight w:val="20"/>
        </w:trPr>
        <w:tc>
          <w:tcPr>
            <w:tcW w:w="3827" w:type="dxa"/>
          </w:tcPr>
          <w:p w:rsidR="0015628F" w:rsidRPr="007C4480" w:rsidRDefault="0015628F" w:rsidP="00C814EF">
            <w:pPr>
              <w:ind w:right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480">
              <w:rPr>
                <w:rFonts w:ascii="Times New Roman" w:hAnsi="Times New Roman" w:cs="Times New Roman"/>
                <w:sz w:val="24"/>
                <w:szCs w:val="24"/>
              </w:rPr>
              <w:t>6. чистая прибыль</w:t>
            </w:r>
          </w:p>
        </w:tc>
        <w:tc>
          <w:tcPr>
            <w:tcW w:w="1418" w:type="dxa"/>
          </w:tcPr>
          <w:p w:rsidR="0015628F" w:rsidRPr="007C4480" w:rsidRDefault="0015628F" w:rsidP="00C814EF">
            <w:pPr>
              <w:ind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480">
              <w:rPr>
                <w:rFonts w:ascii="Times New Roman" w:hAnsi="Times New Roman" w:cs="Times New Roman"/>
                <w:sz w:val="24"/>
                <w:szCs w:val="24"/>
              </w:rPr>
              <w:t>222,9</w:t>
            </w:r>
          </w:p>
        </w:tc>
        <w:tc>
          <w:tcPr>
            <w:tcW w:w="1701" w:type="dxa"/>
          </w:tcPr>
          <w:p w:rsidR="0015628F" w:rsidRPr="007C4480" w:rsidRDefault="0015628F" w:rsidP="00C814EF">
            <w:pPr>
              <w:ind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480">
              <w:rPr>
                <w:rFonts w:ascii="Times New Roman" w:hAnsi="Times New Roman" w:cs="Times New Roman"/>
                <w:sz w:val="24"/>
                <w:szCs w:val="24"/>
              </w:rPr>
              <w:t>290,3</w:t>
            </w:r>
          </w:p>
        </w:tc>
        <w:tc>
          <w:tcPr>
            <w:tcW w:w="2369" w:type="dxa"/>
          </w:tcPr>
          <w:p w:rsidR="0015628F" w:rsidRPr="007C4480" w:rsidRDefault="0015628F" w:rsidP="00C814EF">
            <w:pPr>
              <w:ind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480">
              <w:rPr>
                <w:rFonts w:ascii="Times New Roman" w:hAnsi="Times New Roman" w:cs="Times New Roman"/>
                <w:sz w:val="24"/>
                <w:szCs w:val="24"/>
              </w:rPr>
              <w:t>376,6</w:t>
            </w:r>
          </w:p>
        </w:tc>
      </w:tr>
    </w:tbl>
    <w:p w:rsidR="00DB5FFE" w:rsidRPr="00104228" w:rsidRDefault="00DB5FFE" w:rsidP="00C814EF">
      <w:pPr>
        <w:spacing w:after="0" w:line="240" w:lineRule="auto"/>
        <w:ind w:righ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4228">
        <w:rPr>
          <w:rFonts w:ascii="Times New Roman" w:hAnsi="Times New Roman" w:cs="Times New Roman"/>
          <w:sz w:val="28"/>
          <w:szCs w:val="28"/>
        </w:rPr>
        <w:t>По данным таблицы процентный доход за 2015 год увеличился на 441,7 млрд. руб.</w:t>
      </w:r>
      <w:r w:rsidR="00382EE7" w:rsidRPr="00104228">
        <w:rPr>
          <w:rFonts w:ascii="Times New Roman" w:hAnsi="Times New Roman" w:cs="Times New Roman"/>
          <w:sz w:val="28"/>
          <w:szCs w:val="28"/>
        </w:rPr>
        <w:t xml:space="preserve"> и составил 2279,6 млрд. руб. За 9 месяцев 2016г. процен</w:t>
      </w:r>
      <w:r w:rsidR="00417405" w:rsidRPr="00104228">
        <w:rPr>
          <w:rFonts w:ascii="Times New Roman" w:hAnsi="Times New Roman" w:cs="Times New Roman"/>
          <w:sz w:val="28"/>
          <w:szCs w:val="28"/>
        </w:rPr>
        <w:t>т</w:t>
      </w:r>
      <w:r w:rsidR="00417405" w:rsidRPr="00104228">
        <w:rPr>
          <w:rFonts w:ascii="Times New Roman" w:hAnsi="Times New Roman" w:cs="Times New Roman"/>
          <w:sz w:val="28"/>
          <w:szCs w:val="28"/>
        </w:rPr>
        <w:t>ный доход составил 2281,5 млрд</w:t>
      </w:r>
      <w:r w:rsidR="00382EE7" w:rsidRPr="00104228">
        <w:rPr>
          <w:rFonts w:ascii="Times New Roman" w:hAnsi="Times New Roman" w:cs="Times New Roman"/>
          <w:sz w:val="28"/>
          <w:szCs w:val="28"/>
        </w:rPr>
        <w:t>. руб., что на 1,9 млрд</w:t>
      </w:r>
      <w:r w:rsidR="00417405" w:rsidRPr="00104228">
        <w:rPr>
          <w:rFonts w:ascii="Times New Roman" w:hAnsi="Times New Roman" w:cs="Times New Roman"/>
          <w:sz w:val="28"/>
          <w:szCs w:val="28"/>
        </w:rPr>
        <w:t>.</w:t>
      </w:r>
      <w:r w:rsidR="00382EE7" w:rsidRPr="00104228">
        <w:rPr>
          <w:rFonts w:ascii="Times New Roman" w:hAnsi="Times New Roman" w:cs="Times New Roman"/>
          <w:sz w:val="28"/>
          <w:szCs w:val="28"/>
        </w:rPr>
        <w:t xml:space="preserve"> руб. выше аналоги</w:t>
      </w:r>
      <w:r w:rsidR="00382EE7" w:rsidRPr="00104228">
        <w:rPr>
          <w:rFonts w:ascii="Times New Roman" w:hAnsi="Times New Roman" w:cs="Times New Roman"/>
          <w:sz w:val="28"/>
          <w:szCs w:val="28"/>
        </w:rPr>
        <w:t>ч</w:t>
      </w:r>
      <w:r w:rsidR="00382EE7" w:rsidRPr="00104228">
        <w:rPr>
          <w:rFonts w:ascii="Times New Roman" w:hAnsi="Times New Roman" w:cs="Times New Roman"/>
          <w:sz w:val="28"/>
          <w:szCs w:val="28"/>
        </w:rPr>
        <w:t>ного показателя за 2015 г.</w:t>
      </w:r>
      <w:r w:rsidR="004A39CF" w:rsidRPr="00104228">
        <w:rPr>
          <w:rFonts w:ascii="Times New Roman" w:hAnsi="Times New Roman" w:cs="Times New Roman"/>
          <w:sz w:val="28"/>
          <w:szCs w:val="28"/>
        </w:rPr>
        <w:t xml:space="preserve">, и </w:t>
      </w:r>
      <w:proofErr w:type="gramStart"/>
      <w:r w:rsidRPr="00104228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="002426EC" w:rsidRPr="00104228">
        <w:rPr>
          <w:rFonts w:ascii="Times New Roman" w:hAnsi="Times New Roman" w:cs="Times New Roman"/>
          <w:sz w:val="28"/>
          <w:szCs w:val="28"/>
        </w:rPr>
        <w:t xml:space="preserve"> -</w:t>
      </w:r>
      <w:r w:rsidR="00382EE7" w:rsidRPr="00104228">
        <w:rPr>
          <w:rFonts w:ascii="Times New Roman" w:hAnsi="Times New Roman" w:cs="Times New Roman"/>
          <w:sz w:val="28"/>
          <w:szCs w:val="28"/>
        </w:rPr>
        <w:t xml:space="preserve"> 443,6 млрд</w:t>
      </w:r>
      <w:r w:rsidR="00417405" w:rsidRPr="00104228">
        <w:rPr>
          <w:rFonts w:ascii="Times New Roman" w:hAnsi="Times New Roman" w:cs="Times New Roman"/>
          <w:sz w:val="28"/>
          <w:szCs w:val="28"/>
        </w:rPr>
        <w:t>.</w:t>
      </w:r>
      <w:r w:rsidR="00382EE7" w:rsidRPr="00104228">
        <w:rPr>
          <w:rFonts w:ascii="Times New Roman" w:hAnsi="Times New Roman" w:cs="Times New Roman"/>
          <w:sz w:val="28"/>
          <w:szCs w:val="28"/>
        </w:rPr>
        <w:t xml:space="preserve"> за 2014г. </w:t>
      </w:r>
      <w:r w:rsidRPr="00104228">
        <w:rPr>
          <w:rFonts w:ascii="Times New Roman" w:hAnsi="Times New Roman" w:cs="Times New Roman"/>
          <w:sz w:val="28"/>
          <w:szCs w:val="28"/>
        </w:rPr>
        <w:t xml:space="preserve">  </w:t>
      </w:r>
      <w:r w:rsidR="00417405" w:rsidRPr="00104228">
        <w:rPr>
          <w:rFonts w:ascii="Times New Roman" w:hAnsi="Times New Roman" w:cs="Times New Roman"/>
          <w:sz w:val="28"/>
          <w:szCs w:val="28"/>
        </w:rPr>
        <w:t>К</w:t>
      </w:r>
      <w:r w:rsidR="0044763A" w:rsidRPr="00104228">
        <w:rPr>
          <w:rFonts w:ascii="Times New Roman" w:hAnsi="Times New Roman" w:cs="Times New Roman"/>
          <w:sz w:val="28"/>
          <w:szCs w:val="28"/>
        </w:rPr>
        <w:t>омиссионные</w:t>
      </w:r>
      <w:r w:rsidRPr="00104228">
        <w:rPr>
          <w:rFonts w:ascii="Times New Roman" w:hAnsi="Times New Roman" w:cs="Times New Roman"/>
          <w:sz w:val="28"/>
          <w:szCs w:val="28"/>
        </w:rPr>
        <w:t xml:space="preserve"> д</w:t>
      </w:r>
      <w:r w:rsidRPr="00104228">
        <w:rPr>
          <w:rFonts w:ascii="Times New Roman" w:hAnsi="Times New Roman" w:cs="Times New Roman"/>
          <w:sz w:val="28"/>
          <w:szCs w:val="28"/>
        </w:rPr>
        <w:t>о</w:t>
      </w:r>
      <w:r w:rsidRPr="00104228">
        <w:rPr>
          <w:rFonts w:ascii="Times New Roman" w:hAnsi="Times New Roman" w:cs="Times New Roman"/>
          <w:sz w:val="28"/>
          <w:szCs w:val="28"/>
        </w:rPr>
        <w:t>ход</w:t>
      </w:r>
      <w:r w:rsidR="0044763A" w:rsidRPr="00104228">
        <w:rPr>
          <w:rFonts w:ascii="Times New Roman" w:hAnsi="Times New Roman" w:cs="Times New Roman"/>
          <w:sz w:val="28"/>
          <w:szCs w:val="28"/>
        </w:rPr>
        <w:t>ы</w:t>
      </w:r>
      <w:r w:rsidRPr="00104228">
        <w:rPr>
          <w:rFonts w:ascii="Times New Roman" w:hAnsi="Times New Roman" w:cs="Times New Roman"/>
          <w:sz w:val="28"/>
          <w:szCs w:val="28"/>
        </w:rPr>
        <w:t xml:space="preserve"> за </w:t>
      </w:r>
      <w:r w:rsidR="00417405" w:rsidRPr="00104228">
        <w:rPr>
          <w:rFonts w:ascii="Times New Roman" w:hAnsi="Times New Roman" w:cs="Times New Roman"/>
          <w:sz w:val="28"/>
          <w:szCs w:val="28"/>
        </w:rPr>
        <w:t xml:space="preserve">9 месяцев </w:t>
      </w:r>
      <w:r w:rsidRPr="00104228">
        <w:rPr>
          <w:rFonts w:ascii="Times New Roman" w:hAnsi="Times New Roman" w:cs="Times New Roman"/>
          <w:sz w:val="28"/>
          <w:szCs w:val="28"/>
        </w:rPr>
        <w:t>201</w:t>
      </w:r>
      <w:r w:rsidR="00417405" w:rsidRPr="00104228">
        <w:rPr>
          <w:rFonts w:ascii="Times New Roman" w:hAnsi="Times New Roman" w:cs="Times New Roman"/>
          <w:sz w:val="28"/>
          <w:szCs w:val="28"/>
        </w:rPr>
        <w:t>6</w:t>
      </w:r>
      <w:r w:rsidRPr="00104228">
        <w:rPr>
          <w:rFonts w:ascii="Times New Roman" w:hAnsi="Times New Roman" w:cs="Times New Roman"/>
          <w:sz w:val="28"/>
          <w:szCs w:val="28"/>
        </w:rPr>
        <w:t xml:space="preserve"> год увеличился на </w:t>
      </w:r>
      <w:r w:rsidR="00417405" w:rsidRPr="00104228">
        <w:rPr>
          <w:rFonts w:ascii="Times New Roman" w:hAnsi="Times New Roman" w:cs="Times New Roman"/>
          <w:sz w:val="28"/>
          <w:szCs w:val="28"/>
        </w:rPr>
        <w:t xml:space="preserve">57,9 млрд. руб. </w:t>
      </w:r>
      <w:r w:rsidRPr="00104228">
        <w:rPr>
          <w:rFonts w:ascii="Times New Roman" w:hAnsi="Times New Roman" w:cs="Times New Roman"/>
          <w:sz w:val="28"/>
          <w:szCs w:val="28"/>
        </w:rPr>
        <w:t>и составил</w:t>
      </w:r>
      <w:r w:rsidR="002426EC" w:rsidRPr="00104228">
        <w:rPr>
          <w:rFonts w:ascii="Times New Roman" w:hAnsi="Times New Roman" w:cs="Times New Roman"/>
          <w:sz w:val="28"/>
          <w:szCs w:val="28"/>
        </w:rPr>
        <w:t>и</w:t>
      </w:r>
      <w:r w:rsidRPr="00104228">
        <w:rPr>
          <w:rFonts w:ascii="Times New Roman" w:hAnsi="Times New Roman" w:cs="Times New Roman"/>
          <w:sz w:val="28"/>
          <w:szCs w:val="28"/>
        </w:rPr>
        <w:t xml:space="preserve"> </w:t>
      </w:r>
      <w:r w:rsidR="00417405" w:rsidRPr="00104228">
        <w:rPr>
          <w:rFonts w:ascii="Times New Roman" w:hAnsi="Times New Roman" w:cs="Times New Roman"/>
          <w:sz w:val="28"/>
          <w:szCs w:val="28"/>
        </w:rPr>
        <w:t xml:space="preserve">442,0 </w:t>
      </w:r>
      <w:r w:rsidRPr="00104228">
        <w:rPr>
          <w:rFonts w:ascii="Times New Roman" w:hAnsi="Times New Roman" w:cs="Times New Roman"/>
          <w:sz w:val="28"/>
          <w:szCs w:val="28"/>
        </w:rPr>
        <w:t xml:space="preserve">млрд. руб. по сравнению с </w:t>
      </w:r>
      <w:r w:rsidR="00417405" w:rsidRPr="00104228">
        <w:rPr>
          <w:rFonts w:ascii="Times New Roman" w:hAnsi="Times New Roman" w:cs="Times New Roman"/>
          <w:sz w:val="28"/>
          <w:szCs w:val="28"/>
        </w:rPr>
        <w:t>384,1</w:t>
      </w:r>
      <w:r w:rsidRPr="00104228">
        <w:rPr>
          <w:rFonts w:ascii="Times New Roman" w:hAnsi="Times New Roman" w:cs="Times New Roman"/>
          <w:sz w:val="28"/>
          <w:szCs w:val="28"/>
        </w:rPr>
        <w:t xml:space="preserve"> млрд. руб. за 201</w:t>
      </w:r>
      <w:r w:rsidR="00417405" w:rsidRPr="00104228">
        <w:rPr>
          <w:rFonts w:ascii="Times New Roman" w:hAnsi="Times New Roman" w:cs="Times New Roman"/>
          <w:sz w:val="28"/>
          <w:szCs w:val="28"/>
        </w:rPr>
        <w:t>5</w:t>
      </w:r>
      <w:r w:rsidRPr="00104228">
        <w:rPr>
          <w:rFonts w:ascii="Times New Roman" w:hAnsi="Times New Roman" w:cs="Times New Roman"/>
          <w:sz w:val="28"/>
          <w:szCs w:val="28"/>
        </w:rPr>
        <w:t xml:space="preserve"> год, </w:t>
      </w:r>
      <w:r w:rsidR="00417405" w:rsidRPr="00104228">
        <w:rPr>
          <w:rFonts w:ascii="Times New Roman" w:hAnsi="Times New Roman" w:cs="Times New Roman"/>
          <w:sz w:val="28"/>
          <w:szCs w:val="28"/>
        </w:rPr>
        <w:t xml:space="preserve">а по сравнению с </w:t>
      </w:r>
      <w:r w:rsidRPr="00104228">
        <w:rPr>
          <w:rFonts w:ascii="Times New Roman" w:hAnsi="Times New Roman" w:cs="Times New Roman"/>
          <w:sz w:val="28"/>
          <w:szCs w:val="28"/>
        </w:rPr>
        <w:t>2014 г</w:t>
      </w:r>
      <w:r w:rsidR="00417405" w:rsidRPr="00104228">
        <w:rPr>
          <w:rFonts w:ascii="Times New Roman" w:hAnsi="Times New Roman" w:cs="Times New Roman"/>
          <w:sz w:val="28"/>
          <w:szCs w:val="28"/>
        </w:rPr>
        <w:t>.</w:t>
      </w:r>
      <w:r w:rsidRPr="00104228">
        <w:rPr>
          <w:rFonts w:ascii="Times New Roman" w:hAnsi="Times New Roman" w:cs="Times New Roman"/>
          <w:sz w:val="28"/>
          <w:szCs w:val="28"/>
        </w:rPr>
        <w:t xml:space="preserve"> увеличился </w:t>
      </w:r>
      <w:r w:rsidR="00417405" w:rsidRPr="00104228">
        <w:rPr>
          <w:rFonts w:ascii="Times New Roman" w:hAnsi="Times New Roman" w:cs="Times New Roman"/>
          <w:sz w:val="28"/>
          <w:szCs w:val="28"/>
        </w:rPr>
        <w:t>на 135,6 млрд</w:t>
      </w:r>
      <w:r w:rsidR="008E1F8A" w:rsidRPr="00104228">
        <w:rPr>
          <w:rFonts w:ascii="Times New Roman" w:hAnsi="Times New Roman" w:cs="Times New Roman"/>
          <w:sz w:val="28"/>
          <w:szCs w:val="28"/>
        </w:rPr>
        <w:t>.</w:t>
      </w:r>
      <w:r w:rsidR="00417405" w:rsidRPr="00104228">
        <w:rPr>
          <w:rFonts w:ascii="Times New Roman" w:hAnsi="Times New Roman" w:cs="Times New Roman"/>
          <w:sz w:val="28"/>
          <w:szCs w:val="28"/>
        </w:rPr>
        <w:t xml:space="preserve"> руб. </w:t>
      </w:r>
    </w:p>
    <w:p w:rsidR="000C70D1" w:rsidRPr="00104228" w:rsidRDefault="000C70D1" w:rsidP="00C814EF">
      <w:pPr>
        <w:spacing w:after="0" w:line="240" w:lineRule="auto"/>
        <w:ind w:righ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4228">
        <w:rPr>
          <w:rFonts w:ascii="Times New Roman" w:hAnsi="Times New Roman" w:cs="Times New Roman"/>
          <w:sz w:val="28"/>
          <w:szCs w:val="28"/>
        </w:rPr>
        <w:t xml:space="preserve">Доходы от валютной переоценки и других торговых операций за 2016г. составили 14,1 млрд. руб. Данный показатель за 2015г. составил 831 млрд. руб. что было связано с резкими колебаниями курсов иностранных валют по отношению к рублю.  </w:t>
      </w:r>
    </w:p>
    <w:p w:rsidR="00DB5FFE" w:rsidRPr="00104228" w:rsidRDefault="00DB5FFE" w:rsidP="00C814EF">
      <w:pPr>
        <w:spacing w:after="0" w:line="240" w:lineRule="auto"/>
        <w:ind w:righ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4228">
        <w:rPr>
          <w:rFonts w:ascii="Times New Roman" w:hAnsi="Times New Roman" w:cs="Times New Roman"/>
          <w:sz w:val="28"/>
          <w:szCs w:val="28"/>
        </w:rPr>
        <w:t>Операционные доходы увеличились на</w:t>
      </w:r>
      <w:r w:rsidR="0044763A" w:rsidRPr="00104228">
        <w:rPr>
          <w:rFonts w:ascii="Times New Roman" w:hAnsi="Times New Roman" w:cs="Times New Roman"/>
          <w:sz w:val="28"/>
          <w:szCs w:val="28"/>
        </w:rPr>
        <w:t xml:space="preserve"> 101,6 млрд. руб., </w:t>
      </w:r>
      <w:r w:rsidRPr="00104228">
        <w:rPr>
          <w:rFonts w:ascii="Times New Roman" w:hAnsi="Times New Roman" w:cs="Times New Roman"/>
          <w:sz w:val="28"/>
          <w:szCs w:val="28"/>
        </w:rPr>
        <w:t xml:space="preserve">составив </w:t>
      </w:r>
      <w:r w:rsidR="0044763A" w:rsidRPr="00104228">
        <w:rPr>
          <w:rFonts w:ascii="Times New Roman" w:hAnsi="Times New Roman" w:cs="Times New Roman"/>
          <w:sz w:val="28"/>
          <w:szCs w:val="28"/>
        </w:rPr>
        <w:t>1056,2</w:t>
      </w:r>
      <w:r w:rsidRPr="00104228">
        <w:rPr>
          <w:rFonts w:ascii="Times New Roman" w:hAnsi="Times New Roman" w:cs="Times New Roman"/>
          <w:sz w:val="28"/>
          <w:szCs w:val="28"/>
        </w:rPr>
        <w:t xml:space="preserve"> млрд. руб. в сравнении с </w:t>
      </w:r>
      <w:r w:rsidR="0044763A" w:rsidRPr="00104228">
        <w:rPr>
          <w:rFonts w:ascii="Times New Roman" w:hAnsi="Times New Roman" w:cs="Times New Roman"/>
          <w:sz w:val="28"/>
          <w:szCs w:val="28"/>
        </w:rPr>
        <w:t>954,6</w:t>
      </w:r>
      <w:r w:rsidRPr="00104228">
        <w:rPr>
          <w:rFonts w:ascii="Times New Roman" w:hAnsi="Times New Roman" w:cs="Times New Roman"/>
          <w:sz w:val="28"/>
          <w:szCs w:val="28"/>
        </w:rPr>
        <w:t xml:space="preserve"> млрд. руб. за 201</w:t>
      </w:r>
      <w:r w:rsidR="0044763A" w:rsidRPr="00104228">
        <w:rPr>
          <w:rFonts w:ascii="Times New Roman" w:hAnsi="Times New Roman" w:cs="Times New Roman"/>
          <w:sz w:val="28"/>
          <w:szCs w:val="28"/>
        </w:rPr>
        <w:t>5</w:t>
      </w:r>
      <w:r w:rsidRPr="00104228">
        <w:rPr>
          <w:rFonts w:ascii="Times New Roman" w:hAnsi="Times New Roman" w:cs="Times New Roman"/>
          <w:sz w:val="28"/>
          <w:szCs w:val="28"/>
        </w:rPr>
        <w:t xml:space="preserve"> год, а</w:t>
      </w:r>
      <w:r w:rsidR="0044763A" w:rsidRPr="00104228">
        <w:rPr>
          <w:rFonts w:ascii="Times New Roman" w:hAnsi="Times New Roman" w:cs="Times New Roman"/>
          <w:sz w:val="28"/>
          <w:szCs w:val="28"/>
        </w:rPr>
        <w:t xml:space="preserve"> в сравнении с  2014</w:t>
      </w:r>
      <w:r w:rsidRPr="00104228">
        <w:rPr>
          <w:rFonts w:ascii="Times New Roman" w:hAnsi="Times New Roman" w:cs="Times New Roman"/>
          <w:sz w:val="28"/>
          <w:szCs w:val="28"/>
        </w:rPr>
        <w:t xml:space="preserve"> год</w:t>
      </w:r>
      <w:r w:rsidR="0044763A" w:rsidRPr="00104228">
        <w:rPr>
          <w:rFonts w:ascii="Times New Roman" w:hAnsi="Times New Roman" w:cs="Times New Roman"/>
          <w:sz w:val="28"/>
          <w:szCs w:val="28"/>
        </w:rPr>
        <w:t>ом</w:t>
      </w:r>
      <w:r w:rsidRPr="00104228">
        <w:rPr>
          <w:rFonts w:ascii="Times New Roman" w:hAnsi="Times New Roman" w:cs="Times New Roman"/>
          <w:sz w:val="28"/>
          <w:szCs w:val="28"/>
        </w:rPr>
        <w:t xml:space="preserve"> </w:t>
      </w:r>
      <w:r w:rsidR="0044763A" w:rsidRPr="00104228">
        <w:rPr>
          <w:rFonts w:ascii="Times New Roman" w:hAnsi="Times New Roman" w:cs="Times New Roman"/>
          <w:sz w:val="28"/>
          <w:szCs w:val="28"/>
        </w:rPr>
        <w:t>рост составил 116,9 млрд. руб</w:t>
      </w:r>
      <w:r w:rsidRPr="00104228">
        <w:rPr>
          <w:rFonts w:ascii="Times New Roman" w:hAnsi="Times New Roman" w:cs="Times New Roman"/>
          <w:sz w:val="28"/>
          <w:szCs w:val="28"/>
        </w:rPr>
        <w:t>.</w:t>
      </w:r>
    </w:p>
    <w:p w:rsidR="006F326E" w:rsidRPr="00104228" w:rsidRDefault="006F326E" w:rsidP="00C814EF">
      <w:pPr>
        <w:spacing w:after="0" w:line="240" w:lineRule="auto"/>
        <w:ind w:righ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4228">
        <w:rPr>
          <w:rFonts w:ascii="Times New Roman" w:hAnsi="Times New Roman" w:cs="Times New Roman"/>
          <w:sz w:val="28"/>
          <w:szCs w:val="28"/>
        </w:rPr>
        <w:t>Показатель прибыль до налогообложения за 9 месяцев 2016 г. сост</w:t>
      </w:r>
      <w:r w:rsidRPr="00104228">
        <w:rPr>
          <w:rFonts w:ascii="Times New Roman" w:hAnsi="Times New Roman" w:cs="Times New Roman"/>
          <w:sz w:val="28"/>
          <w:szCs w:val="28"/>
        </w:rPr>
        <w:t>а</w:t>
      </w:r>
      <w:r w:rsidRPr="00104228">
        <w:rPr>
          <w:rFonts w:ascii="Times New Roman" w:hAnsi="Times New Roman" w:cs="Times New Roman"/>
          <w:sz w:val="28"/>
          <w:szCs w:val="28"/>
        </w:rPr>
        <w:t>вил 487,3 млрд. руб. что на 156,1 млрд. руб. больше аналогичного показат</w:t>
      </w:r>
      <w:r w:rsidRPr="00104228">
        <w:rPr>
          <w:rFonts w:ascii="Times New Roman" w:hAnsi="Times New Roman" w:cs="Times New Roman"/>
          <w:sz w:val="28"/>
          <w:szCs w:val="28"/>
        </w:rPr>
        <w:t>е</w:t>
      </w:r>
      <w:r w:rsidRPr="00104228">
        <w:rPr>
          <w:rFonts w:ascii="Times New Roman" w:hAnsi="Times New Roman" w:cs="Times New Roman"/>
          <w:sz w:val="28"/>
          <w:szCs w:val="28"/>
        </w:rPr>
        <w:t>ля за 2015г. Причин</w:t>
      </w:r>
      <w:r w:rsidR="00D23049" w:rsidRPr="00104228">
        <w:rPr>
          <w:rFonts w:ascii="Times New Roman" w:hAnsi="Times New Roman" w:cs="Times New Roman"/>
          <w:sz w:val="28"/>
          <w:szCs w:val="28"/>
        </w:rPr>
        <w:t>ами</w:t>
      </w:r>
      <w:r w:rsidRPr="00104228">
        <w:rPr>
          <w:rFonts w:ascii="Times New Roman" w:hAnsi="Times New Roman" w:cs="Times New Roman"/>
          <w:sz w:val="28"/>
          <w:szCs w:val="28"/>
        </w:rPr>
        <w:t xml:space="preserve"> уменьшения прибыли</w:t>
      </w:r>
      <w:r w:rsidR="00D23049" w:rsidRPr="00104228">
        <w:rPr>
          <w:rFonts w:ascii="Times New Roman" w:hAnsi="Times New Roman" w:cs="Times New Roman"/>
          <w:sz w:val="28"/>
          <w:szCs w:val="28"/>
        </w:rPr>
        <w:t xml:space="preserve"> до налогообложения в </w:t>
      </w:r>
      <w:r w:rsidRPr="00104228">
        <w:rPr>
          <w:rFonts w:ascii="Times New Roman" w:hAnsi="Times New Roman" w:cs="Times New Roman"/>
          <w:sz w:val="28"/>
          <w:szCs w:val="28"/>
        </w:rPr>
        <w:t xml:space="preserve"> </w:t>
      </w:r>
      <w:r w:rsidR="00D23049" w:rsidRPr="00104228">
        <w:rPr>
          <w:rFonts w:ascii="Times New Roman" w:hAnsi="Times New Roman" w:cs="Times New Roman"/>
          <w:sz w:val="28"/>
          <w:szCs w:val="28"/>
        </w:rPr>
        <w:t xml:space="preserve">2015г. </w:t>
      </w:r>
      <w:r w:rsidRPr="00104228">
        <w:rPr>
          <w:rFonts w:ascii="Times New Roman" w:hAnsi="Times New Roman" w:cs="Times New Roman"/>
          <w:sz w:val="28"/>
          <w:szCs w:val="28"/>
        </w:rPr>
        <w:t>стали несколько факторов: колебание курс</w:t>
      </w:r>
      <w:r w:rsidR="00E7029D" w:rsidRPr="00104228">
        <w:rPr>
          <w:rFonts w:ascii="Times New Roman" w:hAnsi="Times New Roman" w:cs="Times New Roman"/>
          <w:sz w:val="28"/>
          <w:szCs w:val="28"/>
        </w:rPr>
        <w:t>а национальной валюты, рост</w:t>
      </w:r>
      <w:r w:rsidRPr="00104228">
        <w:rPr>
          <w:rFonts w:ascii="Times New Roman" w:hAnsi="Times New Roman" w:cs="Times New Roman"/>
          <w:sz w:val="28"/>
          <w:szCs w:val="28"/>
        </w:rPr>
        <w:t xml:space="preserve"> </w:t>
      </w:r>
      <w:r w:rsidR="00D23049" w:rsidRPr="00104228">
        <w:rPr>
          <w:rFonts w:ascii="Times New Roman" w:hAnsi="Times New Roman" w:cs="Times New Roman"/>
          <w:sz w:val="28"/>
          <w:szCs w:val="28"/>
        </w:rPr>
        <w:t xml:space="preserve"> </w:t>
      </w:r>
      <w:r w:rsidRPr="00104228">
        <w:rPr>
          <w:rFonts w:ascii="Times New Roman" w:hAnsi="Times New Roman" w:cs="Times New Roman"/>
          <w:sz w:val="28"/>
          <w:szCs w:val="28"/>
        </w:rPr>
        <w:t>инфляции и проводим</w:t>
      </w:r>
      <w:r w:rsidR="00E7029D" w:rsidRPr="00104228">
        <w:rPr>
          <w:rFonts w:ascii="Times New Roman" w:hAnsi="Times New Roman" w:cs="Times New Roman"/>
          <w:sz w:val="28"/>
          <w:szCs w:val="28"/>
        </w:rPr>
        <w:t>ая</w:t>
      </w:r>
      <w:r w:rsidRPr="00104228">
        <w:rPr>
          <w:rFonts w:ascii="Times New Roman" w:hAnsi="Times New Roman" w:cs="Times New Roman"/>
          <w:sz w:val="28"/>
          <w:szCs w:val="28"/>
        </w:rPr>
        <w:t xml:space="preserve"> Банком России </w:t>
      </w:r>
      <w:r w:rsidR="00E7029D" w:rsidRPr="00104228">
        <w:rPr>
          <w:rFonts w:ascii="Times New Roman" w:hAnsi="Times New Roman" w:cs="Times New Roman"/>
          <w:sz w:val="28"/>
          <w:szCs w:val="28"/>
        </w:rPr>
        <w:t>политика</w:t>
      </w:r>
      <w:r w:rsidRPr="00104228">
        <w:rPr>
          <w:rFonts w:ascii="Times New Roman" w:hAnsi="Times New Roman" w:cs="Times New Roman"/>
          <w:sz w:val="28"/>
          <w:szCs w:val="28"/>
        </w:rPr>
        <w:t xml:space="preserve"> по сдерживанию дал</w:t>
      </w:r>
      <w:r w:rsidRPr="00104228">
        <w:rPr>
          <w:rFonts w:ascii="Times New Roman" w:hAnsi="Times New Roman" w:cs="Times New Roman"/>
          <w:sz w:val="28"/>
          <w:szCs w:val="28"/>
        </w:rPr>
        <w:t>ь</w:t>
      </w:r>
      <w:r w:rsidRPr="00104228">
        <w:rPr>
          <w:rFonts w:ascii="Times New Roman" w:hAnsi="Times New Roman" w:cs="Times New Roman"/>
          <w:sz w:val="28"/>
          <w:szCs w:val="28"/>
        </w:rPr>
        <w:t xml:space="preserve">нейшего роста инфляции. Вследствие чего было ограничено кредитование населения и предприятие.  </w:t>
      </w:r>
    </w:p>
    <w:p w:rsidR="00DB5FFE" w:rsidRPr="00104228" w:rsidRDefault="00DB5FFE" w:rsidP="00C814EF">
      <w:pPr>
        <w:spacing w:after="0" w:line="240" w:lineRule="auto"/>
        <w:ind w:righ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4228">
        <w:rPr>
          <w:rFonts w:ascii="Times New Roman" w:hAnsi="Times New Roman" w:cs="Times New Roman"/>
          <w:sz w:val="28"/>
          <w:szCs w:val="28"/>
        </w:rPr>
        <w:t xml:space="preserve">Чистая прибыль </w:t>
      </w:r>
      <w:r w:rsidR="00904025" w:rsidRPr="00104228">
        <w:rPr>
          <w:rFonts w:ascii="Times New Roman" w:hAnsi="Times New Roman" w:cs="Times New Roman"/>
          <w:sz w:val="28"/>
          <w:szCs w:val="28"/>
        </w:rPr>
        <w:t>также</w:t>
      </w:r>
      <w:r w:rsidRPr="00104228">
        <w:rPr>
          <w:rFonts w:ascii="Times New Roman" w:hAnsi="Times New Roman" w:cs="Times New Roman"/>
          <w:sz w:val="28"/>
          <w:szCs w:val="28"/>
        </w:rPr>
        <w:t xml:space="preserve"> имеет тенденцию роста в период с 20</w:t>
      </w:r>
      <w:r w:rsidR="00904025" w:rsidRPr="00104228">
        <w:rPr>
          <w:rFonts w:ascii="Times New Roman" w:hAnsi="Times New Roman" w:cs="Times New Roman"/>
          <w:sz w:val="28"/>
          <w:szCs w:val="28"/>
        </w:rPr>
        <w:t>14</w:t>
      </w:r>
      <w:r w:rsidRPr="00104228">
        <w:rPr>
          <w:rFonts w:ascii="Times New Roman" w:hAnsi="Times New Roman" w:cs="Times New Roman"/>
          <w:sz w:val="28"/>
          <w:szCs w:val="28"/>
        </w:rPr>
        <w:t xml:space="preserve"> года по 201</w:t>
      </w:r>
      <w:r w:rsidR="00904025" w:rsidRPr="00104228">
        <w:rPr>
          <w:rFonts w:ascii="Times New Roman" w:hAnsi="Times New Roman" w:cs="Times New Roman"/>
          <w:sz w:val="28"/>
          <w:szCs w:val="28"/>
        </w:rPr>
        <w:t>6</w:t>
      </w:r>
      <w:r w:rsidRPr="00104228">
        <w:rPr>
          <w:rFonts w:ascii="Times New Roman" w:hAnsi="Times New Roman" w:cs="Times New Roman"/>
          <w:sz w:val="28"/>
          <w:szCs w:val="28"/>
        </w:rPr>
        <w:t xml:space="preserve"> год, </w:t>
      </w:r>
      <w:r w:rsidR="00904025" w:rsidRPr="00104228">
        <w:rPr>
          <w:rFonts w:ascii="Times New Roman" w:hAnsi="Times New Roman" w:cs="Times New Roman"/>
          <w:sz w:val="28"/>
          <w:szCs w:val="28"/>
        </w:rPr>
        <w:t xml:space="preserve">рост составил 86,3 млрд. Рост этого показателя </w:t>
      </w:r>
      <w:r w:rsidR="00D826D2" w:rsidRPr="00104228">
        <w:rPr>
          <w:rFonts w:ascii="Times New Roman" w:hAnsi="Times New Roman" w:cs="Times New Roman"/>
          <w:sz w:val="28"/>
          <w:szCs w:val="28"/>
        </w:rPr>
        <w:t>показывает,</w:t>
      </w:r>
      <w:r w:rsidR="00904025" w:rsidRPr="00104228">
        <w:rPr>
          <w:rFonts w:ascii="Times New Roman" w:hAnsi="Times New Roman" w:cs="Times New Roman"/>
          <w:sz w:val="28"/>
          <w:szCs w:val="28"/>
        </w:rPr>
        <w:t xml:space="preserve"> что в целом намечается тенденция роста по всем основным показателям, что п</w:t>
      </w:r>
      <w:r w:rsidR="00904025" w:rsidRPr="00104228">
        <w:rPr>
          <w:rFonts w:ascii="Times New Roman" w:hAnsi="Times New Roman" w:cs="Times New Roman"/>
          <w:sz w:val="28"/>
          <w:szCs w:val="28"/>
        </w:rPr>
        <w:t>о</w:t>
      </w:r>
      <w:r w:rsidR="00904025" w:rsidRPr="00104228">
        <w:rPr>
          <w:rFonts w:ascii="Times New Roman" w:hAnsi="Times New Roman" w:cs="Times New Roman"/>
          <w:sz w:val="28"/>
          <w:szCs w:val="28"/>
        </w:rPr>
        <w:t xml:space="preserve">зволяет говорить о надежности и стабильности Сбербанка.  </w:t>
      </w:r>
    </w:p>
    <w:p w:rsidR="00CF67D4" w:rsidRPr="00104228" w:rsidRDefault="00CF67D4" w:rsidP="00C814EF">
      <w:pPr>
        <w:spacing w:after="0" w:line="240" w:lineRule="auto"/>
        <w:ind w:righ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4228">
        <w:rPr>
          <w:rFonts w:ascii="Times New Roman" w:hAnsi="Times New Roman" w:cs="Times New Roman"/>
          <w:sz w:val="28"/>
          <w:szCs w:val="28"/>
        </w:rPr>
        <w:t>Объем чистой прибыли важный показатель для всех участников ба</w:t>
      </w:r>
      <w:r w:rsidRPr="00104228">
        <w:rPr>
          <w:rFonts w:ascii="Times New Roman" w:hAnsi="Times New Roman" w:cs="Times New Roman"/>
          <w:sz w:val="28"/>
          <w:szCs w:val="28"/>
        </w:rPr>
        <w:t>н</w:t>
      </w:r>
      <w:r w:rsidRPr="00104228">
        <w:rPr>
          <w:rFonts w:ascii="Times New Roman" w:hAnsi="Times New Roman" w:cs="Times New Roman"/>
          <w:sz w:val="28"/>
          <w:szCs w:val="28"/>
        </w:rPr>
        <w:t xml:space="preserve">ковской деятельности. Так, акционеры банка заинтересованы в большей прибыли, так как именно от нее зависит объем дивидендов, получаемых ими. </w:t>
      </w:r>
    </w:p>
    <w:p w:rsidR="00CF67D4" w:rsidRPr="00104228" w:rsidRDefault="00CF67D4" w:rsidP="00C814EF">
      <w:pPr>
        <w:spacing w:after="0" w:line="240" w:lineRule="auto"/>
        <w:ind w:righ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4228">
        <w:rPr>
          <w:rFonts w:ascii="Times New Roman" w:hAnsi="Times New Roman" w:cs="Times New Roman"/>
          <w:sz w:val="28"/>
          <w:szCs w:val="28"/>
        </w:rPr>
        <w:t>Заемщики хоть и не напрямую, но опосредованно заинтересованы в достаточном размере прибыли банка, так как от ее размера зависит спосо</w:t>
      </w:r>
      <w:r w:rsidRPr="00104228">
        <w:rPr>
          <w:rFonts w:ascii="Times New Roman" w:hAnsi="Times New Roman" w:cs="Times New Roman"/>
          <w:sz w:val="28"/>
          <w:szCs w:val="28"/>
        </w:rPr>
        <w:t>б</w:t>
      </w:r>
      <w:r w:rsidRPr="00104228">
        <w:rPr>
          <w:rFonts w:ascii="Times New Roman" w:hAnsi="Times New Roman" w:cs="Times New Roman"/>
          <w:sz w:val="28"/>
          <w:szCs w:val="28"/>
        </w:rPr>
        <w:t>ность банка выдавать кредиты и открывать вклады. Помимо всего, объем прибыли обеспечивает надежность банковской системы, гарантирует без</w:t>
      </w:r>
      <w:r w:rsidRPr="00104228">
        <w:rPr>
          <w:rFonts w:ascii="Times New Roman" w:hAnsi="Times New Roman" w:cs="Times New Roman"/>
          <w:sz w:val="28"/>
          <w:szCs w:val="28"/>
        </w:rPr>
        <w:t>о</w:t>
      </w:r>
      <w:r w:rsidRPr="00104228">
        <w:rPr>
          <w:rFonts w:ascii="Times New Roman" w:hAnsi="Times New Roman" w:cs="Times New Roman"/>
          <w:sz w:val="28"/>
          <w:szCs w:val="28"/>
        </w:rPr>
        <w:t xml:space="preserve">пасность вкладов и наличие источников кредита. </w:t>
      </w:r>
    </w:p>
    <w:p w:rsidR="00D826D2" w:rsidRPr="00104228" w:rsidRDefault="00CF67D4" w:rsidP="00C814EF">
      <w:pPr>
        <w:spacing w:after="0" w:line="240" w:lineRule="auto"/>
        <w:ind w:righ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4228">
        <w:rPr>
          <w:rFonts w:ascii="Times New Roman" w:hAnsi="Times New Roman" w:cs="Times New Roman"/>
          <w:sz w:val="28"/>
          <w:szCs w:val="28"/>
        </w:rPr>
        <w:t>В связи с этим, рассмотрим, как формируется и распределяется пр</w:t>
      </w:r>
      <w:r w:rsidRPr="00104228">
        <w:rPr>
          <w:rFonts w:ascii="Times New Roman" w:hAnsi="Times New Roman" w:cs="Times New Roman"/>
          <w:sz w:val="28"/>
          <w:szCs w:val="28"/>
        </w:rPr>
        <w:t>и</w:t>
      </w:r>
      <w:r w:rsidRPr="00104228">
        <w:rPr>
          <w:rFonts w:ascii="Times New Roman" w:hAnsi="Times New Roman" w:cs="Times New Roman"/>
          <w:sz w:val="28"/>
          <w:szCs w:val="28"/>
        </w:rPr>
        <w:t>быль ПАО «Сбербанк» за 2014-2015 гг. (табл. 2).</w:t>
      </w:r>
    </w:p>
    <w:p w:rsidR="00CF67D4" w:rsidRPr="00104228" w:rsidRDefault="00CF67D4" w:rsidP="00C814EF">
      <w:pPr>
        <w:spacing w:after="0" w:line="240" w:lineRule="auto"/>
        <w:ind w:right="142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104228">
        <w:rPr>
          <w:rFonts w:ascii="Times New Roman" w:hAnsi="Times New Roman" w:cs="Times New Roman"/>
          <w:b/>
          <w:sz w:val="28"/>
          <w:szCs w:val="28"/>
        </w:rPr>
        <w:t>Таблица 2</w:t>
      </w:r>
    </w:p>
    <w:p w:rsidR="00CF67D4" w:rsidRDefault="00CF67D4" w:rsidP="00C814EF">
      <w:pPr>
        <w:spacing w:after="0" w:line="240" w:lineRule="auto"/>
        <w:ind w:right="142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4228">
        <w:rPr>
          <w:rFonts w:ascii="Times New Roman" w:hAnsi="Times New Roman" w:cs="Times New Roman"/>
          <w:b/>
          <w:sz w:val="28"/>
          <w:szCs w:val="28"/>
        </w:rPr>
        <w:t>Формирование прибыли ПАО «Сбербанк»</w:t>
      </w:r>
    </w:p>
    <w:p w:rsidR="002B0FC1" w:rsidRPr="00104228" w:rsidRDefault="002B0FC1" w:rsidP="002B0FC1">
      <w:pPr>
        <w:spacing w:after="0" w:line="240" w:lineRule="auto"/>
        <w:ind w:right="14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888181" cy="23093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3886" cy="231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7FA" w:rsidRPr="00104228" w:rsidRDefault="005537FA" w:rsidP="00C814EF">
      <w:pPr>
        <w:tabs>
          <w:tab w:val="left" w:pos="1134"/>
        </w:tabs>
        <w:spacing w:after="0" w:line="240" w:lineRule="auto"/>
        <w:ind w:righ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4228">
        <w:rPr>
          <w:rFonts w:ascii="Times New Roman" w:hAnsi="Times New Roman" w:cs="Times New Roman"/>
          <w:sz w:val="28"/>
          <w:szCs w:val="28"/>
        </w:rPr>
        <w:t>На основании данных этой таблицы можно отметить повышение э</w:t>
      </w:r>
      <w:r w:rsidRPr="00104228">
        <w:rPr>
          <w:rFonts w:ascii="Times New Roman" w:hAnsi="Times New Roman" w:cs="Times New Roman"/>
          <w:sz w:val="28"/>
          <w:szCs w:val="28"/>
        </w:rPr>
        <w:t>ф</w:t>
      </w:r>
      <w:r w:rsidRPr="00104228">
        <w:rPr>
          <w:rFonts w:ascii="Times New Roman" w:hAnsi="Times New Roman" w:cs="Times New Roman"/>
          <w:sz w:val="28"/>
          <w:szCs w:val="28"/>
        </w:rPr>
        <w:t>фективности функционирования ПАО «Сбербанк». Так, за анализируемый период наблюдалась положительная динамика прибыли (+ 91 823 435 тыс. руб.). Такое увеличение объема было связано во многом с увеличением о</w:t>
      </w:r>
      <w:r w:rsidRPr="00104228">
        <w:rPr>
          <w:rFonts w:ascii="Times New Roman" w:hAnsi="Times New Roman" w:cs="Times New Roman"/>
          <w:sz w:val="28"/>
          <w:szCs w:val="28"/>
        </w:rPr>
        <w:t>б</w:t>
      </w:r>
      <w:r w:rsidRPr="00104228">
        <w:rPr>
          <w:rFonts w:ascii="Times New Roman" w:hAnsi="Times New Roman" w:cs="Times New Roman"/>
          <w:sz w:val="28"/>
          <w:szCs w:val="28"/>
        </w:rPr>
        <w:t>щей суммы доходов. Также прослеживался рост прибыли после налогоо</w:t>
      </w:r>
      <w:r w:rsidRPr="00104228">
        <w:rPr>
          <w:rFonts w:ascii="Times New Roman" w:hAnsi="Times New Roman" w:cs="Times New Roman"/>
          <w:sz w:val="28"/>
          <w:szCs w:val="28"/>
        </w:rPr>
        <w:t>б</w:t>
      </w:r>
      <w:r w:rsidRPr="00104228">
        <w:rPr>
          <w:rFonts w:ascii="Times New Roman" w:hAnsi="Times New Roman" w:cs="Times New Roman"/>
          <w:sz w:val="28"/>
          <w:szCs w:val="28"/>
        </w:rPr>
        <w:t>ложения (на 91 823 435 тыс. руб.). Учитывая наличие кризисных явлений в банковской сфере, можно отметить эффективное управления активами и пассивами банка.</w:t>
      </w:r>
    </w:p>
    <w:p w:rsidR="00DB5FFE" w:rsidRPr="00104228" w:rsidRDefault="00DB5FFE" w:rsidP="00C814EF">
      <w:pPr>
        <w:tabs>
          <w:tab w:val="left" w:pos="1134"/>
        </w:tabs>
        <w:spacing w:after="0" w:line="240" w:lineRule="auto"/>
        <w:ind w:righ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4228">
        <w:rPr>
          <w:rFonts w:ascii="Times New Roman" w:hAnsi="Times New Roman" w:cs="Times New Roman"/>
          <w:sz w:val="28"/>
          <w:szCs w:val="28"/>
        </w:rPr>
        <w:t>В целом за исследуемы</w:t>
      </w:r>
      <w:r w:rsidR="00623AF4" w:rsidRPr="00104228">
        <w:rPr>
          <w:rFonts w:ascii="Times New Roman" w:hAnsi="Times New Roman" w:cs="Times New Roman"/>
          <w:sz w:val="28"/>
          <w:szCs w:val="28"/>
        </w:rPr>
        <w:t>й</w:t>
      </w:r>
      <w:r w:rsidRPr="00104228">
        <w:rPr>
          <w:rFonts w:ascii="Times New Roman" w:hAnsi="Times New Roman" w:cs="Times New Roman"/>
          <w:sz w:val="28"/>
          <w:szCs w:val="28"/>
        </w:rPr>
        <w:t xml:space="preserve"> период отчет</w:t>
      </w:r>
      <w:r w:rsidR="00623AF4" w:rsidRPr="00104228">
        <w:rPr>
          <w:rFonts w:ascii="Times New Roman" w:hAnsi="Times New Roman" w:cs="Times New Roman"/>
          <w:sz w:val="28"/>
          <w:szCs w:val="28"/>
        </w:rPr>
        <w:t>а</w:t>
      </w:r>
      <w:r w:rsidRPr="00104228">
        <w:rPr>
          <w:rFonts w:ascii="Times New Roman" w:hAnsi="Times New Roman" w:cs="Times New Roman"/>
          <w:sz w:val="28"/>
          <w:szCs w:val="28"/>
        </w:rPr>
        <w:t xml:space="preserve"> о прибылях и убытках имеет существенные улучшения по основным статьям учета.</w:t>
      </w:r>
      <w:r w:rsidR="00623AF4" w:rsidRPr="00104228">
        <w:rPr>
          <w:rFonts w:ascii="Times New Roman" w:hAnsi="Times New Roman" w:cs="Times New Roman"/>
          <w:sz w:val="28"/>
          <w:szCs w:val="28"/>
        </w:rPr>
        <w:t xml:space="preserve"> На улучшение пок</w:t>
      </w:r>
      <w:r w:rsidR="00623AF4" w:rsidRPr="00104228">
        <w:rPr>
          <w:rFonts w:ascii="Times New Roman" w:hAnsi="Times New Roman" w:cs="Times New Roman"/>
          <w:sz w:val="28"/>
          <w:szCs w:val="28"/>
        </w:rPr>
        <w:t>а</w:t>
      </w:r>
      <w:r w:rsidR="00623AF4" w:rsidRPr="00104228">
        <w:rPr>
          <w:rFonts w:ascii="Times New Roman" w:hAnsi="Times New Roman" w:cs="Times New Roman"/>
          <w:sz w:val="28"/>
          <w:szCs w:val="28"/>
        </w:rPr>
        <w:t>зателей большую роль сыграл Банк России, который в течение 2016г. н</w:t>
      </w:r>
      <w:r w:rsidR="00623AF4" w:rsidRPr="00104228">
        <w:rPr>
          <w:rFonts w:ascii="Times New Roman" w:hAnsi="Times New Roman" w:cs="Times New Roman"/>
          <w:sz w:val="28"/>
          <w:szCs w:val="28"/>
        </w:rPr>
        <w:t>е</w:t>
      </w:r>
      <w:r w:rsidR="00623AF4" w:rsidRPr="00104228">
        <w:rPr>
          <w:rFonts w:ascii="Times New Roman" w:hAnsi="Times New Roman" w:cs="Times New Roman"/>
          <w:sz w:val="28"/>
          <w:szCs w:val="28"/>
        </w:rPr>
        <w:t>сколько раз</w:t>
      </w:r>
      <w:r w:rsidR="002426EC" w:rsidRPr="00104228">
        <w:rPr>
          <w:rFonts w:ascii="Times New Roman" w:hAnsi="Times New Roman" w:cs="Times New Roman"/>
          <w:sz w:val="28"/>
          <w:szCs w:val="28"/>
        </w:rPr>
        <w:t xml:space="preserve"> понизил базовую (ключевую) ставку до 10,5%, тем самым дал возможность банкам расширить кредитование населения и предприятий.</w:t>
      </w:r>
    </w:p>
    <w:p w:rsidR="002B0FC1" w:rsidRDefault="002B0FC1" w:rsidP="00C814EF">
      <w:pPr>
        <w:tabs>
          <w:tab w:val="left" w:pos="1134"/>
        </w:tabs>
        <w:spacing w:after="0" w:line="240" w:lineRule="auto"/>
        <w:ind w:right="85"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3DF1" w:rsidRPr="00104228" w:rsidRDefault="00CD3C43" w:rsidP="00C814EF">
      <w:pPr>
        <w:tabs>
          <w:tab w:val="left" w:pos="1134"/>
        </w:tabs>
        <w:spacing w:after="0" w:line="240" w:lineRule="auto"/>
        <w:ind w:right="85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04228">
        <w:rPr>
          <w:rFonts w:ascii="Times New Roman" w:hAnsi="Times New Roman" w:cs="Times New Roman"/>
          <w:b/>
          <w:sz w:val="28"/>
          <w:szCs w:val="28"/>
        </w:rPr>
        <w:t>Список использованной литературы</w:t>
      </w:r>
      <w:r w:rsidR="00B208A0" w:rsidRPr="00104228">
        <w:rPr>
          <w:rFonts w:ascii="Times New Roman" w:hAnsi="Times New Roman" w:cs="Times New Roman"/>
          <w:sz w:val="28"/>
          <w:szCs w:val="28"/>
        </w:rPr>
        <w:t>:</w:t>
      </w:r>
    </w:p>
    <w:p w:rsidR="00B46634" w:rsidRPr="00104228" w:rsidRDefault="00B46634" w:rsidP="00C814EF">
      <w:pPr>
        <w:pStyle w:val="a3"/>
        <w:numPr>
          <w:ilvl w:val="0"/>
          <w:numId w:val="4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4228">
        <w:rPr>
          <w:rFonts w:ascii="Times New Roman" w:hAnsi="Times New Roman" w:cs="Times New Roman"/>
          <w:sz w:val="28"/>
          <w:szCs w:val="28"/>
        </w:rPr>
        <w:t>Горелая, Н. В. Основы банковского дела: учеб</w:t>
      </w:r>
      <w:proofErr w:type="gramStart"/>
      <w:r w:rsidRPr="00104228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10422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0422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104228">
        <w:rPr>
          <w:rFonts w:ascii="Times New Roman" w:hAnsi="Times New Roman" w:cs="Times New Roman"/>
          <w:sz w:val="28"/>
          <w:szCs w:val="28"/>
        </w:rPr>
        <w:t>особие для студе</w:t>
      </w:r>
      <w:r w:rsidRPr="00104228">
        <w:rPr>
          <w:rFonts w:ascii="Times New Roman" w:hAnsi="Times New Roman" w:cs="Times New Roman"/>
          <w:sz w:val="28"/>
          <w:szCs w:val="28"/>
        </w:rPr>
        <w:t>н</w:t>
      </w:r>
      <w:r w:rsidRPr="00104228">
        <w:rPr>
          <w:rFonts w:ascii="Times New Roman" w:hAnsi="Times New Roman" w:cs="Times New Roman"/>
          <w:sz w:val="28"/>
          <w:szCs w:val="28"/>
        </w:rPr>
        <w:t>тов вузов по направлению "Экономика" специализации "Банки и банк. де</w:t>
      </w:r>
      <w:r w:rsidRPr="00104228">
        <w:rPr>
          <w:rFonts w:ascii="Times New Roman" w:hAnsi="Times New Roman" w:cs="Times New Roman"/>
          <w:sz w:val="28"/>
          <w:szCs w:val="28"/>
        </w:rPr>
        <w:t>я</w:t>
      </w:r>
      <w:r w:rsidRPr="00104228">
        <w:rPr>
          <w:rFonts w:ascii="Times New Roman" w:hAnsi="Times New Roman" w:cs="Times New Roman"/>
          <w:sz w:val="28"/>
          <w:szCs w:val="28"/>
        </w:rPr>
        <w:t xml:space="preserve">тельность"/ Н. В. Горелая, А. М. </w:t>
      </w:r>
      <w:proofErr w:type="spellStart"/>
      <w:r w:rsidRPr="00104228">
        <w:rPr>
          <w:rFonts w:ascii="Times New Roman" w:hAnsi="Times New Roman" w:cs="Times New Roman"/>
          <w:sz w:val="28"/>
          <w:szCs w:val="28"/>
        </w:rPr>
        <w:t>Карминский</w:t>
      </w:r>
      <w:proofErr w:type="spellEnd"/>
      <w:r w:rsidRPr="00104228">
        <w:rPr>
          <w:rFonts w:ascii="Times New Roman" w:hAnsi="Times New Roman" w:cs="Times New Roman"/>
          <w:sz w:val="28"/>
          <w:szCs w:val="28"/>
        </w:rPr>
        <w:t xml:space="preserve">; под ред. А. М. </w:t>
      </w:r>
      <w:proofErr w:type="spellStart"/>
      <w:r w:rsidRPr="00104228">
        <w:rPr>
          <w:rFonts w:ascii="Times New Roman" w:hAnsi="Times New Roman" w:cs="Times New Roman"/>
          <w:sz w:val="28"/>
          <w:szCs w:val="28"/>
        </w:rPr>
        <w:t>Карминского</w:t>
      </w:r>
      <w:proofErr w:type="spellEnd"/>
      <w:r w:rsidRPr="00104228">
        <w:rPr>
          <w:rFonts w:ascii="Times New Roman" w:hAnsi="Times New Roman" w:cs="Times New Roman"/>
          <w:sz w:val="28"/>
          <w:szCs w:val="28"/>
        </w:rPr>
        <w:t>. - М.: ФОРУМ - ИНФРА-М, 201</w:t>
      </w:r>
      <w:r w:rsidR="00104228">
        <w:rPr>
          <w:rFonts w:ascii="Times New Roman" w:hAnsi="Times New Roman" w:cs="Times New Roman"/>
          <w:sz w:val="28"/>
          <w:szCs w:val="28"/>
        </w:rPr>
        <w:t>5</w:t>
      </w:r>
      <w:r w:rsidRPr="00104228">
        <w:rPr>
          <w:rFonts w:ascii="Times New Roman" w:hAnsi="Times New Roman" w:cs="Times New Roman"/>
          <w:sz w:val="28"/>
          <w:szCs w:val="28"/>
        </w:rPr>
        <w:t xml:space="preserve">. - 272 с. </w:t>
      </w:r>
    </w:p>
    <w:p w:rsidR="00B46634" w:rsidRPr="00104228" w:rsidRDefault="00B46634" w:rsidP="00C814EF">
      <w:pPr>
        <w:pStyle w:val="a3"/>
        <w:numPr>
          <w:ilvl w:val="0"/>
          <w:numId w:val="4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04228">
        <w:rPr>
          <w:rFonts w:ascii="Times New Roman" w:hAnsi="Times New Roman" w:cs="Times New Roman"/>
          <w:sz w:val="28"/>
          <w:szCs w:val="28"/>
        </w:rPr>
        <w:t>Шеремет</w:t>
      </w:r>
      <w:proofErr w:type="spellEnd"/>
      <w:r w:rsidRPr="00104228">
        <w:rPr>
          <w:rFonts w:ascii="Times New Roman" w:hAnsi="Times New Roman" w:cs="Times New Roman"/>
          <w:sz w:val="28"/>
          <w:szCs w:val="28"/>
        </w:rPr>
        <w:t xml:space="preserve">, А. Д. Финансовый анализ в коммерческом банке/ А. Д. </w:t>
      </w:r>
      <w:proofErr w:type="spellStart"/>
      <w:r w:rsidRPr="00104228">
        <w:rPr>
          <w:rFonts w:ascii="Times New Roman" w:hAnsi="Times New Roman" w:cs="Times New Roman"/>
          <w:sz w:val="28"/>
          <w:szCs w:val="28"/>
        </w:rPr>
        <w:t>Шеремет</w:t>
      </w:r>
      <w:proofErr w:type="spellEnd"/>
      <w:r w:rsidRPr="00104228">
        <w:rPr>
          <w:rFonts w:ascii="Times New Roman" w:hAnsi="Times New Roman" w:cs="Times New Roman"/>
          <w:sz w:val="28"/>
          <w:szCs w:val="28"/>
        </w:rPr>
        <w:t>, Г. Н. Щербакова. - М.: Финансы и статистика, 201</w:t>
      </w:r>
      <w:r w:rsidR="005C3D35">
        <w:rPr>
          <w:rFonts w:ascii="Times New Roman" w:hAnsi="Times New Roman" w:cs="Times New Roman"/>
          <w:sz w:val="28"/>
          <w:szCs w:val="28"/>
        </w:rPr>
        <w:t>6</w:t>
      </w:r>
      <w:r w:rsidRPr="00104228">
        <w:rPr>
          <w:rFonts w:ascii="Times New Roman" w:hAnsi="Times New Roman" w:cs="Times New Roman"/>
          <w:sz w:val="28"/>
          <w:szCs w:val="28"/>
        </w:rPr>
        <w:t xml:space="preserve">. - 255 с. </w:t>
      </w:r>
    </w:p>
    <w:p w:rsidR="00B46634" w:rsidRPr="00104228" w:rsidRDefault="00B46634" w:rsidP="00C814EF">
      <w:pPr>
        <w:pStyle w:val="a3"/>
        <w:numPr>
          <w:ilvl w:val="0"/>
          <w:numId w:val="4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4228">
        <w:rPr>
          <w:rFonts w:ascii="Times New Roman" w:hAnsi="Times New Roman" w:cs="Times New Roman"/>
          <w:sz w:val="28"/>
          <w:szCs w:val="28"/>
        </w:rPr>
        <w:t>Янов, В. В. Деньги, кредит, банки [Текст] : учеб</w:t>
      </w:r>
      <w:proofErr w:type="gramStart"/>
      <w:r w:rsidRPr="00104228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10422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0422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104228">
        <w:rPr>
          <w:rFonts w:ascii="Times New Roman" w:hAnsi="Times New Roman" w:cs="Times New Roman"/>
          <w:sz w:val="28"/>
          <w:szCs w:val="28"/>
        </w:rPr>
        <w:t xml:space="preserve">особие для вузов по направлению </w:t>
      </w:r>
      <w:proofErr w:type="spellStart"/>
      <w:r w:rsidRPr="00104228">
        <w:rPr>
          <w:rFonts w:ascii="Times New Roman" w:hAnsi="Times New Roman" w:cs="Times New Roman"/>
          <w:sz w:val="28"/>
          <w:szCs w:val="28"/>
        </w:rPr>
        <w:t>подгот</w:t>
      </w:r>
      <w:proofErr w:type="spellEnd"/>
      <w:r w:rsidRPr="00104228">
        <w:rPr>
          <w:rFonts w:ascii="Times New Roman" w:hAnsi="Times New Roman" w:cs="Times New Roman"/>
          <w:sz w:val="28"/>
          <w:szCs w:val="28"/>
        </w:rPr>
        <w:t xml:space="preserve">. "Экономика" (квалификация (степень) "бакалавр") / В. В. Янов, И. Ю. </w:t>
      </w:r>
      <w:proofErr w:type="spellStart"/>
      <w:r w:rsidRPr="00104228">
        <w:rPr>
          <w:rFonts w:ascii="Times New Roman" w:hAnsi="Times New Roman" w:cs="Times New Roman"/>
          <w:sz w:val="28"/>
          <w:szCs w:val="28"/>
        </w:rPr>
        <w:t>Бубнова</w:t>
      </w:r>
      <w:proofErr w:type="spellEnd"/>
      <w:r w:rsidRPr="00104228">
        <w:rPr>
          <w:rFonts w:ascii="Times New Roman" w:hAnsi="Times New Roman" w:cs="Times New Roman"/>
          <w:sz w:val="28"/>
          <w:szCs w:val="28"/>
        </w:rPr>
        <w:t xml:space="preserve">. - М. : </w:t>
      </w:r>
      <w:proofErr w:type="spellStart"/>
      <w:r w:rsidRPr="00104228">
        <w:rPr>
          <w:rFonts w:ascii="Times New Roman" w:hAnsi="Times New Roman" w:cs="Times New Roman"/>
          <w:sz w:val="28"/>
          <w:szCs w:val="28"/>
        </w:rPr>
        <w:t>КноРус</w:t>
      </w:r>
      <w:proofErr w:type="spellEnd"/>
      <w:r w:rsidRPr="00104228">
        <w:rPr>
          <w:rFonts w:ascii="Times New Roman" w:hAnsi="Times New Roman" w:cs="Times New Roman"/>
          <w:sz w:val="28"/>
          <w:szCs w:val="28"/>
        </w:rPr>
        <w:t>, 2014. - 424 с. : ил</w:t>
      </w:r>
      <w:proofErr w:type="gramStart"/>
      <w:r w:rsidRPr="00104228">
        <w:rPr>
          <w:rFonts w:ascii="Times New Roman" w:hAnsi="Times New Roman" w:cs="Times New Roman"/>
          <w:sz w:val="28"/>
          <w:szCs w:val="28"/>
        </w:rPr>
        <w:t xml:space="preserve">., </w:t>
      </w:r>
      <w:proofErr w:type="gramEnd"/>
      <w:r w:rsidRPr="00104228">
        <w:rPr>
          <w:rFonts w:ascii="Times New Roman" w:hAnsi="Times New Roman" w:cs="Times New Roman"/>
          <w:sz w:val="28"/>
          <w:szCs w:val="28"/>
        </w:rPr>
        <w:t xml:space="preserve">табл. - </w:t>
      </w:r>
      <w:proofErr w:type="spellStart"/>
      <w:r w:rsidRPr="00104228">
        <w:rPr>
          <w:rFonts w:ascii="Times New Roman" w:hAnsi="Times New Roman" w:cs="Times New Roman"/>
          <w:sz w:val="28"/>
          <w:szCs w:val="28"/>
        </w:rPr>
        <w:t>Библ</w:t>
      </w:r>
      <w:r w:rsidRPr="00104228">
        <w:rPr>
          <w:rFonts w:ascii="Times New Roman" w:hAnsi="Times New Roman" w:cs="Times New Roman"/>
          <w:sz w:val="28"/>
          <w:szCs w:val="28"/>
        </w:rPr>
        <w:t>и</w:t>
      </w:r>
      <w:r w:rsidRPr="00104228">
        <w:rPr>
          <w:rFonts w:ascii="Times New Roman" w:hAnsi="Times New Roman" w:cs="Times New Roman"/>
          <w:sz w:val="28"/>
          <w:szCs w:val="28"/>
        </w:rPr>
        <w:t>огр</w:t>
      </w:r>
      <w:proofErr w:type="spellEnd"/>
      <w:r w:rsidRPr="00104228">
        <w:rPr>
          <w:rFonts w:ascii="Times New Roman" w:hAnsi="Times New Roman" w:cs="Times New Roman"/>
          <w:sz w:val="28"/>
          <w:szCs w:val="28"/>
        </w:rPr>
        <w:t>.: с. 61-63.</w:t>
      </w:r>
    </w:p>
    <w:p w:rsidR="00B46634" w:rsidRPr="00104228" w:rsidRDefault="006A7BFF" w:rsidP="00C814EF">
      <w:pPr>
        <w:pStyle w:val="a3"/>
        <w:numPr>
          <w:ilvl w:val="0"/>
          <w:numId w:val="4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4228">
        <w:rPr>
          <w:rFonts w:ascii="Times New Roman" w:hAnsi="Times New Roman" w:cs="Times New Roman"/>
          <w:sz w:val="28"/>
          <w:szCs w:val="28"/>
        </w:rPr>
        <w:t xml:space="preserve">Ковалева, Т.М. Финансы и кредит. – М.: </w:t>
      </w:r>
      <w:proofErr w:type="spellStart"/>
      <w:r w:rsidRPr="00104228">
        <w:rPr>
          <w:rFonts w:ascii="Times New Roman" w:hAnsi="Times New Roman" w:cs="Times New Roman"/>
          <w:sz w:val="28"/>
          <w:szCs w:val="28"/>
        </w:rPr>
        <w:t>Кнорус</w:t>
      </w:r>
      <w:proofErr w:type="spellEnd"/>
      <w:r w:rsidRPr="00104228">
        <w:rPr>
          <w:rFonts w:ascii="Times New Roman" w:hAnsi="Times New Roman" w:cs="Times New Roman"/>
          <w:sz w:val="28"/>
          <w:szCs w:val="28"/>
        </w:rPr>
        <w:t>, 2013. – 360 с.</w:t>
      </w:r>
    </w:p>
    <w:p w:rsidR="00B46634" w:rsidRPr="00104228" w:rsidRDefault="006A7BFF" w:rsidP="00C814EF">
      <w:pPr>
        <w:pStyle w:val="a3"/>
        <w:numPr>
          <w:ilvl w:val="0"/>
          <w:numId w:val="4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4228">
        <w:rPr>
          <w:rFonts w:ascii="Times New Roman" w:hAnsi="Times New Roman" w:cs="Times New Roman"/>
          <w:sz w:val="28"/>
          <w:szCs w:val="28"/>
        </w:rPr>
        <w:t>Грязнова, А. Г. Финансово кредитный энциклопедический словарь. – М.: Финансы и статистика, 2015. – 268 с.</w:t>
      </w:r>
    </w:p>
    <w:p w:rsidR="00046F32" w:rsidRPr="00104228" w:rsidRDefault="00046F32" w:rsidP="00C814EF">
      <w:pPr>
        <w:pStyle w:val="a3"/>
        <w:numPr>
          <w:ilvl w:val="0"/>
          <w:numId w:val="4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4228">
        <w:rPr>
          <w:rFonts w:ascii="Times New Roman" w:hAnsi="Times New Roman" w:cs="Times New Roman"/>
          <w:sz w:val="28"/>
          <w:szCs w:val="28"/>
        </w:rPr>
        <w:t>Официальный сайт Сбербанка России. [Электронный ресурс]. – Р</w:t>
      </w:r>
      <w:r w:rsidRPr="00104228">
        <w:rPr>
          <w:rFonts w:ascii="Times New Roman" w:hAnsi="Times New Roman" w:cs="Times New Roman"/>
          <w:sz w:val="28"/>
          <w:szCs w:val="28"/>
        </w:rPr>
        <w:t>е</w:t>
      </w:r>
      <w:r w:rsidRPr="00104228">
        <w:rPr>
          <w:rFonts w:ascii="Times New Roman" w:hAnsi="Times New Roman" w:cs="Times New Roman"/>
          <w:sz w:val="28"/>
          <w:szCs w:val="28"/>
        </w:rPr>
        <w:t>жим доступа:</w:t>
      </w:r>
      <w:r w:rsidR="00E064C8" w:rsidRPr="00104228">
        <w:rPr>
          <w:rFonts w:ascii="Times New Roman" w:hAnsi="Times New Roman" w:cs="Times New Roman"/>
          <w:sz w:val="28"/>
          <w:szCs w:val="28"/>
        </w:rPr>
        <w:t xml:space="preserve"> </w:t>
      </w:r>
      <w:r w:rsidRPr="00104228">
        <w:rPr>
          <w:rFonts w:ascii="Times New Roman" w:hAnsi="Times New Roman" w:cs="Times New Roman"/>
          <w:sz w:val="28"/>
          <w:szCs w:val="28"/>
        </w:rPr>
        <w:t>http://www.sbrf.ru (дата обращения: 21.</w:t>
      </w:r>
      <w:r w:rsidR="00104228">
        <w:rPr>
          <w:rFonts w:ascii="Times New Roman" w:hAnsi="Times New Roman" w:cs="Times New Roman"/>
          <w:sz w:val="28"/>
          <w:szCs w:val="28"/>
        </w:rPr>
        <w:t>0</w:t>
      </w:r>
      <w:r w:rsidRPr="00104228">
        <w:rPr>
          <w:rFonts w:ascii="Times New Roman" w:hAnsi="Times New Roman" w:cs="Times New Roman"/>
          <w:sz w:val="28"/>
          <w:szCs w:val="28"/>
        </w:rPr>
        <w:t>2.201</w:t>
      </w:r>
      <w:r w:rsidR="00104228">
        <w:rPr>
          <w:rFonts w:ascii="Times New Roman" w:hAnsi="Times New Roman" w:cs="Times New Roman"/>
          <w:sz w:val="28"/>
          <w:szCs w:val="28"/>
        </w:rPr>
        <w:t>8</w:t>
      </w:r>
      <w:r w:rsidRPr="00104228">
        <w:rPr>
          <w:rFonts w:ascii="Times New Roman" w:hAnsi="Times New Roman" w:cs="Times New Roman"/>
          <w:sz w:val="28"/>
          <w:szCs w:val="28"/>
        </w:rPr>
        <w:t>).</w:t>
      </w:r>
    </w:p>
    <w:p w:rsidR="00046F32" w:rsidRPr="00104228" w:rsidRDefault="00046F32" w:rsidP="00C814EF">
      <w:pPr>
        <w:pStyle w:val="a3"/>
        <w:numPr>
          <w:ilvl w:val="0"/>
          <w:numId w:val="4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4228">
        <w:rPr>
          <w:rFonts w:ascii="Times New Roman" w:hAnsi="Times New Roman" w:cs="Times New Roman"/>
          <w:sz w:val="28"/>
          <w:szCs w:val="28"/>
        </w:rPr>
        <w:t>Сбербанки - Сберегательный банк России и других стран. [Эле</w:t>
      </w:r>
      <w:r w:rsidRPr="00104228">
        <w:rPr>
          <w:rFonts w:ascii="Times New Roman" w:hAnsi="Times New Roman" w:cs="Times New Roman"/>
          <w:sz w:val="28"/>
          <w:szCs w:val="28"/>
        </w:rPr>
        <w:t>к</w:t>
      </w:r>
      <w:r w:rsidRPr="00104228">
        <w:rPr>
          <w:rFonts w:ascii="Times New Roman" w:hAnsi="Times New Roman" w:cs="Times New Roman"/>
          <w:sz w:val="28"/>
          <w:szCs w:val="28"/>
        </w:rPr>
        <w:t>тронный ресурс]. – Режим доступа: http://www.sbanki.ru (дата обращения: 20.</w:t>
      </w:r>
      <w:r w:rsidR="00104228">
        <w:rPr>
          <w:rFonts w:ascii="Times New Roman" w:hAnsi="Times New Roman" w:cs="Times New Roman"/>
          <w:sz w:val="28"/>
          <w:szCs w:val="28"/>
        </w:rPr>
        <w:t>0</w:t>
      </w:r>
      <w:r w:rsidRPr="00104228">
        <w:rPr>
          <w:rFonts w:ascii="Times New Roman" w:hAnsi="Times New Roman" w:cs="Times New Roman"/>
          <w:sz w:val="28"/>
          <w:szCs w:val="28"/>
        </w:rPr>
        <w:t>2.201</w:t>
      </w:r>
      <w:r w:rsidR="00104228">
        <w:rPr>
          <w:rFonts w:ascii="Times New Roman" w:hAnsi="Times New Roman" w:cs="Times New Roman"/>
          <w:sz w:val="28"/>
          <w:szCs w:val="28"/>
        </w:rPr>
        <w:t>8</w:t>
      </w:r>
      <w:r w:rsidRPr="00104228">
        <w:rPr>
          <w:rFonts w:ascii="Times New Roman" w:hAnsi="Times New Roman" w:cs="Times New Roman"/>
          <w:sz w:val="28"/>
          <w:szCs w:val="28"/>
        </w:rPr>
        <w:t>).</w:t>
      </w:r>
    </w:p>
    <w:p w:rsidR="00046F32" w:rsidRPr="00104228" w:rsidRDefault="00046F32" w:rsidP="00C814EF">
      <w:pPr>
        <w:pStyle w:val="a3"/>
        <w:numPr>
          <w:ilvl w:val="0"/>
          <w:numId w:val="4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4228">
        <w:rPr>
          <w:rFonts w:ascii="Times New Roman" w:hAnsi="Times New Roman" w:cs="Times New Roman"/>
          <w:sz w:val="28"/>
          <w:szCs w:val="28"/>
        </w:rPr>
        <w:t>Годовые отчёты о прибылях и убытках. [Электронный ресурс]. Р</w:t>
      </w:r>
      <w:r w:rsidRPr="00104228">
        <w:rPr>
          <w:rFonts w:ascii="Times New Roman" w:hAnsi="Times New Roman" w:cs="Times New Roman"/>
          <w:sz w:val="28"/>
          <w:szCs w:val="28"/>
        </w:rPr>
        <w:t>е</w:t>
      </w:r>
      <w:r w:rsidRPr="00104228">
        <w:rPr>
          <w:rFonts w:ascii="Times New Roman" w:hAnsi="Times New Roman" w:cs="Times New Roman"/>
          <w:sz w:val="28"/>
          <w:szCs w:val="28"/>
        </w:rPr>
        <w:t>жим доступа:</w:t>
      </w:r>
      <w:r w:rsidR="00E064C8" w:rsidRPr="00104228">
        <w:rPr>
          <w:rFonts w:ascii="Times New Roman" w:hAnsi="Times New Roman" w:cs="Times New Roman"/>
          <w:sz w:val="28"/>
          <w:szCs w:val="28"/>
        </w:rPr>
        <w:t xml:space="preserve"> </w:t>
      </w:r>
      <w:r w:rsidRPr="00104228">
        <w:rPr>
          <w:rFonts w:ascii="Times New Roman" w:hAnsi="Times New Roman" w:cs="Times New Roman"/>
          <w:sz w:val="28"/>
          <w:szCs w:val="28"/>
        </w:rPr>
        <w:t>http://www.sberbank.ru/moscow/дата обращения: (21.</w:t>
      </w:r>
      <w:r w:rsidR="00104228">
        <w:rPr>
          <w:rFonts w:ascii="Times New Roman" w:hAnsi="Times New Roman" w:cs="Times New Roman"/>
          <w:sz w:val="28"/>
          <w:szCs w:val="28"/>
        </w:rPr>
        <w:t>0</w:t>
      </w:r>
      <w:r w:rsidRPr="00104228">
        <w:rPr>
          <w:rFonts w:ascii="Times New Roman" w:hAnsi="Times New Roman" w:cs="Times New Roman"/>
          <w:sz w:val="28"/>
          <w:szCs w:val="28"/>
        </w:rPr>
        <w:t>2.201</w:t>
      </w:r>
      <w:r w:rsidR="00104228">
        <w:rPr>
          <w:rFonts w:ascii="Times New Roman" w:hAnsi="Times New Roman" w:cs="Times New Roman"/>
          <w:sz w:val="28"/>
          <w:szCs w:val="28"/>
        </w:rPr>
        <w:t>8</w:t>
      </w:r>
      <w:r w:rsidRPr="00104228">
        <w:rPr>
          <w:rFonts w:ascii="Times New Roman" w:hAnsi="Times New Roman" w:cs="Times New Roman"/>
          <w:sz w:val="28"/>
          <w:szCs w:val="28"/>
        </w:rPr>
        <w:t>).</w:t>
      </w:r>
    </w:p>
    <w:p w:rsidR="00046F32" w:rsidRPr="007C4480" w:rsidRDefault="00046F32" w:rsidP="00C814EF">
      <w:pPr>
        <w:pStyle w:val="a3"/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046F32" w:rsidRPr="007C4480" w:rsidSect="00CD3C43">
      <w:pgSz w:w="11906" w:h="16838"/>
      <w:pgMar w:top="709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553F" w:rsidRDefault="00FE553F" w:rsidP="001A2134">
      <w:pPr>
        <w:spacing w:after="0" w:line="240" w:lineRule="auto"/>
      </w:pPr>
      <w:r>
        <w:separator/>
      </w:r>
    </w:p>
  </w:endnote>
  <w:endnote w:type="continuationSeparator" w:id="0">
    <w:p w:rsidR="00FE553F" w:rsidRDefault="00FE553F" w:rsidP="001A2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553F" w:rsidRDefault="00FE553F" w:rsidP="001A2134">
      <w:pPr>
        <w:spacing w:after="0" w:line="240" w:lineRule="auto"/>
      </w:pPr>
      <w:r>
        <w:separator/>
      </w:r>
    </w:p>
  </w:footnote>
  <w:footnote w:type="continuationSeparator" w:id="0">
    <w:p w:rsidR="00FE553F" w:rsidRDefault="00FE553F" w:rsidP="001A21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E3EC2"/>
    <w:multiLevelType w:val="multilevel"/>
    <w:tmpl w:val="D0328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787595"/>
    <w:multiLevelType w:val="multilevel"/>
    <w:tmpl w:val="4088F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151158D"/>
    <w:multiLevelType w:val="multilevel"/>
    <w:tmpl w:val="00F4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69B6C50"/>
    <w:multiLevelType w:val="hybridMultilevel"/>
    <w:tmpl w:val="D2AA5AE0"/>
    <w:lvl w:ilvl="0" w:tplc="A32A136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>
    <w:nsid w:val="210F71FA"/>
    <w:multiLevelType w:val="hybridMultilevel"/>
    <w:tmpl w:val="E13A1CE2"/>
    <w:lvl w:ilvl="0" w:tplc="17545E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B27344E"/>
    <w:multiLevelType w:val="hybridMultilevel"/>
    <w:tmpl w:val="26F4C6AE"/>
    <w:lvl w:ilvl="0" w:tplc="62FA7E50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0" w:hanging="360"/>
      </w:pPr>
    </w:lvl>
    <w:lvl w:ilvl="2" w:tplc="0419001B" w:tentative="1">
      <w:start w:val="1"/>
      <w:numFmt w:val="lowerRoman"/>
      <w:lvlText w:val="%3."/>
      <w:lvlJc w:val="right"/>
      <w:pPr>
        <w:ind w:left="1970" w:hanging="180"/>
      </w:pPr>
    </w:lvl>
    <w:lvl w:ilvl="3" w:tplc="0419000F" w:tentative="1">
      <w:start w:val="1"/>
      <w:numFmt w:val="decimal"/>
      <w:lvlText w:val="%4."/>
      <w:lvlJc w:val="left"/>
      <w:pPr>
        <w:ind w:left="2690" w:hanging="360"/>
      </w:pPr>
    </w:lvl>
    <w:lvl w:ilvl="4" w:tplc="04190019" w:tentative="1">
      <w:start w:val="1"/>
      <w:numFmt w:val="lowerLetter"/>
      <w:lvlText w:val="%5."/>
      <w:lvlJc w:val="left"/>
      <w:pPr>
        <w:ind w:left="3410" w:hanging="360"/>
      </w:pPr>
    </w:lvl>
    <w:lvl w:ilvl="5" w:tplc="0419001B" w:tentative="1">
      <w:start w:val="1"/>
      <w:numFmt w:val="lowerRoman"/>
      <w:lvlText w:val="%6."/>
      <w:lvlJc w:val="right"/>
      <w:pPr>
        <w:ind w:left="4130" w:hanging="180"/>
      </w:pPr>
    </w:lvl>
    <w:lvl w:ilvl="6" w:tplc="0419000F" w:tentative="1">
      <w:start w:val="1"/>
      <w:numFmt w:val="decimal"/>
      <w:lvlText w:val="%7."/>
      <w:lvlJc w:val="left"/>
      <w:pPr>
        <w:ind w:left="4850" w:hanging="360"/>
      </w:pPr>
    </w:lvl>
    <w:lvl w:ilvl="7" w:tplc="04190019" w:tentative="1">
      <w:start w:val="1"/>
      <w:numFmt w:val="lowerLetter"/>
      <w:lvlText w:val="%8."/>
      <w:lvlJc w:val="left"/>
      <w:pPr>
        <w:ind w:left="5570" w:hanging="360"/>
      </w:pPr>
    </w:lvl>
    <w:lvl w:ilvl="8" w:tplc="041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6">
    <w:nsid w:val="35703EAD"/>
    <w:multiLevelType w:val="hybridMultilevel"/>
    <w:tmpl w:val="CD82A46A"/>
    <w:lvl w:ilvl="0" w:tplc="044082EA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0" w:hanging="360"/>
      </w:pPr>
    </w:lvl>
    <w:lvl w:ilvl="2" w:tplc="0419001B" w:tentative="1">
      <w:start w:val="1"/>
      <w:numFmt w:val="lowerRoman"/>
      <w:lvlText w:val="%3."/>
      <w:lvlJc w:val="right"/>
      <w:pPr>
        <w:ind w:left="1970" w:hanging="180"/>
      </w:pPr>
    </w:lvl>
    <w:lvl w:ilvl="3" w:tplc="0419000F" w:tentative="1">
      <w:start w:val="1"/>
      <w:numFmt w:val="decimal"/>
      <w:lvlText w:val="%4."/>
      <w:lvlJc w:val="left"/>
      <w:pPr>
        <w:ind w:left="2690" w:hanging="360"/>
      </w:pPr>
    </w:lvl>
    <w:lvl w:ilvl="4" w:tplc="04190019" w:tentative="1">
      <w:start w:val="1"/>
      <w:numFmt w:val="lowerLetter"/>
      <w:lvlText w:val="%5."/>
      <w:lvlJc w:val="left"/>
      <w:pPr>
        <w:ind w:left="3410" w:hanging="360"/>
      </w:pPr>
    </w:lvl>
    <w:lvl w:ilvl="5" w:tplc="0419001B" w:tentative="1">
      <w:start w:val="1"/>
      <w:numFmt w:val="lowerRoman"/>
      <w:lvlText w:val="%6."/>
      <w:lvlJc w:val="right"/>
      <w:pPr>
        <w:ind w:left="4130" w:hanging="180"/>
      </w:pPr>
    </w:lvl>
    <w:lvl w:ilvl="6" w:tplc="0419000F" w:tentative="1">
      <w:start w:val="1"/>
      <w:numFmt w:val="decimal"/>
      <w:lvlText w:val="%7."/>
      <w:lvlJc w:val="left"/>
      <w:pPr>
        <w:ind w:left="4850" w:hanging="360"/>
      </w:pPr>
    </w:lvl>
    <w:lvl w:ilvl="7" w:tplc="04190019" w:tentative="1">
      <w:start w:val="1"/>
      <w:numFmt w:val="lowerLetter"/>
      <w:lvlText w:val="%8."/>
      <w:lvlJc w:val="left"/>
      <w:pPr>
        <w:ind w:left="5570" w:hanging="360"/>
      </w:pPr>
    </w:lvl>
    <w:lvl w:ilvl="8" w:tplc="041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7">
    <w:nsid w:val="3DCC6E79"/>
    <w:multiLevelType w:val="multilevel"/>
    <w:tmpl w:val="E836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0A824BB"/>
    <w:multiLevelType w:val="hybridMultilevel"/>
    <w:tmpl w:val="BFD4B274"/>
    <w:lvl w:ilvl="0" w:tplc="B55E6F5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174CC4"/>
    <w:multiLevelType w:val="hybridMultilevel"/>
    <w:tmpl w:val="81E25F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AD4BC7"/>
    <w:multiLevelType w:val="hybridMultilevel"/>
    <w:tmpl w:val="DDCC6310"/>
    <w:lvl w:ilvl="0" w:tplc="A3347444">
      <w:start w:val="1"/>
      <w:numFmt w:val="decimal"/>
      <w:lvlText w:val="%1."/>
      <w:lvlJc w:val="left"/>
      <w:pPr>
        <w:ind w:left="1068" w:hanging="360"/>
      </w:pPr>
      <w:rPr>
        <w:rFonts w:eastAsia="Times New Roman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4CC90D78"/>
    <w:multiLevelType w:val="hybridMultilevel"/>
    <w:tmpl w:val="7AEC0D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4C6461"/>
    <w:multiLevelType w:val="multilevel"/>
    <w:tmpl w:val="76C49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5D930C6"/>
    <w:multiLevelType w:val="hybridMultilevel"/>
    <w:tmpl w:val="919A42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3"/>
  </w:num>
  <w:num w:numId="4">
    <w:abstractNumId w:val="8"/>
  </w:num>
  <w:num w:numId="5">
    <w:abstractNumId w:val="10"/>
  </w:num>
  <w:num w:numId="6">
    <w:abstractNumId w:val="4"/>
  </w:num>
  <w:num w:numId="7">
    <w:abstractNumId w:val="2"/>
  </w:num>
  <w:num w:numId="8">
    <w:abstractNumId w:val="1"/>
  </w:num>
  <w:num w:numId="9">
    <w:abstractNumId w:val="7"/>
  </w:num>
  <w:num w:numId="10">
    <w:abstractNumId w:val="0"/>
  </w:num>
  <w:num w:numId="11">
    <w:abstractNumId w:val="6"/>
  </w:num>
  <w:num w:numId="12">
    <w:abstractNumId w:val="12"/>
  </w:num>
  <w:num w:numId="13">
    <w:abstractNumId w:val="9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08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</w:compat>
  <w:rsids>
    <w:rsidRoot w:val="006F274B"/>
    <w:rsid w:val="00002CF8"/>
    <w:rsid w:val="00011B7D"/>
    <w:rsid w:val="0001570D"/>
    <w:rsid w:val="00016D07"/>
    <w:rsid w:val="00021C7C"/>
    <w:rsid w:val="00024695"/>
    <w:rsid w:val="00034701"/>
    <w:rsid w:val="00046F32"/>
    <w:rsid w:val="00050A80"/>
    <w:rsid w:val="00057E3B"/>
    <w:rsid w:val="00080B5E"/>
    <w:rsid w:val="00083BBD"/>
    <w:rsid w:val="00084A34"/>
    <w:rsid w:val="0008753D"/>
    <w:rsid w:val="000A0BB8"/>
    <w:rsid w:val="000B1152"/>
    <w:rsid w:val="000C29F2"/>
    <w:rsid w:val="000C70D1"/>
    <w:rsid w:val="000D4FAB"/>
    <w:rsid w:val="000E49C2"/>
    <w:rsid w:val="000E55ED"/>
    <w:rsid w:val="000E5C9F"/>
    <w:rsid w:val="00102CF5"/>
    <w:rsid w:val="00104228"/>
    <w:rsid w:val="00115B8E"/>
    <w:rsid w:val="00122318"/>
    <w:rsid w:val="00132E3D"/>
    <w:rsid w:val="00140843"/>
    <w:rsid w:val="0014237C"/>
    <w:rsid w:val="00142EF4"/>
    <w:rsid w:val="00144D31"/>
    <w:rsid w:val="001501A6"/>
    <w:rsid w:val="00151ABE"/>
    <w:rsid w:val="0015628F"/>
    <w:rsid w:val="0016026B"/>
    <w:rsid w:val="0018256B"/>
    <w:rsid w:val="00190EB3"/>
    <w:rsid w:val="0019756B"/>
    <w:rsid w:val="001A2134"/>
    <w:rsid w:val="001A2310"/>
    <w:rsid w:val="001B06AD"/>
    <w:rsid w:val="001B3DF1"/>
    <w:rsid w:val="001B7193"/>
    <w:rsid w:val="001D3C5C"/>
    <w:rsid w:val="001D6602"/>
    <w:rsid w:val="002010D5"/>
    <w:rsid w:val="002025B1"/>
    <w:rsid w:val="0020516C"/>
    <w:rsid w:val="00212A4A"/>
    <w:rsid w:val="00213529"/>
    <w:rsid w:val="00231AEE"/>
    <w:rsid w:val="00240C6B"/>
    <w:rsid w:val="002426EC"/>
    <w:rsid w:val="002448DA"/>
    <w:rsid w:val="0026370E"/>
    <w:rsid w:val="002801A8"/>
    <w:rsid w:val="00295CC9"/>
    <w:rsid w:val="00297EEE"/>
    <w:rsid w:val="002A6089"/>
    <w:rsid w:val="002B0FC1"/>
    <w:rsid w:val="002B1BF9"/>
    <w:rsid w:val="002B3BC3"/>
    <w:rsid w:val="002B6A14"/>
    <w:rsid w:val="002E007F"/>
    <w:rsid w:val="002F515F"/>
    <w:rsid w:val="00303D69"/>
    <w:rsid w:val="00305FC5"/>
    <w:rsid w:val="003113D1"/>
    <w:rsid w:val="00326C89"/>
    <w:rsid w:val="0033493B"/>
    <w:rsid w:val="003526F6"/>
    <w:rsid w:val="003533D4"/>
    <w:rsid w:val="00363753"/>
    <w:rsid w:val="00374A41"/>
    <w:rsid w:val="00382EE7"/>
    <w:rsid w:val="00383320"/>
    <w:rsid w:val="00394B39"/>
    <w:rsid w:val="00397705"/>
    <w:rsid w:val="003B13E4"/>
    <w:rsid w:val="003C0394"/>
    <w:rsid w:val="003C293A"/>
    <w:rsid w:val="003C357A"/>
    <w:rsid w:val="003C7437"/>
    <w:rsid w:val="003D78C4"/>
    <w:rsid w:val="003E49AA"/>
    <w:rsid w:val="003E755A"/>
    <w:rsid w:val="004118F2"/>
    <w:rsid w:val="00416F5F"/>
    <w:rsid w:val="00417405"/>
    <w:rsid w:val="004252B1"/>
    <w:rsid w:val="00427112"/>
    <w:rsid w:val="0044763A"/>
    <w:rsid w:val="00453F6E"/>
    <w:rsid w:val="00457CD2"/>
    <w:rsid w:val="00460DA4"/>
    <w:rsid w:val="00462A3A"/>
    <w:rsid w:val="00464DE6"/>
    <w:rsid w:val="004746FE"/>
    <w:rsid w:val="00492A76"/>
    <w:rsid w:val="004A3484"/>
    <w:rsid w:val="004A39CF"/>
    <w:rsid w:val="004A5F21"/>
    <w:rsid w:val="004B5F96"/>
    <w:rsid w:val="004B7AC4"/>
    <w:rsid w:val="004C4128"/>
    <w:rsid w:val="004D20B1"/>
    <w:rsid w:val="004E0F6C"/>
    <w:rsid w:val="004E68E9"/>
    <w:rsid w:val="004F4643"/>
    <w:rsid w:val="00514FBE"/>
    <w:rsid w:val="00523739"/>
    <w:rsid w:val="00523D36"/>
    <w:rsid w:val="005537FA"/>
    <w:rsid w:val="00563D5D"/>
    <w:rsid w:val="00564439"/>
    <w:rsid w:val="00572210"/>
    <w:rsid w:val="0057710F"/>
    <w:rsid w:val="00585A77"/>
    <w:rsid w:val="005A5833"/>
    <w:rsid w:val="005B1171"/>
    <w:rsid w:val="005B1304"/>
    <w:rsid w:val="005C1C1F"/>
    <w:rsid w:val="005C3D35"/>
    <w:rsid w:val="005D64FE"/>
    <w:rsid w:val="005F0CC6"/>
    <w:rsid w:val="00610AFB"/>
    <w:rsid w:val="0061348C"/>
    <w:rsid w:val="006216DA"/>
    <w:rsid w:val="00623AF4"/>
    <w:rsid w:val="006612AA"/>
    <w:rsid w:val="00673D3A"/>
    <w:rsid w:val="00682D37"/>
    <w:rsid w:val="00697EEA"/>
    <w:rsid w:val="006A5186"/>
    <w:rsid w:val="006A6986"/>
    <w:rsid w:val="006A7AB3"/>
    <w:rsid w:val="006A7BFF"/>
    <w:rsid w:val="006C1D09"/>
    <w:rsid w:val="006D0AD6"/>
    <w:rsid w:val="006E2ED0"/>
    <w:rsid w:val="006E3355"/>
    <w:rsid w:val="006E5EAB"/>
    <w:rsid w:val="006F274B"/>
    <w:rsid w:val="006F326E"/>
    <w:rsid w:val="0072559C"/>
    <w:rsid w:val="00730145"/>
    <w:rsid w:val="00741A1E"/>
    <w:rsid w:val="00742077"/>
    <w:rsid w:val="0074223A"/>
    <w:rsid w:val="007440E1"/>
    <w:rsid w:val="00745DEF"/>
    <w:rsid w:val="00747292"/>
    <w:rsid w:val="007706E5"/>
    <w:rsid w:val="007822F0"/>
    <w:rsid w:val="007862D5"/>
    <w:rsid w:val="007A7D84"/>
    <w:rsid w:val="007B1548"/>
    <w:rsid w:val="007B7C43"/>
    <w:rsid w:val="007C1616"/>
    <w:rsid w:val="007C4480"/>
    <w:rsid w:val="007E1D4E"/>
    <w:rsid w:val="007F4413"/>
    <w:rsid w:val="00807406"/>
    <w:rsid w:val="0082138C"/>
    <w:rsid w:val="00824465"/>
    <w:rsid w:val="00825F9F"/>
    <w:rsid w:val="00827023"/>
    <w:rsid w:val="0083162E"/>
    <w:rsid w:val="00831E10"/>
    <w:rsid w:val="0083764F"/>
    <w:rsid w:val="00843C57"/>
    <w:rsid w:val="008550EE"/>
    <w:rsid w:val="00857745"/>
    <w:rsid w:val="00866779"/>
    <w:rsid w:val="00870264"/>
    <w:rsid w:val="008750DD"/>
    <w:rsid w:val="008755B4"/>
    <w:rsid w:val="008957C0"/>
    <w:rsid w:val="00896BC3"/>
    <w:rsid w:val="008A65CF"/>
    <w:rsid w:val="008B0F78"/>
    <w:rsid w:val="008D0A7D"/>
    <w:rsid w:val="008D351A"/>
    <w:rsid w:val="008D4C21"/>
    <w:rsid w:val="008E1F8A"/>
    <w:rsid w:val="008E6F47"/>
    <w:rsid w:val="00904025"/>
    <w:rsid w:val="00916F90"/>
    <w:rsid w:val="00920826"/>
    <w:rsid w:val="00941B2A"/>
    <w:rsid w:val="00943387"/>
    <w:rsid w:val="009645BC"/>
    <w:rsid w:val="00972A1B"/>
    <w:rsid w:val="009753EE"/>
    <w:rsid w:val="0099139A"/>
    <w:rsid w:val="009B78D2"/>
    <w:rsid w:val="009D1B64"/>
    <w:rsid w:val="009D1EC1"/>
    <w:rsid w:val="009E6E8C"/>
    <w:rsid w:val="009F2F59"/>
    <w:rsid w:val="009F6501"/>
    <w:rsid w:val="00A00C49"/>
    <w:rsid w:val="00A05911"/>
    <w:rsid w:val="00A2467F"/>
    <w:rsid w:val="00A30DC2"/>
    <w:rsid w:val="00A32F5D"/>
    <w:rsid w:val="00A342E5"/>
    <w:rsid w:val="00A36D6B"/>
    <w:rsid w:val="00A52D76"/>
    <w:rsid w:val="00A55D69"/>
    <w:rsid w:val="00A56C93"/>
    <w:rsid w:val="00A6379A"/>
    <w:rsid w:val="00A70873"/>
    <w:rsid w:val="00A750C2"/>
    <w:rsid w:val="00A869FE"/>
    <w:rsid w:val="00AA73B8"/>
    <w:rsid w:val="00AB1BA0"/>
    <w:rsid w:val="00AC4874"/>
    <w:rsid w:val="00AD12D1"/>
    <w:rsid w:val="00AD7091"/>
    <w:rsid w:val="00B10942"/>
    <w:rsid w:val="00B1230C"/>
    <w:rsid w:val="00B1718F"/>
    <w:rsid w:val="00B208A0"/>
    <w:rsid w:val="00B244B6"/>
    <w:rsid w:val="00B46634"/>
    <w:rsid w:val="00B50C3D"/>
    <w:rsid w:val="00B64060"/>
    <w:rsid w:val="00B70F76"/>
    <w:rsid w:val="00B80AAF"/>
    <w:rsid w:val="00B877DA"/>
    <w:rsid w:val="00BB4451"/>
    <w:rsid w:val="00BC2D04"/>
    <w:rsid w:val="00BD5D2F"/>
    <w:rsid w:val="00BE204E"/>
    <w:rsid w:val="00BE38DC"/>
    <w:rsid w:val="00BE3A75"/>
    <w:rsid w:val="00BF22BB"/>
    <w:rsid w:val="00BF5DC2"/>
    <w:rsid w:val="00C062BF"/>
    <w:rsid w:val="00C20B7C"/>
    <w:rsid w:val="00C6237B"/>
    <w:rsid w:val="00C65C36"/>
    <w:rsid w:val="00C814EF"/>
    <w:rsid w:val="00C8603E"/>
    <w:rsid w:val="00C9470F"/>
    <w:rsid w:val="00C97BAF"/>
    <w:rsid w:val="00CB7D09"/>
    <w:rsid w:val="00CC2412"/>
    <w:rsid w:val="00CC3A88"/>
    <w:rsid w:val="00CD3C43"/>
    <w:rsid w:val="00CD67C0"/>
    <w:rsid w:val="00CE408A"/>
    <w:rsid w:val="00CF2618"/>
    <w:rsid w:val="00CF67D4"/>
    <w:rsid w:val="00D07C60"/>
    <w:rsid w:val="00D1164A"/>
    <w:rsid w:val="00D13988"/>
    <w:rsid w:val="00D23049"/>
    <w:rsid w:val="00D35B7C"/>
    <w:rsid w:val="00D361B3"/>
    <w:rsid w:val="00D43B9B"/>
    <w:rsid w:val="00D51268"/>
    <w:rsid w:val="00D755AD"/>
    <w:rsid w:val="00D75DBC"/>
    <w:rsid w:val="00D769AE"/>
    <w:rsid w:val="00D80404"/>
    <w:rsid w:val="00D826D2"/>
    <w:rsid w:val="00D87917"/>
    <w:rsid w:val="00DA4E11"/>
    <w:rsid w:val="00DB5FFE"/>
    <w:rsid w:val="00DD3EA3"/>
    <w:rsid w:val="00DD7513"/>
    <w:rsid w:val="00E064C8"/>
    <w:rsid w:val="00E065A8"/>
    <w:rsid w:val="00E17651"/>
    <w:rsid w:val="00E31A1B"/>
    <w:rsid w:val="00E32DA7"/>
    <w:rsid w:val="00E417D1"/>
    <w:rsid w:val="00E45F04"/>
    <w:rsid w:val="00E50299"/>
    <w:rsid w:val="00E54E28"/>
    <w:rsid w:val="00E67793"/>
    <w:rsid w:val="00E7029D"/>
    <w:rsid w:val="00E74A96"/>
    <w:rsid w:val="00E8788C"/>
    <w:rsid w:val="00E92122"/>
    <w:rsid w:val="00EA1692"/>
    <w:rsid w:val="00EA4C5A"/>
    <w:rsid w:val="00ED0634"/>
    <w:rsid w:val="00ED784D"/>
    <w:rsid w:val="00F06B1A"/>
    <w:rsid w:val="00F1318F"/>
    <w:rsid w:val="00F20A06"/>
    <w:rsid w:val="00F24A41"/>
    <w:rsid w:val="00F61D50"/>
    <w:rsid w:val="00FA08F0"/>
    <w:rsid w:val="00FB05E1"/>
    <w:rsid w:val="00FB6E0D"/>
    <w:rsid w:val="00FC360C"/>
    <w:rsid w:val="00FD0F51"/>
    <w:rsid w:val="00FD1B7B"/>
    <w:rsid w:val="00FE011F"/>
    <w:rsid w:val="00FE553F"/>
    <w:rsid w:val="00FF0A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0B1"/>
  </w:style>
  <w:style w:type="paragraph" w:styleId="2">
    <w:name w:val="heading 2"/>
    <w:basedOn w:val="a"/>
    <w:link w:val="20"/>
    <w:uiPriority w:val="9"/>
    <w:qFormat/>
    <w:rsid w:val="00C947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C947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BC2D04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1A2134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1A2134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1A2134"/>
    <w:rPr>
      <w:vertAlign w:val="superscript"/>
    </w:rPr>
  </w:style>
  <w:style w:type="character" w:styleId="a7">
    <w:name w:val="Hyperlink"/>
    <w:basedOn w:val="a0"/>
    <w:uiPriority w:val="99"/>
    <w:unhideWhenUsed/>
    <w:rsid w:val="008D0A7D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BE3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374A41"/>
  </w:style>
  <w:style w:type="paragraph" w:styleId="a9">
    <w:name w:val="Normal (Web)"/>
    <w:basedOn w:val="a"/>
    <w:uiPriority w:val="99"/>
    <w:semiHidden/>
    <w:unhideWhenUsed/>
    <w:rsid w:val="00DD7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Strong"/>
    <w:basedOn w:val="a0"/>
    <w:uiPriority w:val="22"/>
    <w:qFormat/>
    <w:rsid w:val="00FA08F0"/>
    <w:rPr>
      <w:b/>
      <w:bCs/>
    </w:rPr>
  </w:style>
  <w:style w:type="character" w:styleId="ab">
    <w:name w:val="Emphasis"/>
    <w:basedOn w:val="a0"/>
    <w:uiPriority w:val="20"/>
    <w:qFormat/>
    <w:rsid w:val="00FA08F0"/>
    <w:rPr>
      <w:i/>
      <w:iCs/>
    </w:rPr>
  </w:style>
  <w:style w:type="paragraph" w:customStyle="1" w:styleId="auto-style3">
    <w:name w:val="auto-style3"/>
    <w:basedOn w:val="a"/>
    <w:rsid w:val="00303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o-style7">
    <w:name w:val="auto-style7"/>
    <w:basedOn w:val="a"/>
    <w:rsid w:val="00303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o-style8">
    <w:name w:val="auto-style8"/>
    <w:basedOn w:val="a"/>
    <w:rsid w:val="00303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o-style6">
    <w:name w:val="auto-style6"/>
    <w:basedOn w:val="a"/>
    <w:rsid w:val="00303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o-style9">
    <w:name w:val="auto-style9"/>
    <w:basedOn w:val="a"/>
    <w:rsid w:val="00303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o-style10">
    <w:name w:val="auto-style10"/>
    <w:basedOn w:val="a"/>
    <w:rsid w:val="00303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303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03D69"/>
    <w:rPr>
      <w:rFonts w:ascii="Tahoma" w:hAnsi="Tahoma" w:cs="Tahoma"/>
      <w:sz w:val="16"/>
      <w:szCs w:val="16"/>
    </w:rPr>
  </w:style>
  <w:style w:type="paragraph" w:customStyle="1" w:styleId="auto-style1">
    <w:name w:val="auto-style1"/>
    <w:basedOn w:val="a"/>
    <w:rsid w:val="00EA4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o-style5">
    <w:name w:val="auto-style5"/>
    <w:basedOn w:val="a"/>
    <w:rsid w:val="00EA4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o-style4">
    <w:name w:val="auto-style4"/>
    <w:basedOn w:val="a"/>
    <w:rsid w:val="00EA4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C9470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C9470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a0"/>
    <w:rsid w:val="00C9470F"/>
  </w:style>
  <w:style w:type="character" w:customStyle="1" w:styleId="mw-editsection">
    <w:name w:val="mw-editsection"/>
    <w:basedOn w:val="a0"/>
    <w:rsid w:val="00C9470F"/>
  </w:style>
  <w:style w:type="character" w:customStyle="1" w:styleId="mw-editsection-bracket">
    <w:name w:val="mw-editsection-bracket"/>
    <w:basedOn w:val="a0"/>
    <w:rsid w:val="00C9470F"/>
  </w:style>
  <w:style w:type="character" w:customStyle="1" w:styleId="mw-editsection-divider">
    <w:name w:val="mw-editsection-divider"/>
    <w:basedOn w:val="a0"/>
    <w:rsid w:val="00C9470F"/>
  </w:style>
  <w:style w:type="character" w:customStyle="1" w:styleId="citation">
    <w:name w:val="citation"/>
    <w:basedOn w:val="a0"/>
    <w:rsid w:val="008577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947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C947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BC2D04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1A2134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1A2134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1A2134"/>
    <w:rPr>
      <w:vertAlign w:val="superscript"/>
    </w:rPr>
  </w:style>
  <w:style w:type="character" w:styleId="a7">
    <w:name w:val="Hyperlink"/>
    <w:basedOn w:val="a0"/>
    <w:uiPriority w:val="99"/>
    <w:unhideWhenUsed/>
    <w:rsid w:val="008D0A7D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BE3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A41"/>
  </w:style>
  <w:style w:type="paragraph" w:styleId="a9">
    <w:name w:val="Normal (Web)"/>
    <w:basedOn w:val="a"/>
    <w:uiPriority w:val="99"/>
    <w:semiHidden/>
    <w:unhideWhenUsed/>
    <w:rsid w:val="00DD7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Strong"/>
    <w:basedOn w:val="a0"/>
    <w:uiPriority w:val="22"/>
    <w:qFormat/>
    <w:rsid w:val="00FA08F0"/>
    <w:rPr>
      <w:b/>
      <w:bCs/>
    </w:rPr>
  </w:style>
  <w:style w:type="character" w:styleId="ab">
    <w:name w:val="Emphasis"/>
    <w:basedOn w:val="a0"/>
    <w:uiPriority w:val="20"/>
    <w:qFormat/>
    <w:rsid w:val="00FA08F0"/>
    <w:rPr>
      <w:i/>
      <w:iCs/>
    </w:rPr>
  </w:style>
  <w:style w:type="paragraph" w:customStyle="1" w:styleId="auto-style3">
    <w:name w:val="auto-style3"/>
    <w:basedOn w:val="a"/>
    <w:rsid w:val="00303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o-style7">
    <w:name w:val="auto-style7"/>
    <w:basedOn w:val="a"/>
    <w:rsid w:val="00303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o-style8">
    <w:name w:val="auto-style8"/>
    <w:basedOn w:val="a"/>
    <w:rsid w:val="00303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o-style6">
    <w:name w:val="auto-style6"/>
    <w:basedOn w:val="a"/>
    <w:rsid w:val="00303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o-style9">
    <w:name w:val="auto-style9"/>
    <w:basedOn w:val="a"/>
    <w:rsid w:val="00303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o-style10">
    <w:name w:val="auto-style10"/>
    <w:basedOn w:val="a"/>
    <w:rsid w:val="00303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303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03D69"/>
    <w:rPr>
      <w:rFonts w:ascii="Tahoma" w:hAnsi="Tahoma" w:cs="Tahoma"/>
      <w:sz w:val="16"/>
      <w:szCs w:val="16"/>
    </w:rPr>
  </w:style>
  <w:style w:type="paragraph" w:customStyle="1" w:styleId="auto-style1">
    <w:name w:val="auto-style1"/>
    <w:basedOn w:val="a"/>
    <w:rsid w:val="00EA4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o-style5">
    <w:name w:val="auto-style5"/>
    <w:basedOn w:val="a"/>
    <w:rsid w:val="00EA4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o-style4">
    <w:name w:val="auto-style4"/>
    <w:basedOn w:val="a"/>
    <w:rsid w:val="00EA4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C9470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C9470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a0"/>
    <w:rsid w:val="00C9470F"/>
  </w:style>
  <w:style w:type="character" w:customStyle="1" w:styleId="mw-editsection">
    <w:name w:val="mw-editsection"/>
    <w:basedOn w:val="a0"/>
    <w:rsid w:val="00C9470F"/>
  </w:style>
  <w:style w:type="character" w:customStyle="1" w:styleId="mw-editsection-bracket">
    <w:name w:val="mw-editsection-bracket"/>
    <w:basedOn w:val="a0"/>
    <w:rsid w:val="00C9470F"/>
  </w:style>
  <w:style w:type="character" w:customStyle="1" w:styleId="mw-editsection-divider">
    <w:name w:val="mw-editsection-divider"/>
    <w:basedOn w:val="a0"/>
    <w:rsid w:val="00C9470F"/>
  </w:style>
  <w:style w:type="character" w:customStyle="1" w:styleId="citation">
    <w:name w:val="citation"/>
    <w:basedOn w:val="a0"/>
    <w:rsid w:val="008577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0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6163F3-BCE0-4E5B-9927-114544E53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1172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2</cp:revision>
  <dcterms:created xsi:type="dcterms:W3CDTF">2018-05-07T11:16:00Z</dcterms:created>
  <dcterms:modified xsi:type="dcterms:W3CDTF">2018-05-07T11:16:00Z</dcterms:modified>
</cp:coreProperties>
</file>