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DE8" w:rsidRPr="008734CA" w:rsidRDefault="00D75E12" w:rsidP="005862A8">
      <w:pPr>
        <w:spacing w:after="0" w:line="360" w:lineRule="auto"/>
        <w:ind w:left="284"/>
        <w:rPr>
          <w:rFonts w:ascii="Times New Roman" w:hAnsi="Times New Roman" w:cs="Times New Roman"/>
          <w:sz w:val="28"/>
          <w:szCs w:val="28"/>
        </w:rPr>
      </w:pPr>
      <w:r w:rsidRPr="00300CAC">
        <w:rPr>
          <w:rFonts w:ascii="Times New Roman" w:hAnsi="Times New Roman" w:cs="Times New Roman"/>
          <w:sz w:val="28"/>
          <w:szCs w:val="28"/>
        </w:rPr>
        <w:t>УДК.</w:t>
      </w:r>
      <w:r w:rsidR="00300CAC" w:rsidRPr="008734CA">
        <w:rPr>
          <w:rFonts w:ascii="Times New Roman" w:hAnsi="Times New Roman" w:cs="Times New Roman"/>
          <w:sz w:val="28"/>
          <w:szCs w:val="28"/>
        </w:rPr>
        <w:t>657.1.012:336.2</w:t>
      </w:r>
    </w:p>
    <w:p w:rsidR="00550DE8" w:rsidRPr="00550DE8" w:rsidRDefault="00550DE8" w:rsidP="00CA0173">
      <w:pPr>
        <w:spacing w:after="0" w:line="240" w:lineRule="auto"/>
        <w:ind w:left="284"/>
        <w:jc w:val="right"/>
        <w:rPr>
          <w:rFonts w:ascii="Times New Roman" w:hAnsi="Times New Roman" w:cs="Times New Roman"/>
          <w:i/>
          <w:sz w:val="28"/>
          <w:szCs w:val="28"/>
        </w:rPr>
      </w:pPr>
      <w:r w:rsidRPr="00550DE8">
        <w:rPr>
          <w:rFonts w:ascii="Times New Roman" w:hAnsi="Times New Roman" w:cs="Times New Roman"/>
          <w:i/>
          <w:sz w:val="28"/>
          <w:szCs w:val="28"/>
        </w:rPr>
        <w:t>Омарова О.Ф., профессор</w:t>
      </w:r>
    </w:p>
    <w:p w:rsidR="00550DE8" w:rsidRPr="00550DE8" w:rsidRDefault="00550DE8" w:rsidP="00CA0173">
      <w:pPr>
        <w:spacing w:after="0" w:line="240" w:lineRule="auto"/>
        <w:ind w:left="284"/>
        <w:jc w:val="right"/>
        <w:rPr>
          <w:rFonts w:ascii="Times New Roman" w:hAnsi="Times New Roman" w:cs="Times New Roman"/>
          <w:i/>
          <w:sz w:val="28"/>
          <w:szCs w:val="28"/>
        </w:rPr>
      </w:pPr>
      <w:r w:rsidRPr="00550DE8">
        <w:rPr>
          <w:rFonts w:ascii="Times New Roman" w:hAnsi="Times New Roman" w:cs="Times New Roman"/>
          <w:i/>
          <w:sz w:val="28"/>
          <w:szCs w:val="28"/>
        </w:rPr>
        <w:t>кафедры «Бухгалтерский учет»</w:t>
      </w:r>
    </w:p>
    <w:p w:rsidR="00550DE8" w:rsidRPr="00550DE8" w:rsidRDefault="00550DE8" w:rsidP="00CA0173">
      <w:pPr>
        <w:spacing w:after="0" w:line="240" w:lineRule="auto"/>
        <w:ind w:left="284"/>
        <w:jc w:val="right"/>
        <w:rPr>
          <w:rFonts w:ascii="Times New Roman" w:hAnsi="Times New Roman" w:cs="Times New Roman"/>
          <w:i/>
          <w:sz w:val="28"/>
          <w:szCs w:val="28"/>
        </w:rPr>
      </w:pPr>
      <w:r w:rsidRPr="00550DE8">
        <w:rPr>
          <w:rFonts w:ascii="Times New Roman" w:hAnsi="Times New Roman" w:cs="Times New Roman"/>
          <w:i/>
          <w:sz w:val="28"/>
          <w:szCs w:val="28"/>
        </w:rPr>
        <w:t xml:space="preserve">ФГБОУ </w:t>
      </w:r>
      <w:proofErr w:type="gramStart"/>
      <w:r w:rsidRPr="00550DE8">
        <w:rPr>
          <w:rFonts w:ascii="Times New Roman" w:hAnsi="Times New Roman" w:cs="Times New Roman"/>
          <w:i/>
          <w:sz w:val="28"/>
          <w:szCs w:val="28"/>
        </w:rPr>
        <w:t>ВО</w:t>
      </w:r>
      <w:proofErr w:type="gramEnd"/>
      <w:r w:rsidRPr="00550DE8">
        <w:rPr>
          <w:rFonts w:ascii="Times New Roman" w:hAnsi="Times New Roman" w:cs="Times New Roman"/>
          <w:i/>
          <w:sz w:val="28"/>
          <w:szCs w:val="28"/>
        </w:rPr>
        <w:t xml:space="preserve"> «Дагестанский государственный университет»</w:t>
      </w:r>
    </w:p>
    <w:p w:rsidR="00550DE8" w:rsidRDefault="00550DE8" w:rsidP="00CA0173">
      <w:pPr>
        <w:spacing w:after="0" w:line="240" w:lineRule="auto"/>
        <w:ind w:left="284"/>
        <w:jc w:val="right"/>
        <w:rPr>
          <w:rFonts w:ascii="Times New Roman" w:hAnsi="Times New Roman" w:cs="Times New Roman"/>
          <w:i/>
          <w:sz w:val="28"/>
          <w:szCs w:val="28"/>
        </w:rPr>
      </w:pPr>
      <w:r w:rsidRPr="00550DE8">
        <w:rPr>
          <w:rFonts w:ascii="Times New Roman" w:hAnsi="Times New Roman" w:cs="Times New Roman"/>
          <w:i/>
          <w:sz w:val="28"/>
          <w:szCs w:val="28"/>
        </w:rPr>
        <w:t>Махачкала, Россия</w:t>
      </w:r>
    </w:p>
    <w:p w:rsidR="00336012" w:rsidRDefault="00336012" w:rsidP="00550DE8">
      <w:pPr>
        <w:spacing w:after="0" w:line="360" w:lineRule="auto"/>
        <w:ind w:left="284"/>
        <w:jc w:val="right"/>
        <w:rPr>
          <w:rFonts w:ascii="Times New Roman" w:hAnsi="Times New Roman" w:cs="Times New Roman"/>
          <w:i/>
          <w:sz w:val="28"/>
          <w:szCs w:val="28"/>
        </w:rPr>
      </w:pPr>
    </w:p>
    <w:p w:rsidR="000D6A93" w:rsidRPr="00E55A5B" w:rsidRDefault="000D6A93" w:rsidP="000D6A93">
      <w:pPr>
        <w:spacing w:after="0" w:line="360" w:lineRule="auto"/>
        <w:ind w:right="75"/>
        <w:jc w:val="center"/>
        <w:outlineLvl w:val="0"/>
        <w:rPr>
          <w:rFonts w:ascii="Times New Roman" w:eastAsia="Times New Roman" w:hAnsi="Times New Roman" w:cs="Times New Roman"/>
          <w:b/>
          <w:bCs/>
          <w:kern w:val="36"/>
          <w:sz w:val="28"/>
          <w:szCs w:val="28"/>
        </w:rPr>
      </w:pPr>
      <w:r w:rsidRPr="000D6A93">
        <w:rPr>
          <w:rFonts w:ascii="Times New Roman" w:eastAsia="Times New Roman" w:hAnsi="Times New Roman" w:cs="Times New Roman"/>
          <w:b/>
          <w:bCs/>
          <w:kern w:val="36"/>
          <w:sz w:val="28"/>
          <w:szCs w:val="28"/>
        </w:rPr>
        <w:t>Организационные формы бухгалтерской службы в негосударственных общеобразовательных учреждениях</w:t>
      </w:r>
    </w:p>
    <w:p w:rsidR="000D6A93" w:rsidRPr="000D6A93" w:rsidRDefault="000D6A93" w:rsidP="000D6A93">
      <w:pPr>
        <w:spacing w:after="0" w:line="360" w:lineRule="auto"/>
        <w:ind w:firstLine="634"/>
        <w:jc w:val="both"/>
        <w:rPr>
          <w:rFonts w:ascii="Times New Roman" w:eastAsiaTheme="minorHAnsi" w:hAnsi="Times New Roman" w:cs="Times New Roman"/>
          <w:sz w:val="28"/>
          <w:szCs w:val="28"/>
          <w:lang w:eastAsia="en-US"/>
        </w:rPr>
      </w:pPr>
      <w:r w:rsidRPr="000D6A93">
        <w:rPr>
          <w:rFonts w:ascii="Times New Roman" w:eastAsiaTheme="minorHAnsi" w:hAnsi="Times New Roman" w:cs="Times New Roman"/>
          <w:sz w:val="28"/>
          <w:szCs w:val="28"/>
          <w:lang w:eastAsia="en-US"/>
        </w:rPr>
        <w:t>На сегодняшний день основы бухгалтерского учета в негосударственных образовательных учреждениях, как и в других коммерческих и некоммерческих организациях, закреплены в Федеральном законе "О бухгалтерском учете". Систему государственных нормативных актов негосударственные образовательные учреждения дополняют созданием внутренних стандартов, учитывающих условия хозяйствования. В этой ситуации учетная политика может рассматриваться как элемент системы нормативного регулирования, позволяющий организовать бухгалтерский учет в учреждении.</w:t>
      </w:r>
    </w:p>
    <w:p w:rsidR="000D6A93" w:rsidRPr="000D6A93" w:rsidRDefault="000D6A93" w:rsidP="000D6A93">
      <w:pPr>
        <w:spacing w:after="0" w:line="360" w:lineRule="auto"/>
        <w:ind w:firstLine="634"/>
        <w:jc w:val="both"/>
        <w:rPr>
          <w:rFonts w:ascii="Times New Roman" w:eastAsiaTheme="minorHAnsi" w:hAnsi="Times New Roman" w:cs="Times New Roman"/>
          <w:sz w:val="28"/>
          <w:szCs w:val="28"/>
          <w:lang w:eastAsia="en-US"/>
        </w:rPr>
      </w:pPr>
      <w:r w:rsidRPr="000D6A93">
        <w:rPr>
          <w:rFonts w:ascii="Times New Roman" w:eastAsiaTheme="minorHAnsi" w:hAnsi="Times New Roman" w:cs="Times New Roman"/>
          <w:sz w:val="28"/>
          <w:szCs w:val="28"/>
          <w:lang w:eastAsia="en-US"/>
        </w:rPr>
        <w:t>Элементы учетной политики, определяющие порядок ведения бухгалтерского учета и его организацию, являются составной частью организационно-технического раздела учетной политики организации.</w:t>
      </w:r>
    </w:p>
    <w:p w:rsidR="000D6A93" w:rsidRPr="000D6A93" w:rsidRDefault="000D6A93" w:rsidP="000D6A93">
      <w:pPr>
        <w:spacing w:after="0" w:line="360" w:lineRule="auto"/>
        <w:ind w:firstLine="634"/>
        <w:jc w:val="both"/>
        <w:rPr>
          <w:rFonts w:ascii="Times New Roman" w:eastAsiaTheme="minorHAnsi" w:hAnsi="Times New Roman" w:cs="Times New Roman"/>
          <w:sz w:val="28"/>
          <w:szCs w:val="28"/>
          <w:lang w:eastAsia="en-US"/>
        </w:rPr>
      </w:pPr>
      <w:r w:rsidRPr="000D6A93">
        <w:rPr>
          <w:rFonts w:ascii="Times New Roman" w:eastAsiaTheme="minorHAnsi" w:hAnsi="Times New Roman" w:cs="Times New Roman"/>
          <w:sz w:val="28"/>
          <w:szCs w:val="28"/>
          <w:lang w:eastAsia="en-US"/>
        </w:rPr>
        <w:t>Организационно-технические аспекты учетной политики включают ответы на вопросы: кто участвует в учетном процессе, с помощью каких инструментов обрабатывается информация, какова технология обработки информации. Такая формулировка применима и для негосударственных образовательных учреждений.</w:t>
      </w:r>
    </w:p>
    <w:p w:rsidR="000D6A93" w:rsidRPr="000D6A93" w:rsidRDefault="000D6A93" w:rsidP="000D6A93">
      <w:pPr>
        <w:spacing w:after="0" w:line="360" w:lineRule="auto"/>
        <w:ind w:firstLine="634"/>
        <w:jc w:val="both"/>
        <w:rPr>
          <w:rFonts w:ascii="Times New Roman" w:eastAsiaTheme="minorHAnsi" w:hAnsi="Times New Roman" w:cs="Times New Roman"/>
          <w:sz w:val="28"/>
          <w:szCs w:val="28"/>
          <w:lang w:eastAsia="en-US"/>
        </w:rPr>
      </w:pPr>
      <w:r w:rsidRPr="000D6A93">
        <w:rPr>
          <w:rFonts w:ascii="Times New Roman" w:eastAsiaTheme="minorHAnsi" w:hAnsi="Times New Roman" w:cs="Times New Roman"/>
          <w:sz w:val="28"/>
          <w:szCs w:val="28"/>
          <w:lang w:eastAsia="en-US"/>
        </w:rPr>
        <w:t>Правовой статус бухгалтерской службы в организациях регулируется действующим законодательством, нормативными актами по бухгалтерскому учету и определяется масштабами и организационной структурой управления организацией. В соответствии с Федеральным законом «О бухгалтерском учете» (ст. 6) руководители организаций могут в зависимости от объема учетной работы:</w:t>
      </w:r>
    </w:p>
    <w:p w:rsidR="000D6A93" w:rsidRPr="000D6A93" w:rsidRDefault="000D6A93" w:rsidP="000D6A93">
      <w:pPr>
        <w:spacing w:after="0" w:line="360" w:lineRule="auto"/>
        <w:ind w:firstLine="634"/>
        <w:jc w:val="both"/>
        <w:rPr>
          <w:rFonts w:ascii="Times New Roman" w:eastAsiaTheme="minorHAnsi" w:hAnsi="Times New Roman" w:cs="Times New Roman"/>
          <w:sz w:val="28"/>
          <w:szCs w:val="28"/>
          <w:lang w:eastAsia="en-US"/>
        </w:rPr>
      </w:pPr>
      <w:r w:rsidRPr="000D6A93">
        <w:rPr>
          <w:rFonts w:ascii="Times New Roman" w:eastAsiaTheme="minorHAnsi" w:hAnsi="Times New Roman" w:cs="Times New Roman"/>
          <w:sz w:val="28"/>
          <w:szCs w:val="28"/>
          <w:lang w:eastAsia="en-US"/>
        </w:rPr>
        <w:lastRenderedPageBreak/>
        <w:t>- учредить бухгалтерскую службу как структурное подразделение, возглавляемое главным бухгалтером;</w:t>
      </w:r>
    </w:p>
    <w:p w:rsidR="000D6A93" w:rsidRPr="000D6A93" w:rsidRDefault="000D6A93" w:rsidP="000D6A93">
      <w:pPr>
        <w:spacing w:after="0" w:line="360" w:lineRule="auto"/>
        <w:ind w:firstLine="634"/>
        <w:jc w:val="both"/>
        <w:rPr>
          <w:rFonts w:ascii="Times New Roman" w:eastAsiaTheme="minorHAnsi" w:hAnsi="Times New Roman" w:cs="Times New Roman"/>
          <w:sz w:val="28"/>
          <w:szCs w:val="28"/>
          <w:lang w:eastAsia="en-US"/>
        </w:rPr>
      </w:pPr>
      <w:r w:rsidRPr="000D6A93">
        <w:rPr>
          <w:rFonts w:ascii="Times New Roman" w:eastAsiaTheme="minorHAnsi" w:hAnsi="Times New Roman" w:cs="Times New Roman"/>
          <w:sz w:val="28"/>
          <w:szCs w:val="28"/>
          <w:lang w:eastAsia="en-US"/>
        </w:rPr>
        <w:t>- ввести в штат должность бухгалтера;</w:t>
      </w:r>
    </w:p>
    <w:p w:rsidR="000D6A93" w:rsidRPr="000D6A93" w:rsidRDefault="000D6A93" w:rsidP="000D6A93">
      <w:pPr>
        <w:spacing w:after="0" w:line="360" w:lineRule="auto"/>
        <w:ind w:firstLine="634"/>
        <w:jc w:val="both"/>
        <w:rPr>
          <w:rFonts w:ascii="Times New Roman" w:eastAsiaTheme="minorHAnsi" w:hAnsi="Times New Roman" w:cs="Times New Roman"/>
          <w:sz w:val="28"/>
          <w:szCs w:val="28"/>
          <w:lang w:eastAsia="en-US"/>
        </w:rPr>
      </w:pPr>
      <w:r w:rsidRPr="000D6A93">
        <w:rPr>
          <w:rFonts w:ascii="Times New Roman" w:eastAsiaTheme="minorHAnsi" w:hAnsi="Times New Roman" w:cs="Times New Roman"/>
          <w:sz w:val="28"/>
          <w:szCs w:val="28"/>
          <w:lang w:eastAsia="en-US"/>
        </w:rPr>
        <w:t>- передать на договорных началах ведение бухгалтерского учета централизованной бухгалтерии, специализированной организации или - бухгалтеру-специалисту;</w:t>
      </w:r>
    </w:p>
    <w:p w:rsidR="000D6A93" w:rsidRPr="000D6A93" w:rsidRDefault="000D6A93" w:rsidP="000D6A93">
      <w:pPr>
        <w:spacing w:after="0" w:line="360" w:lineRule="auto"/>
        <w:ind w:firstLine="634"/>
        <w:jc w:val="both"/>
        <w:rPr>
          <w:rFonts w:ascii="Times New Roman" w:eastAsiaTheme="minorHAnsi" w:hAnsi="Times New Roman" w:cs="Times New Roman"/>
          <w:sz w:val="28"/>
          <w:szCs w:val="28"/>
          <w:lang w:eastAsia="en-US"/>
        </w:rPr>
      </w:pPr>
      <w:r w:rsidRPr="000D6A93">
        <w:rPr>
          <w:rFonts w:ascii="Times New Roman" w:eastAsiaTheme="minorHAnsi" w:hAnsi="Times New Roman" w:cs="Times New Roman"/>
          <w:sz w:val="28"/>
          <w:szCs w:val="28"/>
          <w:lang w:eastAsia="en-US"/>
        </w:rPr>
        <w:t>- вести бухгалтерский учет лично.</w:t>
      </w:r>
    </w:p>
    <w:p w:rsidR="000D6A93" w:rsidRPr="000D6A93" w:rsidRDefault="000D6A93" w:rsidP="000D6A93">
      <w:pPr>
        <w:spacing w:after="0" w:line="360" w:lineRule="auto"/>
        <w:ind w:firstLine="634"/>
        <w:jc w:val="both"/>
        <w:rPr>
          <w:rFonts w:ascii="Times New Roman" w:eastAsiaTheme="minorHAnsi" w:hAnsi="Times New Roman" w:cs="Times New Roman"/>
          <w:sz w:val="28"/>
          <w:szCs w:val="28"/>
          <w:lang w:eastAsia="en-US"/>
        </w:rPr>
      </w:pPr>
      <w:r w:rsidRPr="000D6A93">
        <w:rPr>
          <w:rFonts w:ascii="Times New Roman" w:eastAsiaTheme="minorHAnsi" w:hAnsi="Times New Roman" w:cs="Times New Roman"/>
          <w:sz w:val="28"/>
          <w:szCs w:val="28"/>
          <w:lang w:eastAsia="en-US"/>
        </w:rPr>
        <w:t>Отнесение вопроса о форме организации и ведения бухгалтерского учета к компетенции руководителя означает, что учредители, акционеры или другие участники соответствующего юридического лица, а также собственники имущества не вправе своими решениями непосредственно определять форму организации учетной работы.</w:t>
      </w:r>
    </w:p>
    <w:p w:rsidR="000D6A93" w:rsidRPr="000D6A93" w:rsidRDefault="000D6A93" w:rsidP="000D6A93">
      <w:pPr>
        <w:spacing w:after="0" w:line="360" w:lineRule="auto"/>
        <w:ind w:firstLine="634"/>
        <w:jc w:val="both"/>
        <w:rPr>
          <w:rFonts w:ascii="Times New Roman" w:eastAsiaTheme="minorHAnsi" w:hAnsi="Times New Roman" w:cs="Times New Roman"/>
          <w:sz w:val="28"/>
          <w:szCs w:val="28"/>
          <w:lang w:eastAsia="en-US"/>
        </w:rPr>
      </w:pPr>
      <w:r w:rsidRPr="000D6A93">
        <w:rPr>
          <w:rFonts w:ascii="Times New Roman" w:eastAsiaTheme="minorHAnsi" w:hAnsi="Times New Roman" w:cs="Times New Roman"/>
          <w:sz w:val="28"/>
          <w:szCs w:val="28"/>
          <w:lang w:eastAsia="en-US"/>
        </w:rPr>
        <w:t>На практике руководитель организации крайне редко ведет бухгалтерский учет сам. Во всех случаях организации бухгалтерской службы руководитель должен создать необходимые условия для правильного ведения бухгалтерского учета, обеспечить неукоснительное выполнение всеми структурными подразделениями, работниками организации, имеющими отношение к учету, требований главного бухгалтера или бухгалтера, выполняющего его функции, по вопросам оформления и представления для учета необходимых документов и сведений.</w:t>
      </w:r>
    </w:p>
    <w:p w:rsidR="000D6A93" w:rsidRPr="000D6A93" w:rsidRDefault="000D6A93" w:rsidP="000D6A93">
      <w:pPr>
        <w:spacing w:after="0" w:line="360" w:lineRule="auto"/>
        <w:ind w:firstLine="634"/>
        <w:jc w:val="both"/>
        <w:rPr>
          <w:rFonts w:ascii="Times New Roman" w:eastAsiaTheme="minorHAnsi" w:hAnsi="Times New Roman" w:cs="Times New Roman"/>
          <w:sz w:val="28"/>
          <w:szCs w:val="28"/>
          <w:lang w:eastAsia="en-US"/>
        </w:rPr>
      </w:pPr>
      <w:r w:rsidRPr="000D6A93">
        <w:rPr>
          <w:rFonts w:ascii="Times New Roman" w:eastAsiaTheme="minorHAnsi" w:hAnsi="Times New Roman" w:cs="Times New Roman"/>
          <w:sz w:val="28"/>
          <w:szCs w:val="28"/>
          <w:lang w:eastAsia="en-US"/>
        </w:rPr>
        <w:t>Федеральный закон «О бухгалтерском учете» определяет основные задачи, стоящие перед бухгалтерской службой организации:</w:t>
      </w:r>
    </w:p>
    <w:p w:rsidR="000D6A93" w:rsidRPr="000D6A93" w:rsidRDefault="000D6A93" w:rsidP="000D6A93">
      <w:pPr>
        <w:spacing w:after="0" w:line="360" w:lineRule="auto"/>
        <w:ind w:firstLine="634"/>
        <w:jc w:val="both"/>
        <w:rPr>
          <w:rFonts w:ascii="Times New Roman" w:eastAsiaTheme="minorHAnsi" w:hAnsi="Times New Roman" w:cs="Times New Roman"/>
          <w:sz w:val="28"/>
          <w:szCs w:val="28"/>
          <w:lang w:eastAsia="en-US"/>
        </w:rPr>
      </w:pPr>
      <w:r w:rsidRPr="000D6A93">
        <w:rPr>
          <w:rFonts w:ascii="Times New Roman" w:eastAsiaTheme="minorHAnsi" w:hAnsi="Times New Roman" w:cs="Times New Roman"/>
          <w:sz w:val="28"/>
          <w:szCs w:val="28"/>
          <w:lang w:eastAsia="en-US"/>
        </w:rPr>
        <w:t>- формирование полной и достоверной информации о деятельности организац</w:t>
      </w:r>
      <w:proofErr w:type="gramStart"/>
      <w:r w:rsidRPr="000D6A93">
        <w:rPr>
          <w:rFonts w:ascii="Times New Roman" w:eastAsiaTheme="minorHAnsi" w:hAnsi="Times New Roman" w:cs="Times New Roman"/>
          <w:sz w:val="28"/>
          <w:szCs w:val="28"/>
          <w:lang w:eastAsia="en-US"/>
        </w:rPr>
        <w:t>ии и ее</w:t>
      </w:r>
      <w:proofErr w:type="gramEnd"/>
      <w:r w:rsidRPr="000D6A93">
        <w:rPr>
          <w:rFonts w:ascii="Times New Roman" w:eastAsiaTheme="minorHAnsi" w:hAnsi="Times New Roman" w:cs="Times New Roman"/>
          <w:sz w:val="28"/>
          <w:szCs w:val="28"/>
          <w:lang w:eastAsia="en-US"/>
        </w:rPr>
        <w:t xml:space="preserve"> имущественном положении, необходимой внутренним пользователям бухгалтерской отчетности — руководителям, учредителям и собственникам имущества организации, а также внешним — инвесторам, кредиторам и другим пользователям бухгалтерской отчетности;</w:t>
      </w:r>
    </w:p>
    <w:p w:rsidR="000D6A93" w:rsidRPr="000D6A93" w:rsidRDefault="000D6A93" w:rsidP="000D6A93">
      <w:pPr>
        <w:spacing w:after="0" w:line="360" w:lineRule="auto"/>
        <w:ind w:firstLine="634"/>
        <w:jc w:val="both"/>
        <w:rPr>
          <w:rFonts w:ascii="Times New Roman" w:eastAsiaTheme="minorHAnsi" w:hAnsi="Times New Roman" w:cs="Times New Roman"/>
          <w:sz w:val="28"/>
          <w:szCs w:val="28"/>
          <w:lang w:eastAsia="en-US"/>
        </w:rPr>
      </w:pPr>
      <w:r w:rsidRPr="000D6A93">
        <w:rPr>
          <w:rFonts w:ascii="Times New Roman" w:eastAsiaTheme="minorHAnsi" w:hAnsi="Times New Roman" w:cs="Times New Roman"/>
          <w:sz w:val="28"/>
          <w:szCs w:val="28"/>
          <w:lang w:eastAsia="en-US"/>
        </w:rPr>
        <w:t xml:space="preserve">- обеспечение информацией, необходимой внутренним и внешним пользователям бухгалтерской отчетности для </w:t>
      </w:r>
      <w:proofErr w:type="gramStart"/>
      <w:r w:rsidRPr="000D6A93">
        <w:rPr>
          <w:rFonts w:ascii="Times New Roman" w:eastAsiaTheme="minorHAnsi" w:hAnsi="Times New Roman" w:cs="Times New Roman"/>
          <w:sz w:val="28"/>
          <w:szCs w:val="28"/>
          <w:lang w:eastAsia="en-US"/>
        </w:rPr>
        <w:t>контроля за</w:t>
      </w:r>
      <w:proofErr w:type="gramEnd"/>
      <w:r w:rsidRPr="000D6A93">
        <w:rPr>
          <w:rFonts w:ascii="Times New Roman" w:eastAsiaTheme="minorHAnsi" w:hAnsi="Times New Roman" w:cs="Times New Roman"/>
          <w:sz w:val="28"/>
          <w:szCs w:val="28"/>
          <w:lang w:eastAsia="en-US"/>
        </w:rPr>
        <w:t xml:space="preserve"> соблюдением законодательства РФ при осуществлении организацией хозяйственных </w:t>
      </w:r>
      <w:r w:rsidRPr="000D6A93">
        <w:rPr>
          <w:rFonts w:ascii="Times New Roman" w:eastAsiaTheme="minorHAnsi" w:hAnsi="Times New Roman" w:cs="Times New Roman"/>
          <w:sz w:val="28"/>
          <w:szCs w:val="28"/>
          <w:lang w:eastAsia="en-US"/>
        </w:rPr>
        <w:lastRenderedPageBreak/>
        <w:t>операций и их целесообразностью, наличием и движением имущества и обязательств, использованием материальных, трудовых и финансовых ресурсов в соответствии с утвержденными нормами, нормативами и сметами;</w:t>
      </w:r>
    </w:p>
    <w:p w:rsidR="000D6A93" w:rsidRPr="000D6A93" w:rsidRDefault="000D6A93" w:rsidP="000D6A93">
      <w:pPr>
        <w:spacing w:after="0" w:line="360" w:lineRule="auto"/>
        <w:ind w:firstLine="634"/>
        <w:jc w:val="both"/>
        <w:rPr>
          <w:rFonts w:ascii="Times New Roman" w:eastAsiaTheme="minorHAnsi" w:hAnsi="Times New Roman" w:cs="Times New Roman"/>
          <w:sz w:val="28"/>
          <w:szCs w:val="28"/>
          <w:lang w:eastAsia="en-US"/>
        </w:rPr>
      </w:pPr>
      <w:r w:rsidRPr="000D6A93">
        <w:rPr>
          <w:rFonts w:ascii="Times New Roman" w:eastAsiaTheme="minorHAnsi" w:hAnsi="Times New Roman" w:cs="Times New Roman"/>
          <w:sz w:val="28"/>
          <w:szCs w:val="28"/>
          <w:lang w:eastAsia="en-US"/>
        </w:rPr>
        <w:t>предотвращение отрицательных результатов хозяйственной деятельности организации и выявление внутрихозяйственных резервов обеспечения ее финансовой устойчивости.</w:t>
      </w:r>
    </w:p>
    <w:p w:rsidR="000D6A93" w:rsidRPr="000D6A93" w:rsidRDefault="000D6A93" w:rsidP="000D6A93">
      <w:pPr>
        <w:spacing w:after="0" w:line="360" w:lineRule="auto"/>
        <w:ind w:firstLine="634"/>
        <w:jc w:val="both"/>
        <w:rPr>
          <w:rFonts w:ascii="Times New Roman" w:eastAsiaTheme="minorHAnsi" w:hAnsi="Times New Roman" w:cs="Times New Roman"/>
          <w:sz w:val="28"/>
          <w:szCs w:val="28"/>
          <w:lang w:eastAsia="en-US"/>
        </w:rPr>
      </w:pPr>
      <w:r w:rsidRPr="000D6A93">
        <w:rPr>
          <w:rFonts w:ascii="Times New Roman" w:eastAsiaTheme="minorHAnsi" w:hAnsi="Times New Roman" w:cs="Times New Roman"/>
          <w:sz w:val="28"/>
          <w:szCs w:val="28"/>
          <w:lang w:eastAsia="en-US"/>
        </w:rPr>
        <w:t>При выборе лица, ответственного за ведение бухгалтерского учета в негосударственных образовательных учреждениях, необходимо учитывать объем учетной работы и специфику деятельности учреждения. Тот факт, что учреждению приходится вести учет расчетов с большим количеством контрагентов (студентов, слушателей, учащихся и т.д.), говорит о том, что руководителю организации нецелесообразно брать на себя функцию ведения учета. Кроме того, передача на договорных началах ведения бухгалтерского учета централизованной бухгалтерии, специализированной организации или бухгалтеру снизит скорость обработки учетной информации.</w:t>
      </w:r>
    </w:p>
    <w:p w:rsidR="000D6A93" w:rsidRPr="000D6A93" w:rsidRDefault="000D6A93" w:rsidP="000D6A93">
      <w:pPr>
        <w:spacing w:after="0" w:line="360" w:lineRule="auto"/>
        <w:ind w:firstLine="634"/>
        <w:jc w:val="both"/>
        <w:rPr>
          <w:rFonts w:ascii="Times New Roman" w:eastAsiaTheme="minorHAnsi" w:hAnsi="Times New Roman" w:cs="Times New Roman"/>
          <w:sz w:val="28"/>
          <w:szCs w:val="28"/>
          <w:lang w:eastAsia="en-US"/>
        </w:rPr>
      </w:pPr>
      <w:r w:rsidRPr="000D6A93">
        <w:rPr>
          <w:rFonts w:ascii="Times New Roman" w:eastAsiaTheme="minorHAnsi" w:hAnsi="Times New Roman" w:cs="Times New Roman"/>
          <w:sz w:val="28"/>
          <w:szCs w:val="28"/>
          <w:lang w:eastAsia="en-US"/>
        </w:rPr>
        <w:t>Негосударственное образовательное учреждение, как и государственное учреждение, в соответствии со спецификой деятельности имеет в составе имущества достаточное для ведения образовательной деятельности количество объектов основных средств, а также широкий спектр расчетов со специалистами и служащими. Учитывая этот факт, можно рекомендовать учредить бухгалтерскую службу как структурное подразделение, возглавляемое главным бухгалтером, или ввести в штат должность бухгалтера.</w:t>
      </w:r>
    </w:p>
    <w:p w:rsidR="000D6A93" w:rsidRPr="000D6A93" w:rsidRDefault="000D6A93" w:rsidP="000D6A93">
      <w:pPr>
        <w:spacing w:after="0" w:line="360" w:lineRule="auto"/>
        <w:ind w:firstLine="634"/>
        <w:jc w:val="both"/>
        <w:rPr>
          <w:rFonts w:ascii="Times New Roman" w:eastAsiaTheme="minorHAnsi" w:hAnsi="Times New Roman" w:cs="Times New Roman"/>
          <w:sz w:val="28"/>
          <w:szCs w:val="28"/>
          <w:lang w:eastAsia="en-US"/>
        </w:rPr>
      </w:pPr>
      <w:r w:rsidRPr="000D6A93">
        <w:rPr>
          <w:rFonts w:ascii="Times New Roman" w:eastAsiaTheme="minorHAnsi" w:hAnsi="Times New Roman" w:cs="Times New Roman"/>
          <w:sz w:val="28"/>
          <w:szCs w:val="28"/>
          <w:lang w:eastAsia="en-US"/>
        </w:rPr>
        <w:t>Образовательная деятельность в большинстве случаев связана с длительным циклом оказываемой услуги (более одного отчетного периода), поэтапной оплатой за оказываемые услуги, что требует автоматизированного хранения информации о расчетах с контрагентами, автоматического расчета доли оказываемой услуги в отчетном периоде. Эти требования, предъявляемые к организации бухгалтерского учета в негосударственных образовательных учреждениях, позволяют рекомендовать применение форм учета в условиях компьютерной обработки данных.</w:t>
      </w:r>
    </w:p>
    <w:p w:rsidR="000D6A93" w:rsidRPr="000D6A93" w:rsidRDefault="000D6A93" w:rsidP="000D6A93">
      <w:pPr>
        <w:spacing w:after="0" w:line="360" w:lineRule="auto"/>
        <w:ind w:firstLine="634"/>
        <w:jc w:val="both"/>
        <w:rPr>
          <w:rFonts w:ascii="Times New Roman" w:eastAsiaTheme="minorHAnsi" w:hAnsi="Times New Roman" w:cs="Times New Roman"/>
          <w:sz w:val="28"/>
          <w:szCs w:val="28"/>
          <w:lang w:eastAsia="en-US"/>
        </w:rPr>
      </w:pPr>
      <w:r w:rsidRPr="000D6A93">
        <w:rPr>
          <w:rFonts w:ascii="Times New Roman" w:eastAsiaTheme="minorHAnsi" w:hAnsi="Times New Roman" w:cs="Times New Roman"/>
          <w:sz w:val="28"/>
          <w:szCs w:val="28"/>
          <w:lang w:eastAsia="en-US"/>
        </w:rPr>
        <w:t>Негосударственные образовательные учреждения ведут бухгалтерский учет финансово-хозяйственной деятельности на основе Плана счетов и Инструкции по его применению, утвержденных Приказом Минфина России от 31.10.2000 № 94н. Согласно п. 9 Положения по ведению бухгалтерского учета и отчетности в РФ, утвержденного Приказом Минфина России от 29.07.1998 № 34н, организации разрабатывают рабочий план счетов на основе Плана счетов бухгалтерского учета.</w:t>
      </w:r>
    </w:p>
    <w:p w:rsidR="000D6A93" w:rsidRPr="000D6A93" w:rsidRDefault="000D6A93" w:rsidP="000D6A93">
      <w:pPr>
        <w:spacing w:after="0" w:line="360" w:lineRule="auto"/>
        <w:ind w:firstLine="634"/>
        <w:jc w:val="both"/>
        <w:rPr>
          <w:rFonts w:ascii="Times New Roman" w:eastAsiaTheme="minorHAnsi" w:hAnsi="Times New Roman" w:cs="Times New Roman"/>
          <w:sz w:val="28"/>
          <w:szCs w:val="28"/>
          <w:lang w:eastAsia="en-US"/>
        </w:rPr>
      </w:pPr>
      <w:r w:rsidRPr="000D6A93">
        <w:rPr>
          <w:rFonts w:ascii="Times New Roman" w:eastAsiaTheme="minorHAnsi" w:hAnsi="Times New Roman" w:cs="Times New Roman"/>
          <w:sz w:val="28"/>
          <w:szCs w:val="28"/>
          <w:lang w:eastAsia="en-US"/>
        </w:rPr>
        <w:t>Состав и структура рабочего плана счетов зависят от большого количества обстоятельств, которые организация должна учитывать в процессе его разработки. В первую очередь это требования внешней и внутренней отчетности.</w:t>
      </w:r>
    </w:p>
    <w:p w:rsidR="000D6A93" w:rsidRPr="000D6A93" w:rsidRDefault="000D6A93" w:rsidP="000D6A93">
      <w:pPr>
        <w:spacing w:after="0" w:line="360" w:lineRule="auto"/>
        <w:ind w:left="75" w:right="75" w:firstLine="634"/>
        <w:jc w:val="both"/>
        <w:outlineLvl w:val="0"/>
        <w:rPr>
          <w:rFonts w:ascii="Times New Roman" w:eastAsia="Times New Roman" w:hAnsi="Times New Roman" w:cs="Times New Roman"/>
          <w:b/>
          <w:bCs/>
          <w:kern w:val="36"/>
          <w:sz w:val="28"/>
          <w:szCs w:val="28"/>
        </w:rPr>
      </w:pPr>
    </w:p>
    <w:p w:rsidR="00550DE8" w:rsidRDefault="00550DE8" w:rsidP="004166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Список использованной литературы:</w:t>
      </w:r>
    </w:p>
    <w:p w:rsidR="005862A8" w:rsidRPr="005862A8" w:rsidRDefault="005862A8" w:rsidP="005862A8">
      <w:pPr>
        <w:spacing w:after="0" w:line="360" w:lineRule="auto"/>
        <w:ind w:firstLine="709"/>
        <w:jc w:val="both"/>
        <w:rPr>
          <w:rFonts w:ascii="Times New Roman" w:eastAsia="Calibri" w:hAnsi="Times New Roman" w:cs="Times New Roman"/>
          <w:sz w:val="28"/>
          <w:szCs w:val="28"/>
        </w:rPr>
      </w:pPr>
      <w:r w:rsidRPr="005862A8">
        <w:rPr>
          <w:rFonts w:ascii="Times New Roman" w:eastAsia="Calibri" w:hAnsi="Times New Roman" w:cs="Times New Roman"/>
          <w:sz w:val="28"/>
          <w:szCs w:val="28"/>
        </w:rPr>
        <w:t>2.</w:t>
      </w:r>
      <w:r w:rsidRPr="005862A8">
        <w:rPr>
          <w:rFonts w:ascii="Times New Roman" w:eastAsia="Times New Roman" w:hAnsi="Times New Roman" w:cs="Times New Roman"/>
          <w:sz w:val="28"/>
          <w:szCs w:val="28"/>
        </w:rPr>
        <w:t xml:space="preserve"> </w:t>
      </w:r>
      <w:r w:rsidRPr="00AC43C2">
        <w:rPr>
          <w:rFonts w:ascii="Times New Roman" w:eastAsia="Times New Roman" w:hAnsi="Times New Roman" w:cs="Times New Roman"/>
          <w:sz w:val="28"/>
          <w:szCs w:val="28"/>
        </w:rPr>
        <w:t xml:space="preserve">Федеральный закон от 06.12.2011г. </w:t>
      </w:r>
      <w:r w:rsidRPr="00AC43C2">
        <w:rPr>
          <w:rFonts w:ascii="Times New Roman" w:eastAsia="Segoe UI Symbol" w:hAnsi="Times New Roman" w:cs="Times New Roman"/>
          <w:sz w:val="28"/>
          <w:szCs w:val="28"/>
        </w:rPr>
        <w:t>№</w:t>
      </w:r>
      <w:r w:rsidRPr="00AC43C2">
        <w:rPr>
          <w:rFonts w:ascii="Times New Roman" w:eastAsia="Times New Roman" w:hAnsi="Times New Roman" w:cs="Times New Roman"/>
          <w:sz w:val="28"/>
          <w:szCs w:val="28"/>
        </w:rPr>
        <w:t xml:space="preserve"> 402-ФЗ «О бухгалтерском </w:t>
      </w:r>
      <w:r w:rsidR="00300CAC">
        <w:rPr>
          <w:rFonts w:ascii="Times New Roman" w:eastAsia="Times New Roman" w:hAnsi="Times New Roman" w:cs="Times New Roman"/>
          <w:sz w:val="28"/>
          <w:szCs w:val="28"/>
        </w:rPr>
        <w:t>учете</w:t>
      </w:r>
      <w:r w:rsidRPr="00AC43C2">
        <w:rPr>
          <w:rFonts w:ascii="Times New Roman" w:eastAsia="Times New Roman" w:hAnsi="Times New Roman" w:cs="Times New Roman"/>
          <w:sz w:val="28"/>
          <w:szCs w:val="28"/>
        </w:rPr>
        <w:t>»</w:t>
      </w:r>
      <w:r w:rsidRPr="005862A8">
        <w:rPr>
          <w:rFonts w:ascii="Times New Roman" w:eastAsia="Times New Roman" w:hAnsi="Times New Roman" w:cs="Times New Roman"/>
          <w:sz w:val="28"/>
          <w:szCs w:val="28"/>
        </w:rPr>
        <w:t xml:space="preserve"> </w:t>
      </w:r>
      <w:r w:rsidRPr="00AC43C2">
        <w:rPr>
          <w:rFonts w:ascii="Times New Roman" w:eastAsia="Times New Roman" w:hAnsi="Times New Roman" w:cs="Times New Roman"/>
          <w:sz w:val="28"/>
          <w:szCs w:val="28"/>
        </w:rPr>
        <w:t>(ред. от 23</w:t>
      </w:r>
      <w:r w:rsidRPr="00AC43C2">
        <w:rPr>
          <w:rFonts w:ascii="Times New Roman" w:eastAsia="Times New Roman" w:hAnsi="Times New Roman" w:cs="Times New Roman"/>
          <w:color w:val="FFFFFF"/>
          <w:spacing w:val="-20000"/>
          <w:sz w:val="28"/>
          <w:szCs w:val="28"/>
        </w:rPr>
        <w:t>ٜ</w:t>
      </w:r>
      <w:r w:rsidRPr="00AC43C2">
        <w:rPr>
          <w:rFonts w:ascii="Times New Roman" w:eastAsia="Times New Roman" w:hAnsi="Times New Roman" w:cs="Times New Roman"/>
          <w:sz w:val="28"/>
          <w:szCs w:val="28"/>
        </w:rPr>
        <w:t>.0</w:t>
      </w:r>
      <w:r w:rsidRPr="00AC43C2">
        <w:rPr>
          <w:rFonts w:ascii="Times New Roman" w:eastAsia="Times New Roman" w:hAnsi="Times New Roman" w:cs="Times New Roman"/>
          <w:color w:val="FFFFFF"/>
          <w:spacing w:val="-20000"/>
          <w:sz w:val="28"/>
          <w:szCs w:val="28"/>
        </w:rPr>
        <w:t>ٜ</w:t>
      </w:r>
      <w:r w:rsidRPr="00AC43C2">
        <w:rPr>
          <w:rFonts w:ascii="Times New Roman" w:eastAsia="Times New Roman" w:hAnsi="Times New Roman" w:cs="Times New Roman"/>
          <w:sz w:val="28"/>
          <w:szCs w:val="28"/>
        </w:rPr>
        <w:t>5.</w:t>
      </w:r>
      <w:r w:rsidRPr="00AC43C2">
        <w:rPr>
          <w:rFonts w:ascii="Times New Roman" w:eastAsia="Times New Roman" w:hAnsi="Times New Roman" w:cs="Times New Roman"/>
          <w:color w:val="FFFFFF"/>
          <w:spacing w:val="-20000"/>
          <w:sz w:val="28"/>
          <w:szCs w:val="28"/>
        </w:rPr>
        <w:t>ٜ</w:t>
      </w:r>
      <w:r w:rsidRPr="00AC43C2">
        <w:rPr>
          <w:rFonts w:ascii="Times New Roman" w:eastAsia="Times New Roman" w:hAnsi="Times New Roman" w:cs="Times New Roman"/>
          <w:sz w:val="28"/>
          <w:szCs w:val="28"/>
        </w:rPr>
        <w:t>20</w:t>
      </w:r>
      <w:r w:rsidRPr="00AC43C2">
        <w:rPr>
          <w:rFonts w:ascii="Times New Roman" w:eastAsia="Times New Roman" w:hAnsi="Times New Roman" w:cs="Times New Roman"/>
          <w:color w:val="FFFFFF"/>
          <w:spacing w:val="-20000"/>
          <w:sz w:val="28"/>
          <w:szCs w:val="28"/>
        </w:rPr>
        <w:t>ٜ</w:t>
      </w:r>
      <w:r w:rsidRPr="00AC43C2">
        <w:rPr>
          <w:rFonts w:ascii="Times New Roman" w:eastAsia="Times New Roman" w:hAnsi="Times New Roman" w:cs="Times New Roman"/>
          <w:sz w:val="28"/>
          <w:szCs w:val="28"/>
        </w:rPr>
        <w:t>16)</w:t>
      </w:r>
      <w:r w:rsidRPr="005862A8">
        <w:rPr>
          <w:rFonts w:ascii="Times New Roman" w:eastAsia="Times New Roman" w:hAnsi="Times New Roman" w:cs="Times New Roman"/>
          <w:sz w:val="28"/>
          <w:szCs w:val="28"/>
        </w:rPr>
        <w:t>.</w:t>
      </w:r>
    </w:p>
    <w:p w:rsidR="00CA0173" w:rsidRPr="00CA0173" w:rsidRDefault="00550DE8" w:rsidP="00CA017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00CA0173">
        <w:rPr>
          <w:rFonts w:ascii="Times New Roman" w:hAnsi="Times New Roman" w:cs="Times New Roman"/>
          <w:sz w:val="28"/>
          <w:szCs w:val="28"/>
        </w:rPr>
        <w:t xml:space="preserve">Федорченко О. И., </w:t>
      </w:r>
      <w:r w:rsidR="00CA0173" w:rsidRPr="00CA0173">
        <w:rPr>
          <w:rFonts w:ascii="Times New Roman" w:hAnsi="Times New Roman" w:cs="Times New Roman"/>
          <w:sz w:val="28"/>
          <w:szCs w:val="28"/>
        </w:rPr>
        <w:t>Федорченко Т. А.</w:t>
      </w:r>
      <w:r w:rsidR="00CA0173" w:rsidRPr="00CA0173">
        <w:rPr>
          <w:rFonts w:ascii="Verdana" w:eastAsia="Times New Roman" w:hAnsi="Verdana" w:cs="Times New Roman"/>
          <w:caps/>
          <w:color w:val="000000"/>
          <w:kern w:val="36"/>
          <w:sz w:val="27"/>
          <w:szCs w:val="27"/>
        </w:rPr>
        <w:t xml:space="preserve"> </w:t>
      </w:r>
      <w:r w:rsidR="00CA0173" w:rsidRPr="00CA0173">
        <w:rPr>
          <w:rFonts w:ascii="Times New Roman" w:hAnsi="Times New Roman" w:cs="Times New Roman"/>
          <w:sz w:val="28"/>
          <w:szCs w:val="28"/>
        </w:rPr>
        <w:t>Организация бухгалтерского учета в негосударственных образовательных учреждениях</w:t>
      </w:r>
      <w:r w:rsidR="00CA0173">
        <w:rPr>
          <w:rFonts w:ascii="Times New Roman" w:hAnsi="Times New Roman" w:cs="Times New Roman"/>
          <w:sz w:val="28"/>
          <w:szCs w:val="28"/>
        </w:rPr>
        <w:t xml:space="preserve"> // </w:t>
      </w:r>
      <w:r w:rsidR="00CA0173" w:rsidRPr="00CA0173">
        <w:rPr>
          <w:rFonts w:ascii="Times New Roman" w:hAnsi="Times New Roman" w:cs="Times New Roman"/>
          <w:sz w:val="28"/>
          <w:szCs w:val="28"/>
        </w:rPr>
        <w:t>Бухгалтерский учет в бюджетных и некоммерческих организациях</w:t>
      </w:r>
      <w:r w:rsidR="00CA0173">
        <w:rPr>
          <w:rFonts w:ascii="Times New Roman" w:hAnsi="Times New Roman" w:cs="Times New Roman"/>
          <w:sz w:val="28"/>
          <w:szCs w:val="28"/>
        </w:rPr>
        <w:t xml:space="preserve">. №23. – </w:t>
      </w:r>
      <w:bookmarkStart w:id="0" w:name="_GoBack"/>
      <w:bookmarkEnd w:id="0"/>
      <w:r w:rsidR="00CA0173">
        <w:rPr>
          <w:rFonts w:ascii="Times New Roman" w:hAnsi="Times New Roman" w:cs="Times New Roman"/>
          <w:sz w:val="28"/>
          <w:szCs w:val="28"/>
        </w:rPr>
        <w:t>2014г.</w:t>
      </w:r>
    </w:p>
    <w:p w:rsidR="00550DE8" w:rsidRPr="005B75FF" w:rsidRDefault="00550DE8" w:rsidP="00CA0173">
      <w:pPr>
        <w:spacing w:after="0" w:line="360" w:lineRule="auto"/>
        <w:ind w:firstLine="709"/>
        <w:jc w:val="both"/>
        <w:rPr>
          <w:rFonts w:ascii="Times New Roman" w:hAnsi="Times New Roman" w:cs="Times New Roman"/>
          <w:sz w:val="28"/>
          <w:szCs w:val="28"/>
        </w:rPr>
      </w:pPr>
    </w:p>
    <w:p w:rsidR="00DB554D" w:rsidRDefault="00DB554D"/>
    <w:sectPr w:rsidR="00DB554D" w:rsidSect="004B0054">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7EE0" w:rsidRDefault="00037EE0" w:rsidP="00E55A5B">
      <w:pPr>
        <w:spacing w:after="0" w:line="240" w:lineRule="auto"/>
      </w:pPr>
      <w:r>
        <w:separator/>
      </w:r>
    </w:p>
  </w:endnote>
  <w:endnote w:type="continuationSeparator" w:id="0">
    <w:p w:rsidR="00037EE0" w:rsidRDefault="00037EE0" w:rsidP="00E55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A5B" w:rsidRDefault="00E55A5B">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7178244"/>
      <w:docPartObj>
        <w:docPartGallery w:val="Page Numbers (Bottom of Page)"/>
        <w:docPartUnique/>
      </w:docPartObj>
    </w:sdtPr>
    <w:sdtContent>
      <w:p w:rsidR="00E55A5B" w:rsidRDefault="004B0054">
        <w:pPr>
          <w:pStyle w:val="a6"/>
          <w:jc w:val="right"/>
        </w:pPr>
        <w:r>
          <w:fldChar w:fldCharType="begin"/>
        </w:r>
        <w:r w:rsidR="00E55A5B">
          <w:instrText>PAGE   \* MERGEFORMAT</w:instrText>
        </w:r>
        <w:r>
          <w:fldChar w:fldCharType="separate"/>
        </w:r>
        <w:r w:rsidR="007D04CD">
          <w:rPr>
            <w:noProof/>
          </w:rPr>
          <w:t>1</w:t>
        </w:r>
        <w:r>
          <w:fldChar w:fldCharType="end"/>
        </w:r>
      </w:p>
    </w:sdtContent>
  </w:sdt>
  <w:p w:rsidR="00E55A5B" w:rsidRDefault="00E55A5B">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A5B" w:rsidRDefault="00E55A5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7EE0" w:rsidRDefault="00037EE0" w:rsidP="00E55A5B">
      <w:pPr>
        <w:spacing w:after="0" w:line="240" w:lineRule="auto"/>
      </w:pPr>
      <w:r>
        <w:separator/>
      </w:r>
    </w:p>
  </w:footnote>
  <w:footnote w:type="continuationSeparator" w:id="0">
    <w:p w:rsidR="00037EE0" w:rsidRDefault="00037EE0" w:rsidP="00E55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A5B" w:rsidRDefault="00E55A5B">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A5B" w:rsidRDefault="00E55A5B">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A5B" w:rsidRDefault="00E55A5B">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3F6B"/>
    <w:multiLevelType w:val="hybridMultilevel"/>
    <w:tmpl w:val="AE46363A"/>
    <w:lvl w:ilvl="0" w:tplc="90AA6A9E">
      <w:start w:val="1"/>
      <w:numFmt w:val="decimal"/>
      <w:lvlText w:val="%1)"/>
      <w:lvlJc w:val="left"/>
      <w:pPr>
        <w:ind w:left="1864" w:hanging="115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23555FC"/>
    <w:multiLevelType w:val="hybridMultilevel"/>
    <w:tmpl w:val="333E62A0"/>
    <w:lvl w:ilvl="0" w:tplc="D074853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3A44A53"/>
    <w:multiLevelType w:val="hybridMultilevel"/>
    <w:tmpl w:val="3F1EF4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5F82DEA"/>
    <w:multiLevelType w:val="multilevel"/>
    <w:tmpl w:val="581237DE"/>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4">
    <w:nsid w:val="070A39E4"/>
    <w:multiLevelType w:val="multilevel"/>
    <w:tmpl w:val="494082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7EA3E56"/>
    <w:multiLevelType w:val="multilevel"/>
    <w:tmpl w:val="4D6A57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CE60EA5"/>
    <w:multiLevelType w:val="multilevel"/>
    <w:tmpl w:val="146231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49435A5"/>
    <w:multiLevelType w:val="multilevel"/>
    <w:tmpl w:val="61DA3E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8AA7136"/>
    <w:multiLevelType w:val="hybridMultilevel"/>
    <w:tmpl w:val="47F2775E"/>
    <w:lvl w:ilvl="0" w:tplc="C0809046">
      <w:start w:val="1"/>
      <w:numFmt w:val="decimal"/>
      <w:lvlText w:val="%1)"/>
      <w:lvlJc w:val="left"/>
      <w:pPr>
        <w:ind w:left="1833" w:hanging="112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1A18436A"/>
    <w:multiLevelType w:val="multilevel"/>
    <w:tmpl w:val="F8821F82"/>
    <w:lvl w:ilvl="0">
      <w:start w:val="1"/>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1E914E71"/>
    <w:multiLevelType w:val="multilevel"/>
    <w:tmpl w:val="F1F83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41C0511"/>
    <w:multiLevelType w:val="hybridMultilevel"/>
    <w:tmpl w:val="35CA0E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4C13C07"/>
    <w:multiLevelType w:val="multilevel"/>
    <w:tmpl w:val="3C96A4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97916EE"/>
    <w:multiLevelType w:val="multilevel"/>
    <w:tmpl w:val="AF4804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BD82069"/>
    <w:multiLevelType w:val="multilevel"/>
    <w:tmpl w:val="3E8858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F2E12FE"/>
    <w:multiLevelType w:val="hybridMultilevel"/>
    <w:tmpl w:val="AE46363A"/>
    <w:lvl w:ilvl="0" w:tplc="90AA6A9E">
      <w:start w:val="1"/>
      <w:numFmt w:val="decimal"/>
      <w:lvlText w:val="%1)"/>
      <w:lvlJc w:val="left"/>
      <w:pPr>
        <w:ind w:left="1864" w:hanging="115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41DD731C"/>
    <w:multiLevelType w:val="hybridMultilevel"/>
    <w:tmpl w:val="47F2775E"/>
    <w:lvl w:ilvl="0" w:tplc="C0809046">
      <w:start w:val="1"/>
      <w:numFmt w:val="decimal"/>
      <w:lvlText w:val="%1)"/>
      <w:lvlJc w:val="left"/>
      <w:pPr>
        <w:ind w:left="1833" w:hanging="112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43375913"/>
    <w:multiLevelType w:val="multilevel"/>
    <w:tmpl w:val="F17246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6230258"/>
    <w:multiLevelType w:val="multilevel"/>
    <w:tmpl w:val="36BE83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D1025AC"/>
    <w:multiLevelType w:val="multilevel"/>
    <w:tmpl w:val="C5E80E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EBE1379"/>
    <w:multiLevelType w:val="hybridMultilevel"/>
    <w:tmpl w:val="8F2291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0145180"/>
    <w:multiLevelType w:val="multilevel"/>
    <w:tmpl w:val="A3E075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14D3E82"/>
    <w:multiLevelType w:val="multilevel"/>
    <w:tmpl w:val="875EB3B4"/>
    <w:lvl w:ilvl="0">
      <w:start w:val="1"/>
      <w:numFmt w:val="decimal"/>
      <w:lvlText w:val="%1"/>
      <w:lvlJc w:val="left"/>
      <w:pPr>
        <w:ind w:left="615" w:hanging="615"/>
      </w:pPr>
      <w:rPr>
        <w:rFonts w:hint="default"/>
      </w:rPr>
    </w:lvl>
    <w:lvl w:ilvl="1">
      <w:start w:val="1"/>
      <w:numFmt w:val="decimal"/>
      <w:lvlText w:val="%1.%2"/>
      <w:lvlJc w:val="left"/>
      <w:pPr>
        <w:ind w:left="899"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5A715E18"/>
    <w:multiLevelType w:val="multilevel"/>
    <w:tmpl w:val="107847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A8316CB"/>
    <w:multiLevelType w:val="multilevel"/>
    <w:tmpl w:val="4EF819A4"/>
    <w:lvl w:ilvl="0">
      <w:start w:val="1"/>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nsid w:val="5D6007A7"/>
    <w:multiLevelType w:val="multilevel"/>
    <w:tmpl w:val="A178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C510B3"/>
    <w:multiLevelType w:val="multilevel"/>
    <w:tmpl w:val="C276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60F720DE"/>
    <w:multiLevelType w:val="multilevel"/>
    <w:tmpl w:val="58CCE2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6B1E1F28"/>
    <w:multiLevelType w:val="multilevel"/>
    <w:tmpl w:val="D1D4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8D12F2"/>
    <w:multiLevelType w:val="multilevel"/>
    <w:tmpl w:val="1C2654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2AC71E8"/>
    <w:multiLevelType w:val="multilevel"/>
    <w:tmpl w:val="5816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6A6CE2"/>
    <w:multiLevelType w:val="multilevel"/>
    <w:tmpl w:val="E4041A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778B6508"/>
    <w:multiLevelType w:val="multilevel"/>
    <w:tmpl w:val="61788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77CC1570"/>
    <w:multiLevelType w:val="hybridMultilevel"/>
    <w:tmpl w:val="AE46363A"/>
    <w:lvl w:ilvl="0" w:tplc="90AA6A9E">
      <w:start w:val="1"/>
      <w:numFmt w:val="decimal"/>
      <w:lvlText w:val="%1)"/>
      <w:lvlJc w:val="left"/>
      <w:pPr>
        <w:ind w:left="1864" w:hanging="115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nsid w:val="7D72607F"/>
    <w:multiLevelType w:val="hybridMultilevel"/>
    <w:tmpl w:val="439063A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nsid w:val="7F633E4B"/>
    <w:multiLevelType w:val="multilevel"/>
    <w:tmpl w:val="291465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16"/>
  </w:num>
  <w:num w:numId="3">
    <w:abstractNumId w:val="23"/>
  </w:num>
  <w:num w:numId="4">
    <w:abstractNumId w:val="14"/>
  </w:num>
  <w:num w:numId="5">
    <w:abstractNumId w:val="26"/>
  </w:num>
  <w:num w:numId="6">
    <w:abstractNumId w:val="21"/>
  </w:num>
  <w:num w:numId="7">
    <w:abstractNumId w:val="7"/>
  </w:num>
  <w:num w:numId="8">
    <w:abstractNumId w:val="12"/>
  </w:num>
  <w:num w:numId="9">
    <w:abstractNumId w:val="10"/>
  </w:num>
  <w:num w:numId="10">
    <w:abstractNumId w:val="18"/>
  </w:num>
  <w:num w:numId="11">
    <w:abstractNumId w:val="35"/>
  </w:num>
  <w:num w:numId="12">
    <w:abstractNumId w:val="27"/>
  </w:num>
  <w:num w:numId="13">
    <w:abstractNumId w:val="5"/>
  </w:num>
  <w:num w:numId="14">
    <w:abstractNumId w:val="19"/>
  </w:num>
  <w:num w:numId="15">
    <w:abstractNumId w:val="17"/>
  </w:num>
  <w:num w:numId="16">
    <w:abstractNumId w:val="6"/>
  </w:num>
  <w:num w:numId="17">
    <w:abstractNumId w:val="4"/>
  </w:num>
  <w:num w:numId="18">
    <w:abstractNumId w:val="13"/>
  </w:num>
  <w:num w:numId="19">
    <w:abstractNumId w:val="32"/>
  </w:num>
  <w:num w:numId="20">
    <w:abstractNumId w:val="31"/>
  </w:num>
  <w:num w:numId="21">
    <w:abstractNumId w:val="29"/>
  </w:num>
  <w:num w:numId="22">
    <w:abstractNumId w:val="8"/>
  </w:num>
  <w:num w:numId="23">
    <w:abstractNumId w:val="34"/>
  </w:num>
  <w:num w:numId="24">
    <w:abstractNumId w:val="3"/>
  </w:num>
  <w:num w:numId="25">
    <w:abstractNumId w:val="15"/>
  </w:num>
  <w:num w:numId="26">
    <w:abstractNumId w:val="9"/>
  </w:num>
  <w:num w:numId="27">
    <w:abstractNumId w:val="22"/>
  </w:num>
  <w:num w:numId="28">
    <w:abstractNumId w:val="1"/>
  </w:num>
  <w:num w:numId="29">
    <w:abstractNumId w:val="30"/>
  </w:num>
  <w:num w:numId="30">
    <w:abstractNumId w:val="2"/>
  </w:num>
  <w:num w:numId="31">
    <w:abstractNumId w:val="11"/>
  </w:num>
  <w:num w:numId="32">
    <w:abstractNumId w:val="28"/>
  </w:num>
  <w:num w:numId="33">
    <w:abstractNumId w:val="25"/>
  </w:num>
  <w:num w:numId="34">
    <w:abstractNumId w:val="20"/>
  </w:num>
  <w:num w:numId="35">
    <w:abstractNumId w:val="33"/>
  </w:num>
  <w:num w:numId="3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footnotePr>
    <w:footnote w:id="-1"/>
    <w:footnote w:id="0"/>
  </w:footnotePr>
  <w:endnotePr>
    <w:endnote w:id="-1"/>
    <w:endnote w:id="0"/>
  </w:endnotePr>
  <w:compat/>
  <w:rsids>
    <w:rsidRoot w:val="00416615"/>
    <w:rsid w:val="00037EE0"/>
    <w:rsid w:val="000B5E47"/>
    <w:rsid w:val="000D6A93"/>
    <w:rsid w:val="002B2738"/>
    <w:rsid w:val="00300CAC"/>
    <w:rsid w:val="00325DEF"/>
    <w:rsid w:val="00336012"/>
    <w:rsid w:val="00416615"/>
    <w:rsid w:val="004B0054"/>
    <w:rsid w:val="005006A5"/>
    <w:rsid w:val="00550DE8"/>
    <w:rsid w:val="005862A8"/>
    <w:rsid w:val="007C4023"/>
    <w:rsid w:val="007D04CD"/>
    <w:rsid w:val="00817664"/>
    <w:rsid w:val="008734CA"/>
    <w:rsid w:val="009B3461"/>
    <w:rsid w:val="00CA0173"/>
    <w:rsid w:val="00D75E12"/>
    <w:rsid w:val="00DB554D"/>
    <w:rsid w:val="00DF0FD1"/>
    <w:rsid w:val="00E55A5B"/>
    <w:rsid w:val="00EA3FF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6615"/>
    <w:rPr>
      <w:rFonts w:eastAsiaTheme="minorEastAsia"/>
      <w:lang w:eastAsia="ru-RU"/>
    </w:rPr>
  </w:style>
  <w:style w:type="paragraph" w:styleId="1">
    <w:name w:val="heading 1"/>
    <w:basedOn w:val="a"/>
    <w:next w:val="a"/>
    <w:link w:val="10"/>
    <w:uiPriority w:val="9"/>
    <w:qFormat/>
    <w:rsid w:val="00CA017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6615"/>
    <w:pPr>
      <w:ind w:left="720"/>
      <w:contextualSpacing/>
    </w:pPr>
  </w:style>
  <w:style w:type="paragraph" w:styleId="a4">
    <w:name w:val="header"/>
    <w:basedOn w:val="a"/>
    <w:link w:val="a5"/>
    <w:uiPriority w:val="99"/>
    <w:unhideWhenUsed/>
    <w:rsid w:val="0081766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17664"/>
    <w:rPr>
      <w:rFonts w:eastAsiaTheme="minorEastAsia"/>
      <w:lang w:eastAsia="ru-RU"/>
    </w:rPr>
  </w:style>
  <w:style w:type="paragraph" w:styleId="a6">
    <w:name w:val="footer"/>
    <w:basedOn w:val="a"/>
    <w:link w:val="a7"/>
    <w:uiPriority w:val="99"/>
    <w:unhideWhenUsed/>
    <w:rsid w:val="0081766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17664"/>
    <w:rPr>
      <w:rFonts w:eastAsiaTheme="minorEastAsia"/>
      <w:lang w:eastAsia="ru-RU"/>
    </w:rPr>
  </w:style>
  <w:style w:type="character" w:customStyle="1" w:styleId="a8">
    <w:name w:val="Текст выноски Знак"/>
    <w:basedOn w:val="a0"/>
    <w:link w:val="a9"/>
    <w:uiPriority w:val="99"/>
    <w:semiHidden/>
    <w:rsid w:val="00817664"/>
    <w:rPr>
      <w:rFonts w:ascii="Tahoma" w:eastAsiaTheme="minorEastAsia" w:hAnsi="Tahoma" w:cs="Tahoma"/>
      <w:sz w:val="16"/>
      <w:szCs w:val="16"/>
      <w:lang w:eastAsia="ru-RU"/>
    </w:rPr>
  </w:style>
  <w:style w:type="paragraph" w:styleId="a9">
    <w:name w:val="Balloon Text"/>
    <w:basedOn w:val="a"/>
    <w:link w:val="a8"/>
    <w:uiPriority w:val="99"/>
    <w:semiHidden/>
    <w:unhideWhenUsed/>
    <w:rsid w:val="00817664"/>
    <w:pPr>
      <w:spacing w:after="0" w:line="240" w:lineRule="auto"/>
    </w:pPr>
    <w:rPr>
      <w:rFonts w:ascii="Tahoma" w:hAnsi="Tahoma" w:cs="Tahoma"/>
      <w:sz w:val="16"/>
      <w:szCs w:val="16"/>
    </w:rPr>
  </w:style>
  <w:style w:type="numbering" w:customStyle="1" w:styleId="11">
    <w:name w:val="Нет списка1"/>
    <w:next w:val="a2"/>
    <w:uiPriority w:val="99"/>
    <w:semiHidden/>
    <w:unhideWhenUsed/>
    <w:rsid w:val="008734CA"/>
  </w:style>
  <w:style w:type="paragraph" w:styleId="aa">
    <w:name w:val="Normal (Web)"/>
    <w:basedOn w:val="a"/>
    <w:uiPriority w:val="99"/>
    <w:unhideWhenUsed/>
    <w:rsid w:val="008734CA"/>
    <w:pPr>
      <w:spacing w:before="100" w:beforeAutospacing="1" w:after="100" w:afterAutospacing="1" w:line="240" w:lineRule="auto"/>
    </w:pPr>
    <w:rPr>
      <w:rFonts w:ascii="Times New Roman" w:eastAsia="Times New Roman" w:hAnsi="Times New Roman" w:cs="Times New Roman"/>
      <w:sz w:val="24"/>
      <w:szCs w:val="24"/>
    </w:rPr>
  </w:style>
  <w:style w:type="table" w:styleId="ab">
    <w:name w:val="Table Grid"/>
    <w:basedOn w:val="a1"/>
    <w:uiPriority w:val="59"/>
    <w:rsid w:val="008734CA"/>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trong"/>
    <w:basedOn w:val="a0"/>
    <w:uiPriority w:val="22"/>
    <w:qFormat/>
    <w:rsid w:val="008734CA"/>
    <w:rPr>
      <w:rFonts w:cs="Times New Roman"/>
      <w:b/>
      <w:bCs/>
    </w:rPr>
  </w:style>
  <w:style w:type="character" w:customStyle="1" w:styleId="t1">
    <w:name w:val="t1"/>
    <w:rsid w:val="008734CA"/>
    <w:rPr>
      <w:sz w:val="21"/>
    </w:rPr>
  </w:style>
  <w:style w:type="paragraph" w:customStyle="1" w:styleId="t1p">
    <w:name w:val="t1p"/>
    <w:rsid w:val="008734CA"/>
    <w:pPr>
      <w:spacing w:after="100"/>
      <w:ind w:firstLine="380"/>
      <w:jc w:val="both"/>
    </w:pPr>
    <w:rPr>
      <w:rFonts w:ascii="Arial" w:eastAsiaTheme="minorEastAsia" w:hAnsi="Arial" w:cs="Arial"/>
      <w:sz w:val="20"/>
      <w:szCs w:val="20"/>
      <w:lang w:eastAsia="ru-RU"/>
    </w:rPr>
  </w:style>
  <w:style w:type="table" w:customStyle="1" w:styleId="TableStyle">
    <w:name w:val="TableStyle"/>
    <w:uiPriority w:val="99"/>
    <w:rsid w:val="008734CA"/>
    <w:rPr>
      <w:rFonts w:ascii="Arial" w:eastAsiaTheme="minorEastAsia" w:hAnsi="Arial" w:cs="Arial"/>
      <w:sz w:val="20"/>
      <w:szCs w:val="20"/>
      <w:lang w:eastAsia="ru-RU"/>
    </w:rPr>
    <w:tblPr>
      <w:jc w:val="center"/>
      <w:tblBorders>
        <w:top w:val="single" w:sz="2" w:space="0" w:color="707070"/>
        <w:left w:val="single" w:sz="2" w:space="0" w:color="707070"/>
        <w:bottom w:val="single" w:sz="2" w:space="0" w:color="707070"/>
        <w:right w:val="single" w:sz="2" w:space="0" w:color="707070"/>
        <w:insideH w:val="single" w:sz="2" w:space="0" w:color="707070"/>
        <w:insideV w:val="single" w:sz="2" w:space="0" w:color="707070"/>
      </w:tblBorders>
      <w:tblCellMar>
        <w:top w:w="20" w:type="dxa"/>
        <w:left w:w="100" w:type="dxa"/>
        <w:bottom w:w="20" w:type="dxa"/>
        <w:right w:w="100" w:type="dxa"/>
      </w:tblCellMar>
    </w:tblPr>
    <w:trPr>
      <w:jc w:val="center"/>
    </w:trPr>
  </w:style>
  <w:style w:type="character" w:customStyle="1" w:styleId="h1">
    <w:name w:val="h1"/>
    <w:rsid w:val="008734CA"/>
    <w:rPr>
      <w:b/>
      <w:sz w:val="32"/>
    </w:rPr>
  </w:style>
  <w:style w:type="character" w:customStyle="1" w:styleId="h2">
    <w:name w:val="h2"/>
    <w:rsid w:val="008734CA"/>
    <w:rPr>
      <w:b/>
      <w:i/>
      <w:sz w:val="28"/>
    </w:rPr>
  </w:style>
  <w:style w:type="paragraph" w:customStyle="1" w:styleId="h2p">
    <w:name w:val="h2p"/>
    <w:rsid w:val="008734CA"/>
    <w:pPr>
      <w:spacing w:before="200" w:after="100"/>
    </w:pPr>
    <w:rPr>
      <w:rFonts w:ascii="Arial" w:eastAsiaTheme="minorEastAsia" w:hAnsi="Arial" w:cs="Arial"/>
      <w:sz w:val="20"/>
      <w:szCs w:val="20"/>
      <w:lang w:eastAsia="ru-RU"/>
    </w:rPr>
  </w:style>
  <w:style w:type="character" w:customStyle="1" w:styleId="h3">
    <w:name w:val="h3"/>
    <w:rsid w:val="008734CA"/>
    <w:rPr>
      <w:b/>
      <w:sz w:val="21"/>
    </w:rPr>
  </w:style>
  <w:style w:type="paragraph" w:customStyle="1" w:styleId="h3p">
    <w:name w:val="h3p"/>
    <w:rsid w:val="008734CA"/>
    <w:pPr>
      <w:spacing w:after="100"/>
      <w:jc w:val="center"/>
    </w:pPr>
    <w:rPr>
      <w:rFonts w:ascii="Arial" w:eastAsiaTheme="minorEastAsia" w:hAnsi="Arial" w:cs="Arial"/>
      <w:sz w:val="20"/>
      <w:szCs w:val="20"/>
      <w:lang w:eastAsia="ru-RU"/>
    </w:rPr>
  </w:style>
  <w:style w:type="character" w:styleId="ad">
    <w:name w:val="Hyperlink"/>
    <w:basedOn w:val="a0"/>
    <w:uiPriority w:val="99"/>
    <w:unhideWhenUsed/>
    <w:rsid w:val="008734CA"/>
    <w:rPr>
      <w:color w:val="0000FF" w:themeColor="hyperlink"/>
      <w:u w:val="single"/>
    </w:rPr>
  </w:style>
  <w:style w:type="character" w:customStyle="1" w:styleId="10">
    <w:name w:val="Заголовок 1 Знак"/>
    <w:basedOn w:val="a0"/>
    <w:link w:val="1"/>
    <w:uiPriority w:val="9"/>
    <w:rsid w:val="00CA0173"/>
    <w:rPr>
      <w:rFonts w:asciiTheme="majorHAnsi" w:eastAsiaTheme="majorEastAsia" w:hAnsiTheme="majorHAnsi" w:cstheme="majorBidi"/>
      <w:color w:val="365F91" w:themeColor="accent1" w:themeShade="BF"/>
      <w:sz w:val="32"/>
      <w:szCs w:val="32"/>
      <w:lang w:eastAsia="ru-RU"/>
    </w:rPr>
  </w:style>
</w:styles>
</file>

<file path=word/webSettings.xml><?xml version="1.0" encoding="utf-8"?>
<w:webSettings xmlns:r="http://schemas.openxmlformats.org/officeDocument/2006/relationships" xmlns:w="http://schemas.openxmlformats.org/wordprocessingml/2006/main">
  <w:divs>
    <w:div w:id="210005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949</Words>
  <Characters>5414</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ZairaInvest</dc:creator>
  <cp:lastModifiedBy>user</cp:lastModifiedBy>
  <cp:revision>2</cp:revision>
  <dcterms:created xsi:type="dcterms:W3CDTF">2016-12-13T07:42:00Z</dcterms:created>
  <dcterms:modified xsi:type="dcterms:W3CDTF">2016-12-13T07:42:00Z</dcterms:modified>
</cp:coreProperties>
</file>